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AED6" w14:textId="1BCC88DC" w:rsidR="0009425D" w:rsidRPr="0009425D" w:rsidRDefault="0009425D" w:rsidP="0009425D">
      <w:pPr>
        <w:spacing w:line="256" w:lineRule="auto"/>
        <w:rPr>
          <w:rFonts w:ascii="Calibri" w:eastAsia="Aptos" w:hAnsi="Calibri" w:cs="Calibri"/>
          <w:b/>
          <w:bCs/>
          <w:sz w:val="32"/>
          <w:szCs w:val="32"/>
          <w:lang w:val="en-US"/>
        </w:rPr>
      </w:pPr>
      <w:r w:rsidRPr="0009425D">
        <w:rPr>
          <w:rFonts w:ascii="Calibri" w:eastAsia="Aptos" w:hAnsi="Calibri" w:cs="Calibri"/>
          <w:b/>
          <w:bCs/>
          <w:sz w:val="32"/>
          <w:szCs w:val="32"/>
          <w:lang w:val="en-US"/>
        </w:rPr>
        <w:t xml:space="preserve">Research </w:t>
      </w:r>
      <w:r>
        <w:rPr>
          <w:rFonts w:ascii="Calibri" w:eastAsia="Aptos" w:hAnsi="Calibri" w:cs="Calibri"/>
          <w:b/>
          <w:bCs/>
          <w:sz w:val="32"/>
          <w:szCs w:val="32"/>
          <w:lang w:val="en-US"/>
        </w:rPr>
        <w:t xml:space="preserve">Groups </w:t>
      </w:r>
      <w:r w:rsidR="00A83CAE">
        <w:rPr>
          <w:rFonts w:ascii="Calibri" w:eastAsia="Aptos" w:hAnsi="Calibri" w:cs="Calibri"/>
          <w:b/>
          <w:bCs/>
          <w:sz w:val="32"/>
          <w:szCs w:val="32"/>
          <w:lang w:val="en-US"/>
        </w:rPr>
        <w:t xml:space="preserve">from </w:t>
      </w:r>
      <w:r w:rsidRPr="0009425D">
        <w:rPr>
          <w:rFonts w:ascii="Calibri" w:eastAsia="Aptos" w:hAnsi="Calibri" w:cs="Calibri"/>
          <w:b/>
          <w:bCs/>
          <w:sz w:val="32"/>
          <w:szCs w:val="32"/>
          <w:lang w:val="en-US"/>
        </w:rPr>
        <w:t>the Center for Sustainability and Innovation</w:t>
      </w:r>
    </w:p>
    <w:p w14:paraId="1EF217C0" w14:textId="77777777" w:rsidR="0009425D" w:rsidRDefault="0009425D" w:rsidP="0009425D">
      <w:pPr>
        <w:spacing w:line="256" w:lineRule="auto"/>
        <w:rPr>
          <w:rFonts w:ascii="Calibri" w:eastAsia="Aptos" w:hAnsi="Calibri" w:cs="Calibri"/>
          <w:b/>
          <w:bCs/>
          <w:sz w:val="28"/>
          <w:szCs w:val="28"/>
          <w:lang w:val="en-US"/>
        </w:rPr>
      </w:pPr>
    </w:p>
    <w:p w14:paraId="55F0747E" w14:textId="2BA49F92" w:rsidR="0009425D" w:rsidRPr="0009425D" w:rsidRDefault="0009425D" w:rsidP="0009425D">
      <w:pPr>
        <w:spacing w:line="256" w:lineRule="auto"/>
        <w:rPr>
          <w:rFonts w:ascii="Calibri" w:eastAsia="Aptos" w:hAnsi="Calibri" w:cs="Calibri"/>
          <w:b/>
          <w:bCs/>
          <w:sz w:val="32"/>
          <w:szCs w:val="32"/>
          <w:lang w:val="en-US"/>
        </w:rPr>
      </w:pPr>
      <w:r w:rsidRPr="0009425D">
        <w:rPr>
          <w:rFonts w:ascii="Calibri" w:eastAsia="Aptos" w:hAnsi="Calibri" w:cs="Calibri"/>
          <w:b/>
          <w:bCs/>
          <w:sz w:val="32"/>
          <w:szCs w:val="32"/>
          <w:lang w:val="en-US"/>
        </w:rPr>
        <w:t xml:space="preserve">Part </w:t>
      </w:r>
      <w:r w:rsidR="00A83CAE">
        <w:rPr>
          <w:rFonts w:ascii="Calibri" w:eastAsia="Aptos" w:hAnsi="Calibri" w:cs="Calibri"/>
          <w:b/>
          <w:bCs/>
          <w:sz w:val="32"/>
          <w:szCs w:val="32"/>
          <w:lang w:val="en-US"/>
        </w:rPr>
        <w:t>I</w:t>
      </w:r>
      <w:r w:rsidRPr="0009425D">
        <w:rPr>
          <w:rFonts w:ascii="Calibri" w:eastAsia="Aptos" w:hAnsi="Calibri" w:cs="Calibri"/>
          <w:b/>
          <w:bCs/>
          <w:sz w:val="32"/>
          <w:szCs w:val="32"/>
          <w:lang w:val="en-US"/>
        </w:rPr>
        <w:t xml:space="preserve"> The Built Environment</w:t>
      </w:r>
    </w:p>
    <w:p w14:paraId="5085C909" w14:textId="3A35A062" w:rsidR="0009425D" w:rsidRPr="0009425D" w:rsidRDefault="0009425D" w:rsidP="0009425D">
      <w:pPr>
        <w:spacing w:line="256" w:lineRule="auto"/>
        <w:rPr>
          <w:rFonts w:ascii="Calibri" w:eastAsia="Aptos" w:hAnsi="Calibri" w:cs="Calibri"/>
          <w:b/>
          <w:bCs/>
          <w:sz w:val="28"/>
          <w:szCs w:val="28"/>
          <w:lang w:val="en-US"/>
        </w:rPr>
      </w:pPr>
      <w:r w:rsidRPr="0009425D">
        <w:rPr>
          <w:rFonts w:ascii="Calibri" w:eastAsia="Aptos" w:hAnsi="Calibri" w:cs="Calibri"/>
          <w:b/>
          <w:bCs/>
          <w:sz w:val="28"/>
          <w:szCs w:val="28"/>
          <w:lang w:val="en-US"/>
        </w:rPr>
        <w:t>LRU–</w:t>
      </w:r>
      <w:proofErr w:type="spellStart"/>
      <w:r w:rsidRPr="0009425D">
        <w:rPr>
          <w:rFonts w:ascii="Calibri" w:eastAsia="Aptos" w:hAnsi="Calibri" w:cs="Calibri"/>
          <w:b/>
          <w:bCs/>
          <w:sz w:val="28"/>
          <w:szCs w:val="28"/>
          <w:lang w:val="en-US"/>
        </w:rPr>
        <w:t>UdS</w:t>
      </w:r>
      <w:proofErr w:type="spellEnd"/>
      <w:r w:rsidRPr="0009425D">
        <w:rPr>
          <w:rFonts w:ascii="Calibri" w:eastAsia="Aptos" w:hAnsi="Calibri" w:cs="Calibri"/>
          <w:b/>
          <w:bCs/>
          <w:sz w:val="28"/>
          <w:szCs w:val="28"/>
          <w:lang w:val="en-US"/>
        </w:rPr>
        <w:t>–CUD Strategic Academic and Research Partnership</w:t>
      </w:r>
    </w:p>
    <w:p w14:paraId="377E4F67"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 xml:space="preserve">The La Rochelle Université (France) – Université de Sherbrooke (Canada) – Canadian University Dubai (United Arab Emirates) Strategic Academic and Research Partnership constitutes a structured international framework dedicated to advancing excellence in research, graduate education, academic mobility, and innovation for sustainable development. Built upon the Memoranda of Understanding signed in 2022 between Canadian University Dubai and its partners in La Rochelle and Sherbrooke, this cooperation provides a formal basis for long-term collaboration across Europe, North America, and the Gulf region. </w:t>
      </w:r>
    </w:p>
    <w:p w14:paraId="03B8F79E"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 xml:space="preserve">This tripartite partnership is intended to move beyond conventional academic exchange by establishing a coherent platform for the co-development of research initiatives, joint scientific programming, faculty and student mobility, co-supervision, and knowledge transfer. It draws upon the complementary strengths of the three institutions and is supported by an already active record of international scientific events involving the three universities, including symposia and workshops held in Dubai, La Rochelle, and Sherbrooke. </w:t>
      </w:r>
    </w:p>
    <w:p w14:paraId="6A0009AA"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 xml:space="preserve">The partnership is particularly aligned with strategic fields in which convergence is already clearly established, notably energy efficiency and sustainable buildings, resilient urban systems, low-carbon construction, </w:t>
      </w:r>
      <w:proofErr w:type="spellStart"/>
      <w:r w:rsidRPr="0009425D">
        <w:rPr>
          <w:rFonts w:ascii="Calibri" w:eastAsia="Aptos" w:hAnsi="Calibri" w:cs="Calibri"/>
          <w:lang w:val="en-US"/>
        </w:rPr>
        <w:t>biosourced</w:t>
      </w:r>
      <w:proofErr w:type="spellEnd"/>
      <w:r w:rsidRPr="0009425D">
        <w:rPr>
          <w:rFonts w:ascii="Calibri" w:eastAsia="Aptos" w:hAnsi="Calibri" w:cs="Calibri"/>
          <w:lang w:val="en-US"/>
        </w:rPr>
        <w:t xml:space="preserve"> and </w:t>
      </w:r>
      <w:proofErr w:type="spellStart"/>
      <w:r w:rsidRPr="0009425D">
        <w:rPr>
          <w:rFonts w:ascii="Calibri" w:eastAsia="Aptos" w:hAnsi="Calibri" w:cs="Calibri"/>
          <w:lang w:val="en-US"/>
        </w:rPr>
        <w:t>geosourced</w:t>
      </w:r>
      <w:proofErr w:type="spellEnd"/>
      <w:r w:rsidRPr="0009425D">
        <w:rPr>
          <w:rFonts w:ascii="Calibri" w:eastAsia="Aptos" w:hAnsi="Calibri" w:cs="Calibri"/>
          <w:lang w:val="en-US"/>
        </w:rPr>
        <w:t xml:space="preserve"> materials, and the integration of artificial intelligence and digital approaches for performance optimization in the built environment. These themes are fully consistent with the vision of the Center for Sustainability and Innovation (CSI) at CUD, which is conceived as a multidisciplinary collaboration hub supporting joint projects, innovation, talent development, and international academic visibility. </w:t>
      </w:r>
    </w:p>
    <w:p w14:paraId="1E7FB17A"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 xml:space="preserve">Through this alliance, the three universities seek to consolidate a high-level international ecosystem capable of generating academically rigorous, societally relevant, and operationally impactful outcomes. The partnership is intended to support the development of joint academic pathways, collaborative research proposals, international events, and stronger engagement with public and industrial stakeholders. In this configuration, Dubai serves not only as a regional anchor for the MENA context, but also as a strategic interface for linking European and North American expertise with emerging sustainability and innovation priorities in the Gulf. </w:t>
      </w:r>
    </w:p>
    <w:p w14:paraId="23C84C52" w14:textId="77777777" w:rsidR="0009425D" w:rsidRPr="0009425D" w:rsidRDefault="0009425D" w:rsidP="0009425D">
      <w:pPr>
        <w:spacing w:line="256" w:lineRule="auto"/>
        <w:jc w:val="both"/>
        <w:rPr>
          <w:rFonts w:ascii="Calibri" w:eastAsia="Aptos" w:hAnsi="Calibri" w:cs="Calibri"/>
          <w:lang w:val="en-US"/>
        </w:rPr>
      </w:pPr>
    </w:p>
    <w:p w14:paraId="5624A5B4" w14:textId="79D5DF3A"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b/>
          <w:bCs/>
          <w:lang w:val="en-US"/>
        </w:rPr>
        <w:t>UAE Priorities</w:t>
      </w:r>
      <w:r w:rsidRPr="0009425D">
        <w:rPr>
          <w:rFonts w:ascii="Calibri" w:eastAsia="Aptos" w:hAnsi="Calibri" w:cs="Calibri"/>
          <w:lang w:val="en-US"/>
        </w:rPr>
        <w:t>: UAE Net Zero 205</w:t>
      </w:r>
      <w:r>
        <w:rPr>
          <w:rFonts w:ascii="Calibri" w:eastAsia="Aptos" w:hAnsi="Calibri" w:cs="Calibri"/>
          <w:lang w:val="en-US"/>
        </w:rPr>
        <w:t>0</w:t>
      </w:r>
      <w:r w:rsidRPr="0009425D">
        <w:rPr>
          <w:rFonts w:ascii="Calibri" w:eastAsia="Aptos" w:hAnsi="Calibri" w:cs="Calibri"/>
          <w:lang w:val="en-US"/>
        </w:rPr>
        <w:t>, UAE Circular Economy Policy 2031 UAE Urban Planning Agenda</w:t>
      </w:r>
    </w:p>
    <w:p w14:paraId="56F5C1E8" w14:textId="77777777" w:rsidR="0009425D" w:rsidRDefault="0009425D" w:rsidP="0009425D">
      <w:pPr>
        <w:spacing w:line="256" w:lineRule="auto"/>
        <w:jc w:val="both"/>
        <w:rPr>
          <w:rFonts w:ascii="Calibri" w:eastAsia="Aptos" w:hAnsi="Calibri" w:cs="Calibri"/>
          <w:lang w:val="en-US"/>
        </w:rPr>
      </w:pPr>
    </w:p>
    <w:p w14:paraId="12A02D5A" w14:textId="77777777" w:rsidR="00C6553E" w:rsidRPr="0009425D" w:rsidRDefault="00C6553E" w:rsidP="0009425D">
      <w:pPr>
        <w:spacing w:line="256" w:lineRule="auto"/>
        <w:jc w:val="both"/>
        <w:rPr>
          <w:rFonts w:ascii="Calibri" w:eastAsia="Aptos" w:hAnsi="Calibri" w:cs="Calibri"/>
          <w:lang w:val="en-US"/>
        </w:rPr>
      </w:pPr>
    </w:p>
    <w:p w14:paraId="2D1CC11E" w14:textId="5E710606" w:rsidR="0009425D" w:rsidRPr="00FD3988" w:rsidRDefault="0009425D" w:rsidP="0009425D">
      <w:pPr>
        <w:spacing w:line="256" w:lineRule="auto"/>
        <w:jc w:val="both"/>
        <w:rPr>
          <w:rFonts w:ascii="Calibri" w:eastAsia="Aptos" w:hAnsi="Calibri" w:cs="Calibri"/>
          <w:b/>
          <w:bCs/>
          <w:sz w:val="28"/>
          <w:szCs w:val="28"/>
        </w:rPr>
      </w:pPr>
      <w:r w:rsidRPr="00FD3988">
        <w:rPr>
          <w:rFonts w:ascii="Calibri" w:eastAsia="Aptos" w:hAnsi="Calibri" w:cs="Calibri"/>
          <w:b/>
          <w:bCs/>
          <w:sz w:val="28"/>
          <w:szCs w:val="28"/>
        </w:rPr>
        <w:lastRenderedPageBreak/>
        <w:t>Selected</w:t>
      </w:r>
      <w:r w:rsidR="00FD3988">
        <w:rPr>
          <w:rFonts w:ascii="Calibri" w:eastAsia="Aptos" w:hAnsi="Calibri" w:cs="Calibri"/>
          <w:b/>
          <w:bCs/>
          <w:sz w:val="28"/>
          <w:szCs w:val="28"/>
        </w:rPr>
        <w:t xml:space="preserve"> </w:t>
      </w:r>
      <w:r w:rsidRPr="00FD3988">
        <w:rPr>
          <w:rFonts w:ascii="Calibri" w:eastAsia="Aptos" w:hAnsi="Calibri" w:cs="Calibri"/>
          <w:b/>
          <w:bCs/>
          <w:sz w:val="28"/>
          <w:szCs w:val="28"/>
        </w:rPr>
        <w:t>Publications</w:t>
      </w:r>
      <w:r w:rsidR="00590979" w:rsidRPr="00FD3988">
        <w:rPr>
          <w:rFonts w:ascii="Calibri" w:eastAsia="Aptos" w:hAnsi="Calibri" w:cs="Calibri"/>
          <w:b/>
          <w:bCs/>
          <w:sz w:val="28"/>
          <w:szCs w:val="28"/>
        </w:rPr>
        <w:t xml:space="preserve"> (CUD-Affiliated)</w:t>
      </w:r>
      <w:r w:rsidR="00C40F82">
        <w:rPr>
          <w:rFonts w:ascii="Calibri" w:eastAsia="Aptos" w:hAnsi="Calibri" w:cs="Calibri"/>
          <w:b/>
          <w:bCs/>
          <w:sz w:val="28"/>
          <w:szCs w:val="28"/>
        </w:rPr>
        <w:t xml:space="preserve"> </w:t>
      </w:r>
    </w:p>
    <w:p w14:paraId="03F30EB1" w14:textId="147C365D" w:rsidR="00C40F82" w:rsidRPr="00C40F82" w:rsidRDefault="00C40F82" w:rsidP="00C40F82">
      <w:pPr>
        <w:pStyle w:val="ListParagraph"/>
        <w:numPr>
          <w:ilvl w:val="0"/>
          <w:numId w:val="5"/>
        </w:numPr>
        <w:tabs>
          <w:tab w:val="num" w:pos="360"/>
        </w:tabs>
        <w:spacing w:line="256" w:lineRule="auto"/>
        <w:ind w:left="360"/>
        <w:jc w:val="both"/>
        <w:rPr>
          <w:rFonts w:ascii="Calibri" w:hAnsi="Calibri" w:cs="Calibri"/>
        </w:rPr>
      </w:pPr>
      <w:r w:rsidRPr="00C40F82">
        <w:rPr>
          <w:rFonts w:ascii="Calibri" w:hAnsi="Calibri" w:cs="Calibri"/>
        </w:rPr>
        <w:t xml:space="preserve">A. Bahar, A. Hamami, F. </w:t>
      </w:r>
      <w:proofErr w:type="spellStart"/>
      <w:r w:rsidRPr="00C40F82">
        <w:rPr>
          <w:rFonts w:ascii="Calibri" w:hAnsi="Calibri" w:cs="Calibri"/>
        </w:rPr>
        <w:t>Benmahiddine</w:t>
      </w:r>
      <w:proofErr w:type="spellEnd"/>
      <w:r w:rsidRPr="00C40F82">
        <w:rPr>
          <w:rFonts w:ascii="Calibri" w:hAnsi="Calibri" w:cs="Calibri"/>
        </w:rPr>
        <w:t xml:space="preserve">, S. </w:t>
      </w:r>
      <w:proofErr w:type="spellStart"/>
      <w:r w:rsidRPr="00C40F82">
        <w:rPr>
          <w:rFonts w:ascii="Calibri" w:hAnsi="Calibri" w:cs="Calibri"/>
        </w:rPr>
        <w:t>Belhabib</w:t>
      </w:r>
      <w:proofErr w:type="spellEnd"/>
      <w:r w:rsidRPr="00C40F82">
        <w:rPr>
          <w:rFonts w:ascii="Calibri" w:hAnsi="Calibri" w:cs="Calibri"/>
        </w:rPr>
        <w:t xml:space="preserve">, </w:t>
      </w:r>
      <w:r w:rsidRPr="00C40F82">
        <w:rPr>
          <w:rFonts w:ascii="Calibri" w:hAnsi="Calibri" w:cs="Calibri"/>
          <w:b/>
          <w:bCs/>
        </w:rPr>
        <w:t>R. Belarbi</w:t>
      </w:r>
      <w:r w:rsidRPr="00C40F82">
        <w:rPr>
          <w:rFonts w:ascii="Calibri" w:hAnsi="Calibri" w:cs="Calibri"/>
        </w:rPr>
        <w:t xml:space="preserve"> and S. </w:t>
      </w:r>
      <w:proofErr w:type="spellStart"/>
      <w:r w:rsidRPr="00C40F82">
        <w:rPr>
          <w:rFonts w:ascii="Calibri" w:hAnsi="Calibri" w:cs="Calibri"/>
        </w:rPr>
        <w:t>Guessasma</w:t>
      </w:r>
      <w:proofErr w:type="spellEnd"/>
      <w:r w:rsidRPr="00C40F82">
        <w:rPr>
          <w:rFonts w:ascii="Calibri" w:hAnsi="Calibri" w:cs="Calibri"/>
        </w:rPr>
        <w:t>, The Thermal and Mechanical Behaviour of Wood-PLA Composites Processed by Additive Manufacturing for Building Insulation, Polymers 2023, 15, 3056. https://doi.org//10.3390/polym15143056</w:t>
      </w:r>
      <w:r>
        <w:rPr>
          <w:rFonts w:ascii="Calibri" w:hAnsi="Calibri" w:cs="Calibri"/>
        </w:rPr>
        <w:t>n</w:t>
      </w:r>
    </w:p>
    <w:p w14:paraId="7FCA3337" w14:textId="35993147" w:rsidR="00FD3988" w:rsidRPr="00AC259E" w:rsidRDefault="00FD3988" w:rsidP="00FD3988">
      <w:pPr>
        <w:pStyle w:val="ListParagraph"/>
        <w:numPr>
          <w:ilvl w:val="0"/>
          <w:numId w:val="5"/>
        </w:numPr>
        <w:tabs>
          <w:tab w:val="num" w:pos="360"/>
        </w:tabs>
        <w:spacing w:line="256" w:lineRule="auto"/>
        <w:ind w:left="360"/>
        <w:jc w:val="both"/>
        <w:rPr>
          <w:rFonts w:ascii="Calibri" w:hAnsi="Calibri" w:cs="Calibri"/>
        </w:rPr>
      </w:pPr>
      <w:proofErr w:type="spellStart"/>
      <w:proofErr w:type="gramStart"/>
      <w:r w:rsidRPr="00AC259E">
        <w:rPr>
          <w:rFonts w:ascii="Calibri" w:hAnsi="Calibri" w:cs="Calibri"/>
        </w:rPr>
        <w:t>A.Charaka</w:t>
      </w:r>
      <w:proofErr w:type="spellEnd"/>
      <w:proofErr w:type="gramEnd"/>
      <w:r w:rsidRPr="00AC259E">
        <w:rPr>
          <w:rFonts w:ascii="Calibri" w:hAnsi="Calibri" w:cs="Calibri"/>
        </w:rPr>
        <w:t xml:space="preserve">, J. Berger, F. </w:t>
      </w:r>
      <w:proofErr w:type="spellStart"/>
      <w:r w:rsidRPr="00AC259E">
        <w:rPr>
          <w:rFonts w:ascii="Calibri" w:hAnsi="Calibri" w:cs="Calibri"/>
        </w:rPr>
        <w:t>Benmahiddine</w:t>
      </w:r>
      <w:proofErr w:type="spellEnd"/>
      <w:r w:rsidRPr="00AC259E">
        <w:rPr>
          <w:rFonts w:ascii="Calibri" w:hAnsi="Calibri" w:cs="Calibri"/>
        </w:rPr>
        <w:t xml:space="preserve">, </w:t>
      </w:r>
      <w:r w:rsidRPr="00AC259E">
        <w:rPr>
          <w:rFonts w:ascii="Calibri" w:hAnsi="Calibri" w:cs="Calibri"/>
          <w:b/>
          <w:bCs/>
        </w:rPr>
        <w:t>R. Belarbi</w:t>
      </w:r>
      <w:r w:rsidRPr="00AC259E">
        <w:rPr>
          <w:rFonts w:ascii="Calibri" w:hAnsi="Calibri" w:cs="Calibri"/>
        </w:rPr>
        <w:t>, On the development of accelerated aging design: assessment of its effects on a bio-based material, Journal of Porous Media, 2026, ISSN Online:1934-0508, https://doi.org//10.1615/JPorMedia.2025052023</w:t>
      </w:r>
    </w:p>
    <w:p w14:paraId="0B1BBF6B" w14:textId="77777777" w:rsidR="00FD3988" w:rsidRPr="00565641" w:rsidRDefault="00FD3988" w:rsidP="00FD3988">
      <w:pPr>
        <w:pStyle w:val="ListParagraph"/>
        <w:numPr>
          <w:ilvl w:val="0"/>
          <w:numId w:val="5"/>
        </w:numPr>
        <w:shd w:val="clear" w:color="auto" w:fill="FFFFFF"/>
        <w:tabs>
          <w:tab w:val="num" w:pos="360"/>
        </w:tabs>
        <w:spacing w:after="0" w:line="240" w:lineRule="auto"/>
        <w:ind w:left="360"/>
        <w:jc w:val="both"/>
        <w:textAlignment w:val="baseline"/>
        <w:rPr>
          <w:rFonts w:ascii="Aptos" w:eastAsia="Times New Roman" w:hAnsi="Aptos" w:cs="Times New Roman"/>
          <w:color w:val="000000"/>
          <w:kern w:val="0"/>
          <w:lang w:eastAsia="en-AE"/>
          <w14:ligatures w14:val="none"/>
        </w:rPr>
      </w:pPr>
      <w:r w:rsidRPr="00565641">
        <w:rPr>
          <w:rFonts w:ascii="Calibri" w:hAnsi="Calibri" w:cs="Calibri"/>
          <w:lang w:val="en-US"/>
        </w:rPr>
        <w:t xml:space="preserve">A. Charaka, J. Berger, F. </w:t>
      </w:r>
      <w:proofErr w:type="spellStart"/>
      <w:r w:rsidRPr="00565641">
        <w:rPr>
          <w:rFonts w:ascii="Calibri" w:hAnsi="Calibri" w:cs="Calibri"/>
          <w:lang w:val="en-US"/>
        </w:rPr>
        <w:t>Benmahiddine</w:t>
      </w:r>
      <w:proofErr w:type="spellEnd"/>
      <w:r w:rsidRPr="00565641">
        <w:rPr>
          <w:rFonts w:ascii="Calibri" w:hAnsi="Calibri" w:cs="Calibri"/>
          <w:lang w:val="en-US"/>
        </w:rPr>
        <w:t xml:space="preserve">, </w:t>
      </w:r>
      <w:r w:rsidRPr="00565641">
        <w:rPr>
          <w:rFonts w:ascii="Calibri" w:hAnsi="Calibri" w:cs="Calibri"/>
          <w:b/>
          <w:bCs/>
          <w:lang w:val="en-US"/>
        </w:rPr>
        <w:t>R. Belarbi</w:t>
      </w:r>
      <w:r w:rsidRPr="0023542F">
        <w:rPr>
          <w:rFonts w:ascii="Calibri" w:hAnsi="Calibri" w:cs="Calibri"/>
          <w:lang w:val="en-US"/>
        </w:rPr>
        <w:t>,</w:t>
      </w:r>
      <w:r w:rsidRPr="00565641">
        <w:rPr>
          <w:rFonts w:ascii="Calibri" w:hAnsi="Calibri" w:cs="Calibri"/>
          <w:lang w:val="en-US"/>
        </w:rPr>
        <w:t xml:space="preserve"> Experimental assessment of the similarity law for a one-dimensional coupled heat and water vapor diffusion in hemp concrete,</w:t>
      </w:r>
      <w:r w:rsidRPr="00565641">
        <w:rPr>
          <w:rFonts w:ascii="Calibri" w:hAnsi="Calibri" w:cs="Calibri"/>
          <w:i/>
          <w:iCs/>
          <w:lang w:val="en-US"/>
        </w:rPr>
        <w:t xml:space="preserve"> International Journal of Heat and Mass Transfer (2023) </w:t>
      </w:r>
      <w:hyperlink r:id="rId7" w:history="1">
        <w:r w:rsidRPr="00565641">
          <w:rPr>
            <w:rStyle w:val="Hyperlink"/>
            <w:rFonts w:ascii="Calibri" w:hAnsi="Calibri" w:cs="Calibri"/>
            <w:lang w:val="en-US"/>
          </w:rPr>
          <w:t>https://doi.org//10.1016/j. .2023.124122</w:t>
        </w:r>
      </w:hyperlink>
      <w:r w:rsidRPr="00565641">
        <w:rPr>
          <w:rStyle w:val="Hyperlink"/>
          <w:rFonts w:ascii="Calibri" w:hAnsi="Calibri" w:cs="Calibri"/>
          <w:lang w:val="en-US"/>
        </w:rPr>
        <w:t xml:space="preserve"> </w:t>
      </w:r>
    </w:p>
    <w:p w14:paraId="428B17DB" w14:textId="77777777" w:rsidR="00FD3988" w:rsidRPr="00C40F82" w:rsidRDefault="00FD3988" w:rsidP="00746059">
      <w:pPr>
        <w:pStyle w:val="ListParagraph"/>
        <w:numPr>
          <w:ilvl w:val="0"/>
          <w:numId w:val="5"/>
        </w:numPr>
        <w:shd w:val="clear" w:color="auto" w:fill="FFFFFF"/>
        <w:tabs>
          <w:tab w:val="num" w:pos="360"/>
        </w:tabs>
        <w:spacing w:after="0" w:line="240" w:lineRule="auto"/>
        <w:ind w:left="360"/>
        <w:jc w:val="both"/>
        <w:textAlignment w:val="baseline"/>
      </w:pPr>
      <w:r w:rsidRPr="00565641">
        <w:rPr>
          <w:rFonts w:ascii="Aptos" w:eastAsia="Times New Roman" w:hAnsi="Aptos" w:cs="Times New Roman"/>
          <w:color w:val="000000"/>
          <w:kern w:val="0"/>
          <w:lang w:eastAsia="en-AE"/>
          <w14:ligatures w14:val="none"/>
        </w:rPr>
        <w:t xml:space="preserve">Akli Younsi, Armelle </w:t>
      </w:r>
      <w:proofErr w:type="spellStart"/>
      <w:r w:rsidRPr="00565641">
        <w:rPr>
          <w:rFonts w:ascii="Aptos" w:eastAsia="Times New Roman" w:hAnsi="Aptos" w:cs="Times New Roman"/>
          <w:color w:val="000000"/>
          <w:kern w:val="0"/>
          <w:lang w:eastAsia="en-AE"/>
          <w14:ligatures w14:val="none"/>
        </w:rPr>
        <w:t>Nouviaire</w:t>
      </w:r>
      <w:proofErr w:type="spellEnd"/>
      <w:r w:rsidRPr="00565641">
        <w:rPr>
          <w:rFonts w:ascii="Aptos" w:eastAsia="Times New Roman" w:hAnsi="Aptos" w:cs="Times New Roman"/>
          <w:color w:val="000000"/>
          <w:kern w:val="0"/>
          <w:lang w:eastAsia="en-AE"/>
          <w14:ligatures w14:val="none"/>
        </w:rPr>
        <w:t>, </w:t>
      </w:r>
      <w:r w:rsidRPr="00565641">
        <w:rPr>
          <w:rFonts w:ascii="Aptos" w:eastAsia="Times New Roman" w:hAnsi="Aptos" w:cs="Times New Roman"/>
          <w:b/>
          <w:bCs/>
          <w:color w:val="000000"/>
          <w:kern w:val="0"/>
          <w:lang w:eastAsia="en-AE"/>
          <w14:ligatures w14:val="none"/>
        </w:rPr>
        <w:t>Rafik Belarbi</w:t>
      </w:r>
      <w:r w:rsidRPr="00565641">
        <w:rPr>
          <w:rFonts w:ascii="Aptos" w:eastAsia="Times New Roman" w:hAnsi="Aptos" w:cs="Times New Roman"/>
          <w:color w:val="000000"/>
          <w:kern w:val="0"/>
          <w:lang w:eastAsia="en-AE"/>
          <w14:ligatures w14:val="none"/>
        </w:rPr>
        <w:t xml:space="preserve">, Effect of recycled waste cardboard chips on the </w:t>
      </w:r>
      <w:proofErr w:type="spellStart"/>
      <w:r w:rsidRPr="00565641">
        <w:rPr>
          <w:rFonts w:ascii="Aptos" w:eastAsia="Times New Roman" w:hAnsi="Aptos" w:cs="Times New Roman"/>
          <w:color w:val="000000"/>
          <w:kern w:val="0"/>
          <w:lang w:eastAsia="en-AE"/>
          <w14:ligatures w14:val="none"/>
        </w:rPr>
        <w:t>physico</w:t>
      </w:r>
      <w:proofErr w:type="spellEnd"/>
      <w:r w:rsidRPr="00565641">
        <w:rPr>
          <w:rFonts w:ascii="Aptos" w:eastAsia="Times New Roman" w:hAnsi="Aptos" w:cs="Times New Roman"/>
          <w:color w:val="000000"/>
          <w:kern w:val="0"/>
          <w:lang w:eastAsia="en-AE"/>
          <w14:ligatures w14:val="none"/>
        </w:rPr>
        <w:t xml:space="preserve">-thermal-hygric properties of hemp-lime </w:t>
      </w:r>
      <w:proofErr w:type="spellStart"/>
      <w:r w:rsidRPr="00565641">
        <w:rPr>
          <w:rFonts w:ascii="Aptos" w:eastAsia="Times New Roman" w:hAnsi="Aptos" w:cs="Times New Roman"/>
          <w:color w:val="000000"/>
          <w:kern w:val="0"/>
          <w:lang w:eastAsia="en-AE"/>
          <w14:ligatures w14:val="none"/>
        </w:rPr>
        <w:t>biocomposites</w:t>
      </w:r>
      <w:proofErr w:type="spellEnd"/>
      <w:r w:rsidRPr="00565641">
        <w:rPr>
          <w:rFonts w:ascii="Aptos" w:eastAsia="Times New Roman" w:hAnsi="Aptos" w:cs="Times New Roman"/>
          <w:color w:val="000000"/>
          <w:kern w:val="0"/>
          <w:lang w:eastAsia="en-AE"/>
          <w14:ligatures w14:val="none"/>
        </w:rPr>
        <w:t xml:space="preserve">, Results in Engineering, Volume 29, 2026,109773, ISSN 2590-1230, </w:t>
      </w:r>
      <w:hyperlink r:id="rId8" w:tgtFrame="_blank" w:tooltip="https://doi.org/10.1016/j.rineng.2026.109773" w:history="1">
        <w:r w:rsidRPr="00565641">
          <w:rPr>
            <w:rFonts w:ascii="Aptos" w:eastAsia="Times New Roman" w:hAnsi="Aptos" w:cs="Times New Roman"/>
            <w:color w:val="0000FF"/>
            <w:kern w:val="0"/>
            <w:u w:val="single"/>
            <w:bdr w:val="none" w:sz="0" w:space="0" w:color="auto" w:frame="1"/>
            <w:lang w:eastAsia="en-AE"/>
            <w14:ligatures w14:val="none"/>
          </w:rPr>
          <w:t>https://doi.org/10.1016/j.rineng.2026.109773</w:t>
        </w:r>
      </w:hyperlink>
      <w:r w:rsidRPr="00565641">
        <w:rPr>
          <w:rFonts w:ascii="Aptos" w:eastAsia="Times New Roman" w:hAnsi="Aptos" w:cs="Times New Roman"/>
          <w:color w:val="000000"/>
          <w:kern w:val="0"/>
          <w:lang w:eastAsia="en-AE"/>
          <w14:ligatures w14:val="none"/>
        </w:rPr>
        <w:t>.</w:t>
      </w:r>
    </w:p>
    <w:p w14:paraId="6D1EF7EF" w14:textId="35DC8DBF" w:rsidR="00FD3988" w:rsidRPr="00C40F82" w:rsidRDefault="00FD3988" w:rsidP="00C40F82">
      <w:pPr>
        <w:pStyle w:val="ListParagraph"/>
        <w:numPr>
          <w:ilvl w:val="0"/>
          <w:numId w:val="5"/>
        </w:numPr>
        <w:shd w:val="clear" w:color="auto" w:fill="FFFFFF"/>
        <w:tabs>
          <w:tab w:val="num" w:pos="360"/>
        </w:tabs>
        <w:spacing w:after="0" w:line="240" w:lineRule="auto"/>
        <w:ind w:left="360"/>
        <w:jc w:val="both"/>
        <w:textAlignment w:val="baseline"/>
        <w:rPr>
          <w:rStyle w:val="Hyperlink"/>
          <w:color w:val="auto"/>
          <w:u w:val="none"/>
        </w:rPr>
      </w:pPr>
      <w:r w:rsidRPr="00C40F82">
        <w:rPr>
          <w:rFonts w:ascii="Calibri" w:hAnsi="Calibri" w:cs="Calibri"/>
          <w:lang w:val="en-US"/>
        </w:rPr>
        <w:t xml:space="preserve">A Younsi, M. Mahi, A. Hamami, </w:t>
      </w:r>
      <w:r w:rsidRPr="00C40F82">
        <w:rPr>
          <w:rFonts w:ascii="Calibri" w:hAnsi="Calibri" w:cs="Calibri"/>
          <w:b/>
          <w:bCs/>
          <w:lang w:val="en-US"/>
        </w:rPr>
        <w:t>R Belarbi</w:t>
      </w:r>
      <w:r w:rsidRPr="00C40F82">
        <w:rPr>
          <w:rFonts w:ascii="Calibri" w:hAnsi="Calibri" w:cs="Calibri"/>
          <w:lang w:val="en-US"/>
        </w:rPr>
        <w:t xml:space="preserve">, E Bastidas-Arteaga, High-Volume Recycled Waste Glass Powder Cement-Based Materials: Role of Glass Powder Granularity, Buildings 13 (7), 1783, 2023. </w:t>
      </w:r>
      <w:hyperlink r:id="rId9" w:history="1">
        <w:r w:rsidRPr="00C40F82">
          <w:rPr>
            <w:rStyle w:val="Hyperlink"/>
            <w:rFonts w:ascii="Calibri" w:hAnsi="Calibri" w:cs="Calibri"/>
            <w:lang w:val="en-US"/>
          </w:rPr>
          <w:t>https://doi.org//10.3390/buildings13071783</w:t>
        </w:r>
      </w:hyperlink>
      <w:r w:rsidRPr="00C40F82">
        <w:rPr>
          <w:rStyle w:val="Hyperlink"/>
          <w:rFonts w:ascii="Calibri" w:hAnsi="Calibri" w:cs="Calibri"/>
        </w:rPr>
        <w:t xml:space="preserve"> </w:t>
      </w:r>
    </w:p>
    <w:p w14:paraId="581A81AF" w14:textId="77777777" w:rsidR="00FD3988" w:rsidRPr="00C40F82" w:rsidRDefault="00FD3988" w:rsidP="00C40F82">
      <w:pPr>
        <w:pStyle w:val="ListParagraph"/>
        <w:numPr>
          <w:ilvl w:val="0"/>
          <w:numId w:val="5"/>
        </w:numPr>
        <w:shd w:val="clear" w:color="auto" w:fill="FFFFFF"/>
        <w:tabs>
          <w:tab w:val="num" w:pos="360"/>
        </w:tabs>
        <w:spacing w:after="0" w:line="240" w:lineRule="auto"/>
        <w:ind w:left="360"/>
        <w:jc w:val="both"/>
        <w:textAlignment w:val="baseline"/>
        <w:rPr>
          <w:rStyle w:val="Hyperlink"/>
          <w:color w:val="auto"/>
          <w:u w:val="none"/>
        </w:rPr>
      </w:pPr>
      <w:proofErr w:type="spellStart"/>
      <w:r w:rsidRPr="00C40F82">
        <w:rPr>
          <w:rFonts w:ascii="Calibri" w:hAnsi="Calibri" w:cs="Calibri"/>
          <w:lang w:val="en-US"/>
        </w:rPr>
        <w:t>Boumlik</w:t>
      </w:r>
      <w:proofErr w:type="spellEnd"/>
      <w:r w:rsidRPr="00C40F82">
        <w:rPr>
          <w:rFonts w:ascii="Calibri" w:hAnsi="Calibri" w:cs="Calibri"/>
          <w:lang w:val="en-US"/>
        </w:rPr>
        <w:t xml:space="preserve">, Karim, </w:t>
      </w:r>
      <w:r w:rsidRPr="00C40F82">
        <w:rPr>
          <w:rFonts w:ascii="Calibri" w:hAnsi="Calibri" w:cs="Calibri"/>
          <w:b/>
          <w:bCs/>
          <w:lang w:val="en-US"/>
        </w:rPr>
        <w:t>Rafik Belarbi</w:t>
      </w:r>
      <w:r w:rsidRPr="00C40F82">
        <w:rPr>
          <w:rFonts w:ascii="Calibri" w:hAnsi="Calibri" w:cs="Calibri"/>
          <w:lang w:val="en-US"/>
        </w:rPr>
        <w:t xml:space="preserve">, Mohammed Ahachad, Mustapha Mahdaoui, Hassan Radoine, and Moncef Krarti. 2024. "Design Optimization of Energy-Efficient Residential Buildings in Morocco, </w:t>
      </w:r>
      <w:r w:rsidRPr="00C40F82">
        <w:rPr>
          <w:rFonts w:ascii="Calibri" w:hAnsi="Calibri" w:cs="Calibri"/>
          <w:b/>
          <w:bCs/>
          <w:i/>
          <w:iCs/>
          <w:lang w:val="en-US"/>
        </w:rPr>
        <w:t>Buildings</w:t>
      </w:r>
      <w:r w:rsidRPr="00C40F82">
        <w:rPr>
          <w:rFonts w:ascii="Calibri" w:hAnsi="Calibri" w:cs="Calibri"/>
          <w:lang w:val="en-US"/>
        </w:rPr>
        <w:t xml:space="preserve"> 14, no. 12: 3915. </w:t>
      </w:r>
      <w:hyperlink r:id="rId10" w:history="1">
        <w:r w:rsidRPr="00C40F82">
          <w:rPr>
            <w:rStyle w:val="Hyperlink"/>
            <w:rFonts w:cs="Calibri"/>
            <w:lang w:val="en-US"/>
          </w:rPr>
          <w:t>https://doi.org/10.3390/buildings14123915</w:t>
        </w:r>
      </w:hyperlink>
      <w:r w:rsidRPr="00C40F82">
        <w:rPr>
          <w:rStyle w:val="Hyperlink"/>
          <w:rFonts w:cs="Calibri"/>
          <w:lang w:val="en-US"/>
        </w:rPr>
        <w:t xml:space="preserve"> </w:t>
      </w:r>
    </w:p>
    <w:p w14:paraId="0BEE0C24" w14:textId="77777777" w:rsidR="00FD3988" w:rsidRPr="00C40F82" w:rsidRDefault="00FD3988" w:rsidP="00C40F82">
      <w:pPr>
        <w:pStyle w:val="ListParagraph"/>
        <w:numPr>
          <w:ilvl w:val="0"/>
          <w:numId w:val="5"/>
        </w:numPr>
        <w:shd w:val="clear" w:color="auto" w:fill="FFFFFF"/>
        <w:tabs>
          <w:tab w:val="num" w:pos="360"/>
        </w:tabs>
        <w:spacing w:after="0" w:line="240" w:lineRule="auto"/>
        <w:ind w:left="360"/>
        <w:jc w:val="both"/>
        <w:textAlignment w:val="baseline"/>
        <w:rPr>
          <w:rStyle w:val="Hyperlink"/>
          <w:color w:val="auto"/>
          <w:u w:val="none"/>
        </w:rPr>
      </w:pPr>
      <w:r w:rsidRPr="00C40F82">
        <w:rPr>
          <w:rFonts w:ascii="Calibri" w:hAnsi="Calibri" w:cs="Calibri"/>
          <w:lang w:val="en-US"/>
        </w:rPr>
        <w:t xml:space="preserve">Charaka, J. Berger, </w:t>
      </w:r>
      <w:r w:rsidRPr="00C40F82">
        <w:rPr>
          <w:rFonts w:ascii="Calibri" w:hAnsi="Calibri" w:cs="Calibri"/>
          <w:b/>
          <w:bCs/>
          <w:lang w:val="en-US"/>
        </w:rPr>
        <w:t>R. Belarbi</w:t>
      </w:r>
      <w:r w:rsidRPr="00C40F82">
        <w:rPr>
          <w:rFonts w:ascii="Calibri" w:hAnsi="Calibri" w:cs="Calibri"/>
          <w:lang w:val="en-US"/>
        </w:rPr>
        <w:t xml:space="preserve">, Critical assessment of an aging phenomenological model for building materials, Journal of Building Physics, 2025, Vol.48(6), p.889-921, </w:t>
      </w:r>
      <w:r w:rsidRPr="00C40F82">
        <w:rPr>
          <w:rFonts w:ascii="Calibri" w:hAnsi="Calibri" w:cs="Calibri"/>
          <w:b/>
          <w:bCs/>
          <w:lang w:val="en-US"/>
        </w:rPr>
        <w:t>ISSN: </w:t>
      </w:r>
      <w:r w:rsidRPr="00C40F82">
        <w:rPr>
          <w:rFonts w:ascii="Calibri" w:hAnsi="Calibri" w:cs="Calibri"/>
          <w:lang w:val="en-US"/>
        </w:rPr>
        <w:t>1744-2591 ,1744-2583; </w:t>
      </w:r>
      <w:hyperlink r:id="rId11" w:history="1">
        <w:r w:rsidRPr="00C40F82">
          <w:rPr>
            <w:rStyle w:val="Hyperlink"/>
            <w:rFonts w:ascii="Calibri" w:hAnsi="Calibri" w:cs="Calibri"/>
            <w:lang w:val="en-US"/>
          </w:rPr>
          <w:t>https://doi.org//10.1177/17442591241299035</w:t>
        </w:r>
      </w:hyperlink>
      <w:r w:rsidRPr="00C40F82">
        <w:rPr>
          <w:rStyle w:val="Hyperlink"/>
          <w:rFonts w:ascii="Calibri" w:hAnsi="Calibri" w:cs="Calibri"/>
          <w:lang w:val="en-US"/>
        </w:rPr>
        <w:t xml:space="preserve"> </w:t>
      </w:r>
    </w:p>
    <w:p w14:paraId="46547454" w14:textId="77777777" w:rsidR="00FD3988" w:rsidRPr="00565641" w:rsidRDefault="00FD3988" w:rsidP="00FD3988">
      <w:pPr>
        <w:pStyle w:val="ListParagraph"/>
        <w:numPr>
          <w:ilvl w:val="0"/>
          <w:numId w:val="5"/>
        </w:numPr>
        <w:shd w:val="clear" w:color="auto" w:fill="FFFFFF"/>
        <w:tabs>
          <w:tab w:val="num" w:pos="360"/>
        </w:tabs>
        <w:spacing w:after="0" w:line="240" w:lineRule="auto"/>
        <w:ind w:left="360"/>
        <w:jc w:val="both"/>
        <w:textAlignment w:val="baseline"/>
        <w:rPr>
          <w:rFonts w:ascii="Aptos" w:eastAsia="Times New Roman" w:hAnsi="Aptos" w:cs="Times New Roman"/>
          <w:color w:val="242424"/>
          <w:kern w:val="0"/>
          <w:lang w:eastAsia="en-AE"/>
          <w14:ligatures w14:val="none"/>
        </w:rPr>
      </w:pPr>
      <w:r w:rsidRPr="00565641">
        <w:rPr>
          <w:rFonts w:ascii="Calibri" w:hAnsi="Calibri" w:cs="Calibri"/>
          <w:lang w:val="en-US"/>
        </w:rPr>
        <w:t xml:space="preserve">Deeb, O. </w:t>
      </w:r>
      <w:proofErr w:type="spellStart"/>
      <w:r w:rsidRPr="00565641">
        <w:rPr>
          <w:rFonts w:ascii="Calibri" w:hAnsi="Calibri" w:cs="Calibri"/>
          <w:lang w:val="en-US"/>
        </w:rPr>
        <w:t>Kalaoun</w:t>
      </w:r>
      <w:proofErr w:type="spellEnd"/>
      <w:r w:rsidRPr="00565641">
        <w:rPr>
          <w:rFonts w:ascii="Calibri" w:hAnsi="Calibri" w:cs="Calibri"/>
          <w:lang w:val="en-US"/>
        </w:rPr>
        <w:t xml:space="preserve">, </w:t>
      </w:r>
      <w:r w:rsidRPr="00565641">
        <w:rPr>
          <w:rFonts w:ascii="Calibri" w:hAnsi="Calibri" w:cs="Calibri"/>
          <w:b/>
          <w:bCs/>
          <w:lang w:val="en-US"/>
        </w:rPr>
        <w:t>R. Belarbi</w:t>
      </w:r>
      <w:r w:rsidRPr="00565641">
        <w:rPr>
          <w:rFonts w:ascii="Calibri" w:hAnsi="Calibri" w:cs="Calibri"/>
          <w:lang w:val="en-US"/>
        </w:rPr>
        <w:t xml:space="preserve"> Proper Generalized Decomposition using Taylor expansion for non-linear diffusion equations, </w:t>
      </w:r>
      <w:r w:rsidRPr="00565641">
        <w:rPr>
          <w:rFonts w:ascii="Calibri" w:hAnsi="Calibri" w:cs="Calibri"/>
          <w:b/>
          <w:bCs/>
          <w:i/>
          <w:iCs/>
          <w:lang w:val="en-US"/>
        </w:rPr>
        <w:t>Mathematics and Computers in Simulation</w:t>
      </w:r>
      <w:r w:rsidRPr="00565641">
        <w:rPr>
          <w:rFonts w:ascii="Calibri" w:hAnsi="Calibri" w:cs="Calibri"/>
          <w:lang w:val="en-US"/>
        </w:rPr>
        <w:t xml:space="preserve">, V. 208, pp.71-94, 2023, ISSN 0378-4754, </w:t>
      </w:r>
      <w:r w:rsidRPr="00565641">
        <w:rPr>
          <w:rStyle w:val="Hyperlink"/>
          <w:rFonts w:ascii="Calibri" w:eastAsiaTheme="minorEastAsia" w:hAnsi="Calibri" w:cs="Calibri"/>
          <w:lang w:val="en-US"/>
        </w:rPr>
        <w:t xml:space="preserve">doi.org/10.1016/j.matcom.2023.01.008 </w:t>
      </w:r>
    </w:p>
    <w:p w14:paraId="30FF9DA6" w14:textId="77777777" w:rsidR="00FD3988" w:rsidRPr="00565641" w:rsidRDefault="00FD3988" w:rsidP="00FD3988">
      <w:pPr>
        <w:pStyle w:val="ListParagraph"/>
        <w:numPr>
          <w:ilvl w:val="0"/>
          <w:numId w:val="5"/>
        </w:numPr>
        <w:shd w:val="clear" w:color="auto" w:fill="FFFFFF"/>
        <w:tabs>
          <w:tab w:val="num" w:pos="360"/>
        </w:tabs>
        <w:spacing w:after="0" w:line="256" w:lineRule="auto"/>
        <w:ind w:left="360"/>
        <w:jc w:val="both"/>
        <w:textAlignment w:val="baseline"/>
        <w:rPr>
          <w:rFonts w:ascii="Aptos" w:eastAsia="Aptos" w:hAnsi="Aptos" w:cs="Times New Roman"/>
          <w:sz w:val="22"/>
          <w:szCs w:val="22"/>
          <w:lang w:val="fr-FR"/>
        </w:rPr>
      </w:pPr>
      <w:r w:rsidRPr="00746059">
        <w:rPr>
          <w:rFonts w:ascii="Aptos" w:eastAsia="Times New Roman" w:hAnsi="Aptos" w:cs="Times New Roman"/>
          <w:color w:val="000000"/>
          <w:kern w:val="0"/>
          <w:bdr w:val="none" w:sz="0" w:space="0" w:color="auto" w:frame="1"/>
          <w:lang w:val="pt-PT" w:eastAsia="en-AE"/>
          <w14:ligatures w14:val="none"/>
        </w:rPr>
        <w:t>El Bachawati, Makram, Yassine Elias Belarbi, Henri El Zakhem, and </w:t>
      </w:r>
      <w:r w:rsidRPr="00746059">
        <w:rPr>
          <w:rFonts w:ascii="Aptos" w:eastAsia="Times New Roman" w:hAnsi="Aptos" w:cs="Times New Roman"/>
          <w:b/>
          <w:bCs/>
          <w:color w:val="000000"/>
          <w:kern w:val="0"/>
          <w:bdr w:val="none" w:sz="0" w:space="0" w:color="auto" w:frame="1"/>
          <w:lang w:val="pt-PT" w:eastAsia="en-AE"/>
          <w14:ligatures w14:val="none"/>
        </w:rPr>
        <w:t>Rafik Belarbi</w:t>
      </w:r>
      <w:r w:rsidRPr="00746059">
        <w:rPr>
          <w:rFonts w:ascii="Aptos" w:eastAsia="Times New Roman" w:hAnsi="Aptos" w:cs="Times New Roman"/>
          <w:color w:val="000000"/>
          <w:kern w:val="0"/>
          <w:bdr w:val="none" w:sz="0" w:space="0" w:color="auto" w:frame="1"/>
          <w:lang w:val="pt-PT" w:eastAsia="en-AE"/>
          <w14:ligatures w14:val="none"/>
        </w:rPr>
        <w:t xml:space="preserve">. </w:t>
      </w:r>
      <w:r w:rsidRPr="00565641">
        <w:rPr>
          <w:rFonts w:ascii="Aptos" w:eastAsia="Times New Roman" w:hAnsi="Aptos" w:cs="Times New Roman"/>
          <w:color w:val="000000"/>
          <w:kern w:val="0"/>
          <w:bdr w:val="none" w:sz="0" w:space="0" w:color="auto" w:frame="1"/>
          <w:lang w:eastAsia="en-AE"/>
          <w14:ligatures w14:val="none"/>
        </w:rPr>
        <w:t>2026. "Life Cycle Assessment of Sustainable Materials: A Comprehensive Analysis of Methodological Asymmetries and Environmental Trade-Offs" </w:t>
      </w:r>
      <w:r w:rsidRPr="00565641">
        <w:rPr>
          <w:rFonts w:ascii="Aptos" w:eastAsia="Times New Roman" w:hAnsi="Aptos" w:cs="Times New Roman"/>
          <w:i/>
          <w:iCs/>
          <w:color w:val="000000"/>
          <w:kern w:val="0"/>
          <w:bdr w:val="none" w:sz="0" w:space="0" w:color="auto" w:frame="1"/>
          <w:lang w:eastAsia="en-AE"/>
          <w14:ligatures w14:val="none"/>
        </w:rPr>
        <w:t>Buildings</w:t>
      </w:r>
      <w:r w:rsidRPr="00565641">
        <w:rPr>
          <w:rFonts w:ascii="Aptos" w:eastAsia="Times New Roman" w:hAnsi="Aptos" w:cs="Times New Roman"/>
          <w:color w:val="000000"/>
          <w:kern w:val="0"/>
          <w:bdr w:val="none" w:sz="0" w:space="0" w:color="auto" w:frame="1"/>
          <w:lang w:eastAsia="en-AE"/>
          <w14:ligatures w14:val="none"/>
        </w:rPr>
        <w:t> 16, no. 7: 1385. </w:t>
      </w:r>
      <w:hyperlink r:id="rId12" w:tgtFrame="_blank" w:tooltip="https://doi.org/10.3390/buildings16071385" w:history="1">
        <w:r w:rsidRPr="00565641">
          <w:rPr>
            <w:rFonts w:ascii="Aptos" w:eastAsia="Times New Roman" w:hAnsi="Aptos" w:cs="Times New Roman"/>
            <w:color w:val="467886"/>
            <w:kern w:val="0"/>
            <w:u w:val="single"/>
            <w:bdr w:val="none" w:sz="0" w:space="0" w:color="auto" w:frame="1"/>
            <w:lang w:eastAsia="en-AE"/>
            <w14:ligatures w14:val="none"/>
          </w:rPr>
          <w:t>https://doi.org/10.3390/buildings16071385</w:t>
        </w:r>
      </w:hyperlink>
    </w:p>
    <w:p w14:paraId="594FA8B1" w14:textId="77777777" w:rsidR="00FD3988" w:rsidRDefault="00FD3988" w:rsidP="00FD3988">
      <w:pPr>
        <w:pStyle w:val="ListParagraph"/>
        <w:numPr>
          <w:ilvl w:val="0"/>
          <w:numId w:val="5"/>
        </w:numPr>
        <w:tabs>
          <w:tab w:val="num" w:pos="360"/>
        </w:tabs>
        <w:spacing w:line="256" w:lineRule="auto"/>
        <w:ind w:left="360"/>
        <w:jc w:val="both"/>
        <w:rPr>
          <w:rFonts w:ascii="Calibri" w:hAnsi="Calibri" w:cs="Calibri"/>
          <w:lang w:val="en-US"/>
        </w:rPr>
      </w:pPr>
      <w:r>
        <w:rPr>
          <w:rFonts w:ascii="Calibri" w:hAnsi="Calibri" w:cs="Calibri"/>
          <w:lang w:val="en-US"/>
        </w:rPr>
        <w:t xml:space="preserve">F. </w:t>
      </w:r>
      <w:proofErr w:type="spellStart"/>
      <w:r>
        <w:rPr>
          <w:rFonts w:ascii="Calibri" w:hAnsi="Calibri" w:cs="Calibri"/>
          <w:lang w:val="en-US"/>
        </w:rPr>
        <w:t>Benmahiddine</w:t>
      </w:r>
      <w:proofErr w:type="spellEnd"/>
      <w:r>
        <w:rPr>
          <w:rFonts w:ascii="Calibri" w:hAnsi="Calibri" w:cs="Calibri"/>
          <w:lang w:val="en-US"/>
        </w:rPr>
        <w:t xml:space="preserve">, F. Bennai, A. Charaka, A.E.A Hamami, A. </w:t>
      </w:r>
      <w:proofErr w:type="spellStart"/>
      <w:r>
        <w:rPr>
          <w:rFonts w:ascii="Calibri" w:hAnsi="Calibri" w:cs="Calibri"/>
          <w:lang w:val="en-US"/>
        </w:rPr>
        <w:t>Tahakourt</w:t>
      </w:r>
      <w:proofErr w:type="spellEnd"/>
      <w:r>
        <w:rPr>
          <w:rFonts w:ascii="Calibri" w:hAnsi="Calibri" w:cs="Calibri"/>
          <w:lang w:val="en-US"/>
        </w:rPr>
        <w:t xml:space="preserve">, </w:t>
      </w:r>
      <w:r>
        <w:rPr>
          <w:rFonts w:ascii="Calibri" w:hAnsi="Calibri" w:cs="Calibri"/>
          <w:b/>
          <w:bCs/>
          <w:lang w:val="en-US"/>
        </w:rPr>
        <w:t>R. Belarbi</w:t>
      </w:r>
      <w:r>
        <w:rPr>
          <w:rFonts w:ascii="Calibri" w:hAnsi="Calibri" w:cs="Calibri"/>
          <w:lang w:val="en-US"/>
        </w:rPr>
        <w:t xml:space="preserve">, Multi-scale analysis of the effects of hysteresis on the hydrothermal </w:t>
      </w:r>
      <w:proofErr w:type="spellStart"/>
      <w:r>
        <w:rPr>
          <w:rFonts w:ascii="Calibri" w:hAnsi="Calibri" w:cs="Calibri"/>
          <w:lang w:val="en-US"/>
        </w:rPr>
        <w:t>behaviour</w:t>
      </w:r>
      <w:proofErr w:type="spellEnd"/>
      <w:r>
        <w:rPr>
          <w:rFonts w:ascii="Calibri" w:hAnsi="Calibri" w:cs="Calibri"/>
          <w:lang w:val="en-US"/>
        </w:rPr>
        <w:t xml:space="preserve"> of bio-based materials: Application to hemp concrete, </w:t>
      </w:r>
      <w:r>
        <w:rPr>
          <w:rFonts w:ascii="Calibri" w:hAnsi="Calibri" w:cs="Calibri"/>
          <w:b/>
          <w:bCs/>
          <w:i/>
          <w:iCs/>
          <w:lang w:val="en-US"/>
        </w:rPr>
        <w:t>Construction and Building Materials</w:t>
      </w:r>
      <w:r>
        <w:rPr>
          <w:rFonts w:ascii="Calibri" w:hAnsi="Calibri" w:cs="Calibri"/>
          <w:lang w:val="en-US"/>
        </w:rPr>
        <w:t xml:space="preserve">, V. 411, 134107, ISSN 0950-0618,2024 </w:t>
      </w:r>
      <w:hyperlink r:id="rId13" w:history="1">
        <w:r>
          <w:rPr>
            <w:rStyle w:val="Hyperlink"/>
            <w:rFonts w:ascii="Calibri" w:hAnsi="Calibri" w:cs="Calibri"/>
            <w:lang w:val="en-US"/>
          </w:rPr>
          <w:t>https://doi.org/10.1016/j.conbuildmat.2023.134107</w:t>
        </w:r>
      </w:hyperlink>
      <w:r>
        <w:rPr>
          <w:rFonts w:ascii="Calibri" w:hAnsi="Calibri" w:cs="Calibri"/>
          <w:lang w:val="en-US"/>
        </w:rPr>
        <w:t xml:space="preserve"> </w:t>
      </w:r>
    </w:p>
    <w:p w14:paraId="600781C3" w14:textId="77777777" w:rsidR="00FD3988" w:rsidRPr="00565641" w:rsidRDefault="00FD3988" w:rsidP="00FD3988">
      <w:pPr>
        <w:pStyle w:val="ListParagraph"/>
        <w:numPr>
          <w:ilvl w:val="0"/>
          <w:numId w:val="5"/>
        </w:numPr>
        <w:tabs>
          <w:tab w:val="num" w:pos="360"/>
        </w:tabs>
        <w:spacing w:line="256" w:lineRule="auto"/>
        <w:ind w:left="360"/>
        <w:jc w:val="both"/>
        <w:rPr>
          <w:rFonts w:ascii="Aptos" w:eastAsia="Aptos" w:hAnsi="Aptos" w:cs="Times New Roman"/>
          <w:sz w:val="22"/>
          <w:szCs w:val="22"/>
        </w:rPr>
      </w:pPr>
      <w:r w:rsidRPr="00565641">
        <w:rPr>
          <w:rFonts w:ascii="Calibri" w:hAnsi="Calibri" w:cs="Calibri"/>
          <w:lang w:val="en-US"/>
        </w:rPr>
        <w:t xml:space="preserve">F. </w:t>
      </w:r>
      <w:proofErr w:type="spellStart"/>
      <w:r w:rsidRPr="00565641">
        <w:rPr>
          <w:rFonts w:ascii="Calibri" w:hAnsi="Calibri" w:cs="Calibri"/>
          <w:lang w:val="en-US"/>
        </w:rPr>
        <w:t>Benmahiddine</w:t>
      </w:r>
      <w:proofErr w:type="spellEnd"/>
      <w:r w:rsidRPr="00565641">
        <w:rPr>
          <w:rFonts w:ascii="Calibri" w:hAnsi="Calibri" w:cs="Calibri"/>
          <w:lang w:val="en-US"/>
        </w:rPr>
        <w:t xml:space="preserve">, </w:t>
      </w:r>
      <w:r w:rsidRPr="00565641">
        <w:rPr>
          <w:rFonts w:ascii="Calibri" w:hAnsi="Calibri" w:cs="Calibri"/>
          <w:b/>
          <w:bCs/>
          <w:lang w:val="en-US"/>
        </w:rPr>
        <w:t>R. Belarbi</w:t>
      </w:r>
      <w:r w:rsidRPr="00565641">
        <w:rPr>
          <w:rFonts w:ascii="Calibri" w:hAnsi="Calibri" w:cs="Calibri"/>
          <w:lang w:val="en-US"/>
        </w:rPr>
        <w:t xml:space="preserve">, A. </w:t>
      </w:r>
      <w:proofErr w:type="spellStart"/>
      <w:r w:rsidRPr="00565641">
        <w:rPr>
          <w:rFonts w:ascii="Calibri" w:hAnsi="Calibri" w:cs="Calibri"/>
          <w:lang w:val="en-US"/>
        </w:rPr>
        <w:t>Tahakourt</w:t>
      </w:r>
      <w:proofErr w:type="spellEnd"/>
      <w:r w:rsidRPr="00565641">
        <w:rPr>
          <w:rFonts w:ascii="Calibri" w:hAnsi="Calibri" w:cs="Calibri"/>
          <w:lang w:val="en-US"/>
        </w:rPr>
        <w:t xml:space="preserve"> (2023). Effect of the Formulation on the Hydric and Mechanical Properties of Flax Concrete: Comparison with Hemp Concrete. In: Escalante-Garcia, J.I., Castro Borges, P., Duran-Herrera, A. (eds) Proceedings of the 75th RILEM Annual Week 2021. </w:t>
      </w:r>
      <w:r w:rsidRPr="00565641">
        <w:rPr>
          <w:rFonts w:ascii="Calibri" w:hAnsi="Calibri" w:cs="Calibri"/>
        </w:rPr>
        <w:t xml:space="preserve">RW 2021. </w:t>
      </w:r>
      <w:r w:rsidRPr="00565641">
        <w:rPr>
          <w:rFonts w:ascii="Calibri" w:hAnsi="Calibri" w:cs="Calibri"/>
          <w:b/>
          <w:bCs/>
          <w:i/>
          <w:iCs/>
        </w:rPr>
        <w:t xml:space="preserve">RILEM </w:t>
      </w:r>
      <w:proofErr w:type="spellStart"/>
      <w:r w:rsidRPr="00565641">
        <w:rPr>
          <w:rFonts w:ascii="Calibri" w:hAnsi="Calibri" w:cs="Calibri"/>
          <w:b/>
          <w:bCs/>
          <w:i/>
          <w:iCs/>
        </w:rPr>
        <w:t>Bookseries</w:t>
      </w:r>
      <w:proofErr w:type="spellEnd"/>
      <w:r w:rsidRPr="00565641">
        <w:rPr>
          <w:rFonts w:ascii="Calibri" w:hAnsi="Calibri" w:cs="Calibri"/>
          <w:b/>
          <w:bCs/>
          <w:i/>
          <w:iCs/>
        </w:rPr>
        <w:t>, vol 40. Springer, Cham.</w:t>
      </w:r>
      <w:r w:rsidRPr="00565641">
        <w:rPr>
          <w:rFonts w:ascii="Calibri" w:hAnsi="Calibri" w:cs="Calibri"/>
        </w:rPr>
        <w:t xml:space="preserve"> </w:t>
      </w:r>
      <w:r w:rsidRPr="00565641">
        <w:rPr>
          <w:rStyle w:val="Hyperlink"/>
          <w:rFonts w:ascii="Calibri" w:hAnsi="Calibri" w:cs="Calibri"/>
          <w:lang w:val="en-US"/>
        </w:rPr>
        <w:t>https://doi.org/10.1007/978-3-031-21735-7_4</w:t>
      </w:r>
    </w:p>
    <w:p w14:paraId="1B0A1286" w14:textId="77777777" w:rsidR="00FD3988" w:rsidRPr="00565641" w:rsidRDefault="00FD3988" w:rsidP="00FD3988">
      <w:pPr>
        <w:pStyle w:val="ListParagraph"/>
        <w:numPr>
          <w:ilvl w:val="0"/>
          <w:numId w:val="5"/>
        </w:numPr>
        <w:tabs>
          <w:tab w:val="num" w:pos="360"/>
        </w:tabs>
        <w:spacing w:line="256" w:lineRule="auto"/>
        <w:ind w:left="360"/>
        <w:jc w:val="both"/>
        <w:rPr>
          <w:rFonts w:ascii="Aptos" w:eastAsia="Aptos" w:hAnsi="Aptos" w:cs="Times New Roman"/>
          <w:sz w:val="22"/>
          <w:szCs w:val="22"/>
        </w:rPr>
      </w:pPr>
      <w:r w:rsidRPr="006B0BB5">
        <w:rPr>
          <w:rFonts w:ascii="Aptos" w:eastAsia="Aptos" w:hAnsi="Aptos" w:cs="Times New Roman"/>
          <w:sz w:val="22"/>
          <w:szCs w:val="22"/>
        </w:rPr>
        <w:t xml:space="preserve">F </w:t>
      </w:r>
      <w:proofErr w:type="spellStart"/>
      <w:r w:rsidRPr="006B0BB5">
        <w:rPr>
          <w:rFonts w:ascii="Aptos" w:eastAsia="Aptos" w:hAnsi="Aptos" w:cs="Times New Roman"/>
          <w:sz w:val="22"/>
          <w:szCs w:val="22"/>
        </w:rPr>
        <w:t>Mobasheri</w:t>
      </w:r>
      <w:proofErr w:type="spellEnd"/>
      <w:r w:rsidRPr="006B0BB5">
        <w:rPr>
          <w:rFonts w:ascii="Aptos" w:eastAsia="Aptos" w:hAnsi="Aptos" w:cs="Times New Roman"/>
          <w:sz w:val="22"/>
          <w:szCs w:val="22"/>
        </w:rPr>
        <w:t xml:space="preserve">, M </w:t>
      </w:r>
      <w:proofErr w:type="spellStart"/>
      <w:r w:rsidRPr="006B0BB5">
        <w:rPr>
          <w:rFonts w:ascii="Aptos" w:eastAsia="Aptos" w:hAnsi="Aptos" w:cs="Times New Roman"/>
          <w:sz w:val="22"/>
          <w:szCs w:val="22"/>
        </w:rPr>
        <w:t>Hosseinpoor</w:t>
      </w:r>
      <w:proofErr w:type="spellEnd"/>
      <w:r w:rsidRPr="006B0BB5">
        <w:rPr>
          <w:rFonts w:ascii="Aptos" w:eastAsia="Aptos" w:hAnsi="Aptos" w:cs="Times New Roman"/>
          <w:sz w:val="22"/>
          <w:szCs w:val="22"/>
        </w:rPr>
        <w:t xml:space="preserve">, </w:t>
      </w:r>
      <w:r w:rsidRPr="006B0BB5">
        <w:rPr>
          <w:rFonts w:ascii="Aptos" w:eastAsia="Aptos" w:hAnsi="Aptos" w:cs="Times New Roman"/>
          <w:b/>
          <w:bCs/>
          <w:sz w:val="22"/>
          <w:szCs w:val="22"/>
        </w:rPr>
        <w:t>A Yahia</w:t>
      </w:r>
      <w:r w:rsidRPr="006B0BB5">
        <w:rPr>
          <w:rFonts w:ascii="Aptos" w:eastAsia="Aptos" w:hAnsi="Aptos" w:cs="Times New Roman"/>
          <w:sz w:val="22"/>
          <w:szCs w:val="22"/>
        </w:rPr>
        <w:t xml:space="preserve">, F </w:t>
      </w:r>
      <w:proofErr w:type="spellStart"/>
      <w:r w:rsidRPr="006B0BB5">
        <w:rPr>
          <w:rFonts w:ascii="Aptos" w:eastAsia="Aptos" w:hAnsi="Aptos" w:cs="Times New Roman"/>
          <w:sz w:val="22"/>
          <w:szCs w:val="22"/>
        </w:rPr>
        <w:t>Pourkamali-Anaraki</w:t>
      </w:r>
      <w:proofErr w:type="spellEnd"/>
      <w:r w:rsidRPr="006B0BB5">
        <w:rPr>
          <w:rFonts w:ascii="Aptos" w:eastAsia="Aptos" w:hAnsi="Aptos" w:cs="Times New Roman"/>
          <w:sz w:val="22"/>
          <w:szCs w:val="22"/>
        </w:rPr>
        <w:t xml:space="preserve">, (2025) Machine Learning as an Innovative Engineering Tool for Controlling Concrete Performance: A Comprehensive Review, </w:t>
      </w:r>
      <w:r w:rsidRPr="006B0BB5">
        <w:rPr>
          <w:rFonts w:ascii="Aptos" w:eastAsia="Aptos" w:hAnsi="Aptos" w:cs="Times New Roman"/>
          <w:sz w:val="22"/>
          <w:szCs w:val="22"/>
        </w:rPr>
        <w:lastRenderedPageBreak/>
        <w:t xml:space="preserve">Archives of Computational Methods in Engineering, </w:t>
      </w:r>
      <w:hyperlink r:id="rId14" w:history="1">
        <w:r w:rsidRPr="006B0BB5">
          <w:rPr>
            <w:rStyle w:val="Hyperlink"/>
            <w:rFonts w:ascii="Aptos" w:eastAsia="Aptos" w:hAnsi="Aptos" w:cs="Times New Roman"/>
            <w:sz w:val="22"/>
            <w:szCs w:val="22"/>
          </w:rPr>
          <w:t>https://doi.org/10.1007/s11831-025-10284-</w:t>
        </w:r>
      </w:hyperlink>
    </w:p>
    <w:p w14:paraId="6C755BBE" w14:textId="77777777" w:rsidR="00FD3988" w:rsidRDefault="00FD3988" w:rsidP="00FD3988">
      <w:pPr>
        <w:pStyle w:val="ListParagraph"/>
        <w:numPr>
          <w:ilvl w:val="0"/>
          <w:numId w:val="5"/>
        </w:numPr>
        <w:tabs>
          <w:tab w:val="num" w:pos="360"/>
        </w:tabs>
        <w:spacing w:line="256" w:lineRule="auto"/>
        <w:ind w:left="360"/>
        <w:jc w:val="both"/>
        <w:rPr>
          <w:rFonts w:ascii="Calibri" w:hAnsi="Calibri" w:cs="Calibri"/>
          <w:lang w:val="en-US"/>
        </w:rPr>
      </w:pPr>
      <w:r>
        <w:rPr>
          <w:rFonts w:ascii="Calibri" w:hAnsi="Calibri" w:cs="Calibri"/>
          <w:lang w:val="en-US"/>
        </w:rPr>
        <w:t xml:space="preserve">Makram El </w:t>
      </w:r>
      <w:proofErr w:type="spellStart"/>
      <w:r>
        <w:rPr>
          <w:rFonts w:ascii="Calibri" w:hAnsi="Calibri" w:cs="Calibri"/>
          <w:lang w:val="en-US"/>
        </w:rPr>
        <w:t>Bachawati</w:t>
      </w:r>
      <w:proofErr w:type="spellEnd"/>
      <w:r>
        <w:rPr>
          <w:rFonts w:ascii="Calibri" w:hAnsi="Calibri" w:cs="Calibri"/>
          <w:lang w:val="en-US"/>
        </w:rPr>
        <w:t xml:space="preserve">, Yassine Elias Belarbi, Henri El </w:t>
      </w:r>
      <w:proofErr w:type="spellStart"/>
      <w:r>
        <w:rPr>
          <w:rFonts w:ascii="Calibri" w:hAnsi="Calibri" w:cs="Calibri"/>
          <w:lang w:val="en-US"/>
        </w:rPr>
        <w:t>Zakhem</w:t>
      </w:r>
      <w:proofErr w:type="spellEnd"/>
      <w:r>
        <w:rPr>
          <w:rFonts w:ascii="Calibri" w:hAnsi="Calibri" w:cs="Calibri"/>
          <w:lang w:val="en-US"/>
        </w:rPr>
        <w:t xml:space="preserve"> and </w:t>
      </w:r>
      <w:r>
        <w:rPr>
          <w:rFonts w:ascii="Calibri" w:hAnsi="Calibri" w:cs="Calibri"/>
          <w:b/>
          <w:bCs/>
          <w:lang w:val="en-US"/>
        </w:rPr>
        <w:t>Rafik Belarbi</w:t>
      </w:r>
      <w:r>
        <w:rPr>
          <w:rFonts w:ascii="Calibri" w:hAnsi="Calibri" w:cs="Calibri"/>
          <w:lang w:val="en-US"/>
        </w:rPr>
        <w:t xml:space="preserve"> Life Cycle Assessment of Sustainable Materials: A Comprehensive Analysis of Methodological Asymmetries and Environmental Trade-Offs, 2026</w:t>
      </w:r>
      <w:r>
        <w:rPr>
          <w:rFonts w:ascii="Calibri" w:hAnsi="Calibri" w:cs="Calibri"/>
          <w:b/>
          <w:bCs/>
          <w:i/>
          <w:iCs/>
          <w:lang w:val="en-US"/>
        </w:rPr>
        <w:t>, Buildings</w:t>
      </w:r>
      <w:r>
        <w:rPr>
          <w:rFonts w:ascii="Calibri" w:hAnsi="Calibri" w:cs="Calibri"/>
          <w:lang w:val="en-US"/>
        </w:rPr>
        <w:t xml:space="preserve">, </w:t>
      </w:r>
      <w:r>
        <w:rPr>
          <w:rFonts w:ascii="Calibri" w:hAnsi="Calibri" w:cs="Calibri"/>
          <w:i/>
          <w:iCs/>
          <w:lang w:val="en-US"/>
        </w:rPr>
        <w:t>16</w:t>
      </w:r>
      <w:r>
        <w:rPr>
          <w:rFonts w:ascii="Calibri" w:hAnsi="Calibri" w:cs="Calibri"/>
          <w:lang w:val="en-US"/>
        </w:rPr>
        <w:t xml:space="preserve">, 1385. </w:t>
      </w:r>
      <w:hyperlink r:id="rId15" w:history="1">
        <w:r>
          <w:rPr>
            <w:rStyle w:val="Hyperlink"/>
            <w:rFonts w:ascii="Calibri" w:hAnsi="Calibri" w:cs="Calibri"/>
            <w:lang w:val="en-US"/>
          </w:rPr>
          <w:t>https://doi.org/10.3390/buildings16071385</w:t>
        </w:r>
      </w:hyperlink>
      <w:r>
        <w:rPr>
          <w:rFonts w:ascii="Calibri" w:hAnsi="Calibri" w:cs="Calibri"/>
          <w:lang w:val="en-US"/>
        </w:rPr>
        <w:t xml:space="preserve">  </w:t>
      </w:r>
    </w:p>
    <w:p w14:paraId="6D4D89A6" w14:textId="7CE4F822" w:rsidR="00FD3988" w:rsidRPr="00565641" w:rsidRDefault="00FD3988" w:rsidP="00FD3988">
      <w:pPr>
        <w:pStyle w:val="ListParagraph"/>
        <w:numPr>
          <w:ilvl w:val="0"/>
          <w:numId w:val="5"/>
        </w:numPr>
        <w:tabs>
          <w:tab w:val="num" w:pos="360"/>
        </w:tabs>
        <w:spacing w:line="256" w:lineRule="auto"/>
        <w:ind w:left="360"/>
        <w:jc w:val="both"/>
        <w:rPr>
          <w:rFonts w:ascii="Aptos" w:eastAsia="Aptos" w:hAnsi="Aptos" w:cs="Times New Roman"/>
          <w:sz w:val="22"/>
          <w:szCs w:val="22"/>
        </w:rPr>
      </w:pPr>
      <w:r w:rsidRPr="00565641">
        <w:rPr>
          <w:rFonts w:ascii="Calibri" w:hAnsi="Calibri" w:cs="Calibri"/>
          <w:lang w:val="en-US"/>
        </w:rPr>
        <w:t xml:space="preserve">M. Baba, S. Bourbia, </w:t>
      </w:r>
      <w:r w:rsidRPr="00565641">
        <w:rPr>
          <w:rFonts w:ascii="Calibri" w:hAnsi="Calibri" w:cs="Calibri"/>
          <w:b/>
          <w:bCs/>
          <w:lang w:val="en-US"/>
        </w:rPr>
        <w:t>R. Belarbi</w:t>
      </w:r>
      <w:r w:rsidRPr="00565641">
        <w:rPr>
          <w:rFonts w:ascii="Calibri" w:hAnsi="Calibri" w:cs="Calibri"/>
          <w:lang w:val="en-US"/>
        </w:rPr>
        <w:t>, A. Yahia, From aggregate to composite: Design of flax-based concretes through thermal treatment and hemp synergy for controlled construction practices</w:t>
      </w:r>
      <w:r w:rsidRPr="00565641">
        <w:rPr>
          <w:rFonts w:ascii="Calibri" w:hAnsi="Calibri" w:cs="Calibri"/>
          <w:i/>
          <w:iCs/>
          <w:lang w:val="en-US"/>
        </w:rPr>
        <w:t xml:space="preserve">, </w:t>
      </w:r>
      <w:r w:rsidRPr="00565641">
        <w:rPr>
          <w:rFonts w:ascii="Calibri" w:hAnsi="Calibri" w:cs="Calibri"/>
          <w:b/>
          <w:bCs/>
          <w:i/>
          <w:iCs/>
          <w:lang w:val="en-US"/>
        </w:rPr>
        <w:t>Materials &amp; Design</w:t>
      </w:r>
      <w:r w:rsidRPr="00565641">
        <w:rPr>
          <w:rFonts w:ascii="Calibri" w:hAnsi="Calibri" w:cs="Calibri"/>
          <w:lang w:val="en-US"/>
        </w:rPr>
        <w:t xml:space="preserve">, Volume 264, 115701, 2026, ISSN 0264-1275, </w:t>
      </w:r>
      <w:hyperlink r:id="rId16" w:history="1">
        <w:r w:rsidRPr="00565641">
          <w:rPr>
            <w:rStyle w:val="Hyperlink"/>
            <w:rFonts w:ascii="Calibri" w:hAnsi="Calibri" w:cs="Calibri"/>
            <w:lang w:val="en-US"/>
          </w:rPr>
          <w:t>https://doi.org/10.1016/j.matdes.2026.115701</w:t>
        </w:r>
      </w:hyperlink>
    </w:p>
    <w:p w14:paraId="52A6886F" w14:textId="77777777" w:rsidR="00FD3988" w:rsidRPr="000D2C7F" w:rsidRDefault="00FD3988" w:rsidP="00FD3988">
      <w:pPr>
        <w:pStyle w:val="ListParagraph"/>
        <w:numPr>
          <w:ilvl w:val="0"/>
          <w:numId w:val="5"/>
        </w:numPr>
        <w:tabs>
          <w:tab w:val="num" w:pos="360"/>
        </w:tabs>
        <w:spacing w:line="256" w:lineRule="auto"/>
        <w:ind w:left="360"/>
        <w:jc w:val="both"/>
        <w:rPr>
          <w:rFonts w:ascii="Calibri" w:eastAsia="Aptos" w:hAnsi="Calibri" w:cs="Calibri"/>
        </w:rPr>
      </w:pPr>
      <w:r w:rsidRPr="000D2C7F">
        <w:rPr>
          <w:rFonts w:ascii="Calibri" w:eastAsia="Aptos" w:hAnsi="Calibri" w:cs="Calibri"/>
        </w:rPr>
        <w:t xml:space="preserve">M </w:t>
      </w:r>
      <w:proofErr w:type="spellStart"/>
      <w:r w:rsidRPr="000D2C7F">
        <w:rPr>
          <w:rFonts w:ascii="Calibri" w:eastAsia="Aptos" w:hAnsi="Calibri" w:cs="Calibri"/>
        </w:rPr>
        <w:t>Kohandelnia</w:t>
      </w:r>
      <w:proofErr w:type="spellEnd"/>
      <w:r w:rsidRPr="000D2C7F">
        <w:rPr>
          <w:rFonts w:ascii="Calibri" w:eastAsia="Aptos" w:hAnsi="Calibri" w:cs="Calibri"/>
        </w:rPr>
        <w:t xml:space="preserve">, M Hayek, K Bouarab, </w:t>
      </w:r>
      <w:r w:rsidRPr="000D2C7F">
        <w:rPr>
          <w:rFonts w:ascii="Calibri" w:eastAsia="Aptos" w:hAnsi="Calibri" w:cs="Calibri"/>
          <w:b/>
          <w:bCs/>
        </w:rPr>
        <w:t>A Yahia</w:t>
      </w:r>
      <w:r w:rsidRPr="000D2C7F">
        <w:rPr>
          <w:rFonts w:ascii="Calibri" w:eastAsia="Aptos" w:hAnsi="Calibri" w:cs="Calibri"/>
        </w:rPr>
        <w:t xml:space="preserve">, (2025) New perspectives into the rheology of earth suspensions modified with algae-derived biopolymers, </w:t>
      </w:r>
      <w:r w:rsidRPr="000D2C7F">
        <w:rPr>
          <w:rFonts w:ascii="Calibri" w:eastAsia="Aptos" w:hAnsi="Calibri" w:cs="Calibri"/>
          <w:b/>
          <w:bCs/>
          <w:i/>
          <w:iCs/>
        </w:rPr>
        <w:t>Construction and Building Materials</w:t>
      </w:r>
      <w:r w:rsidRPr="000D2C7F">
        <w:rPr>
          <w:rFonts w:ascii="Calibri" w:eastAsia="Aptos" w:hAnsi="Calibri" w:cs="Calibri"/>
        </w:rPr>
        <w:t xml:space="preserve"> 503, 144523, https://doi.org/10.1016/j.conbuildmat.2025.144523.</w:t>
      </w:r>
    </w:p>
    <w:p w14:paraId="59CCF027" w14:textId="77777777" w:rsidR="00FD3988" w:rsidRPr="000D2C7F" w:rsidRDefault="00FD3988" w:rsidP="00FD3988">
      <w:pPr>
        <w:pStyle w:val="ListParagraph"/>
        <w:numPr>
          <w:ilvl w:val="0"/>
          <w:numId w:val="5"/>
        </w:numPr>
        <w:tabs>
          <w:tab w:val="num" w:pos="360"/>
        </w:tabs>
        <w:spacing w:line="256" w:lineRule="auto"/>
        <w:ind w:left="360"/>
        <w:jc w:val="both"/>
        <w:rPr>
          <w:rFonts w:ascii="Calibri" w:eastAsia="Aptos" w:hAnsi="Calibri" w:cs="Calibri"/>
        </w:rPr>
      </w:pPr>
      <w:r w:rsidRPr="000D2C7F">
        <w:rPr>
          <w:rFonts w:ascii="Calibri" w:eastAsia="Aptos" w:hAnsi="Calibri" w:cs="Calibri"/>
        </w:rPr>
        <w:t xml:space="preserve">M </w:t>
      </w:r>
      <w:proofErr w:type="spellStart"/>
      <w:r w:rsidRPr="000D2C7F">
        <w:rPr>
          <w:rFonts w:ascii="Calibri" w:eastAsia="Aptos" w:hAnsi="Calibri" w:cs="Calibri"/>
        </w:rPr>
        <w:t>Kohandelnia</w:t>
      </w:r>
      <w:proofErr w:type="spellEnd"/>
      <w:r w:rsidRPr="000D2C7F">
        <w:rPr>
          <w:rFonts w:ascii="Calibri" w:eastAsia="Aptos" w:hAnsi="Calibri" w:cs="Calibri"/>
        </w:rPr>
        <w:t xml:space="preserve">, </w:t>
      </w:r>
      <w:r w:rsidRPr="000D2C7F">
        <w:rPr>
          <w:rFonts w:ascii="Calibri" w:eastAsia="Aptos" w:hAnsi="Calibri" w:cs="Calibri"/>
          <w:b/>
          <w:bCs/>
        </w:rPr>
        <w:t>A Yahia</w:t>
      </w:r>
      <w:r w:rsidRPr="000D2C7F">
        <w:rPr>
          <w:rFonts w:ascii="Calibri" w:eastAsia="Aptos" w:hAnsi="Calibri" w:cs="Calibri"/>
        </w:rPr>
        <w:t xml:space="preserve">, (2025) From dry flowability to rheology: advancing earth-based paste optimization, </w:t>
      </w:r>
      <w:r w:rsidRPr="000D2C7F">
        <w:rPr>
          <w:rFonts w:ascii="Calibri" w:eastAsia="Aptos" w:hAnsi="Calibri" w:cs="Calibri"/>
          <w:b/>
          <w:bCs/>
          <w:i/>
          <w:iCs/>
        </w:rPr>
        <w:t>ACI Materials Journal</w:t>
      </w:r>
      <w:r w:rsidRPr="000D2C7F">
        <w:rPr>
          <w:rFonts w:ascii="Calibri" w:eastAsia="Aptos" w:hAnsi="Calibri" w:cs="Calibri"/>
        </w:rPr>
        <w:t xml:space="preserve"> 122 (6), https://doi.org/10.14359/51749122.</w:t>
      </w:r>
    </w:p>
    <w:p w14:paraId="2625DC3D" w14:textId="77777777" w:rsidR="00FD3988" w:rsidRPr="000D2C7F" w:rsidRDefault="00FD3988" w:rsidP="00FD3988">
      <w:pPr>
        <w:pStyle w:val="ListParagraph"/>
        <w:numPr>
          <w:ilvl w:val="0"/>
          <w:numId w:val="5"/>
        </w:numPr>
        <w:tabs>
          <w:tab w:val="num" w:pos="360"/>
        </w:tabs>
        <w:autoSpaceDE w:val="0"/>
        <w:autoSpaceDN w:val="0"/>
        <w:adjustRightInd w:val="0"/>
        <w:spacing w:after="0" w:line="240" w:lineRule="auto"/>
        <w:ind w:left="360"/>
        <w:jc w:val="both"/>
        <w:rPr>
          <w:rFonts w:ascii="Calibri" w:eastAsia="Aptos" w:hAnsi="Calibri" w:cs="Calibri"/>
          <w:color w:val="467886"/>
          <w:u w:val="single"/>
          <w:lang w:val="en-US"/>
        </w:rPr>
      </w:pPr>
      <w:r w:rsidRPr="000D2C7F">
        <w:rPr>
          <w:rFonts w:ascii="Calibri" w:eastAsia="Aptos" w:hAnsi="Calibri" w:cs="Calibri"/>
        </w:rPr>
        <w:t xml:space="preserve">M </w:t>
      </w:r>
      <w:proofErr w:type="spellStart"/>
      <w:r w:rsidRPr="000D2C7F">
        <w:rPr>
          <w:rFonts w:ascii="Calibri" w:eastAsia="Aptos" w:hAnsi="Calibri" w:cs="Calibri"/>
        </w:rPr>
        <w:t>Kohandelnia</w:t>
      </w:r>
      <w:proofErr w:type="spellEnd"/>
      <w:r w:rsidRPr="000D2C7F">
        <w:rPr>
          <w:rFonts w:ascii="Calibri" w:eastAsia="Aptos" w:hAnsi="Calibri" w:cs="Calibri"/>
        </w:rPr>
        <w:t xml:space="preserve">, M </w:t>
      </w:r>
      <w:proofErr w:type="spellStart"/>
      <w:r w:rsidRPr="000D2C7F">
        <w:rPr>
          <w:rFonts w:ascii="Calibri" w:eastAsia="Aptos" w:hAnsi="Calibri" w:cs="Calibri"/>
        </w:rPr>
        <w:t>Zerzouri</w:t>
      </w:r>
      <w:proofErr w:type="spellEnd"/>
      <w:r w:rsidRPr="000D2C7F">
        <w:rPr>
          <w:rFonts w:ascii="Calibri" w:eastAsia="Aptos" w:hAnsi="Calibri" w:cs="Calibri"/>
        </w:rPr>
        <w:t xml:space="preserve">, </w:t>
      </w:r>
      <w:r w:rsidRPr="000D2C7F">
        <w:rPr>
          <w:rFonts w:ascii="Calibri" w:eastAsia="Aptos" w:hAnsi="Calibri" w:cs="Calibri"/>
          <w:b/>
          <w:bCs/>
        </w:rPr>
        <w:t>A Yahia</w:t>
      </w:r>
      <w:r w:rsidRPr="000D2C7F">
        <w:rPr>
          <w:rFonts w:ascii="Calibri" w:eastAsia="Aptos" w:hAnsi="Calibri" w:cs="Calibri"/>
        </w:rPr>
        <w:t xml:space="preserve">, KH Khayat, (2025) Treatment and Activation Effects on Kaolinite-Based Earth Concrete, </w:t>
      </w:r>
      <w:r w:rsidRPr="000D2C7F">
        <w:rPr>
          <w:rFonts w:ascii="Calibri" w:eastAsia="Aptos" w:hAnsi="Calibri" w:cs="Calibri"/>
          <w:b/>
          <w:bCs/>
          <w:i/>
          <w:iCs/>
        </w:rPr>
        <w:t>Construction and Building Materials</w:t>
      </w:r>
      <w:r w:rsidRPr="000D2C7F">
        <w:rPr>
          <w:rFonts w:ascii="Calibri" w:eastAsia="Aptos" w:hAnsi="Calibri" w:cs="Calibri"/>
        </w:rPr>
        <w:t xml:space="preserve"> 478, 141380, https://doi.org/10.1016/j.conbuildmat.2025.141380.</w:t>
      </w:r>
    </w:p>
    <w:p w14:paraId="157EE25C" w14:textId="77777777" w:rsidR="00FD3988" w:rsidRPr="00BE4B42" w:rsidRDefault="00FD3988" w:rsidP="00FD3988">
      <w:pPr>
        <w:numPr>
          <w:ilvl w:val="0"/>
          <w:numId w:val="5"/>
        </w:numPr>
        <w:tabs>
          <w:tab w:val="num" w:pos="360"/>
        </w:tabs>
        <w:autoSpaceDE w:val="0"/>
        <w:autoSpaceDN w:val="0"/>
        <w:adjustRightInd w:val="0"/>
        <w:spacing w:after="0" w:line="240" w:lineRule="auto"/>
        <w:ind w:left="360"/>
        <w:contextualSpacing/>
        <w:jc w:val="both"/>
        <w:rPr>
          <w:rFonts w:ascii="Aptos" w:eastAsia="Aptos" w:hAnsi="Aptos" w:cs="Times New Roman"/>
          <w:strike/>
          <w:color w:val="467886"/>
          <w:sz w:val="22"/>
          <w:szCs w:val="22"/>
          <w:u w:val="single"/>
          <w:lang w:val="en-US"/>
        </w:rPr>
      </w:pPr>
      <w:commentRangeStart w:id="0"/>
      <w:r w:rsidRPr="00BE4B42">
        <w:rPr>
          <w:rFonts w:ascii="Calibri" w:eastAsia="Aptos" w:hAnsi="Calibri" w:cs="Calibri"/>
          <w:strike/>
          <w:lang w:val="en-US"/>
        </w:rPr>
        <w:t xml:space="preserve">Mostafa Baba, Sofiane Bourbia, </w:t>
      </w:r>
      <w:r w:rsidRPr="00BE4B42">
        <w:rPr>
          <w:rFonts w:ascii="Calibri" w:eastAsia="Aptos" w:hAnsi="Calibri" w:cs="Calibri"/>
          <w:b/>
          <w:bCs/>
          <w:strike/>
          <w:lang w:val="en-US"/>
        </w:rPr>
        <w:t>Rafik Belarbi</w:t>
      </w:r>
      <w:r w:rsidRPr="00BE4B42">
        <w:rPr>
          <w:rFonts w:ascii="Calibri" w:eastAsia="Aptos" w:hAnsi="Calibri" w:cs="Calibri"/>
          <w:strike/>
          <w:lang w:val="en-US"/>
        </w:rPr>
        <w:t>, Ammar Yahia, From aggregate to composite: Design of flax-based concretes through thermal treatment and hemp synergy for controlled construction practices</w:t>
      </w:r>
      <w:r w:rsidRPr="00BE4B42">
        <w:rPr>
          <w:rFonts w:ascii="Calibri" w:eastAsia="Aptos" w:hAnsi="Calibri" w:cs="Calibri"/>
          <w:i/>
          <w:iCs/>
          <w:strike/>
          <w:lang w:val="en-US"/>
        </w:rPr>
        <w:t>, Materials &amp; Design</w:t>
      </w:r>
      <w:r w:rsidRPr="00BE4B42">
        <w:rPr>
          <w:rFonts w:ascii="Calibri" w:eastAsia="Aptos" w:hAnsi="Calibri" w:cs="Calibri"/>
          <w:strike/>
          <w:lang w:val="en-US"/>
        </w:rPr>
        <w:t xml:space="preserve">, Volume 264, 2026, </w:t>
      </w:r>
      <w:hyperlink r:id="rId17" w:history="1">
        <w:r w:rsidRPr="00BE4B42">
          <w:rPr>
            <w:rFonts w:ascii="Calibri" w:eastAsia="Aptos" w:hAnsi="Calibri" w:cs="Calibri"/>
            <w:strike/>
            <w:color w:val="467886"/>
            <w:u w:val="single"/>
            <w:lang w:val="en-US"/>
          </w:rPr>
          <w:t>https://doi.org/10.1016/j.matdes.2026.115701</w:t>
        </w:r>
      </w:hyperlink>
      <w:commentRangeEnd w:id="0"/>
      <w:r w:rsidR="00BE4B42" w:rsidRPr="00BE4B42">
        <w:rPr>
          <w:rStyle w:val="CommentReference"/>
          <w:strike/>
        </w:rPr>
        <w:commentReference w:id="0"/>
      </w:r>
    </w:p>
    <w:p w14:paraId="3FBEA0DD" w14:textId="77777777" w:rsidR="00FD3988" w:rsidRDefault="00FD3988" w:rsidP="00FD3988">
      <w:pPr>
        <w:pStyle w:val="ListParagraph"/>
        <w:numPr>
          <w:ilvl w:val="0"/>
          <w:numId w:val="5"/>
        </w:numPr>
        <w:tabs>
          <w:tab w:val="num" w:pos="360"/>
        </w:tabs>
        <w:spacing w:line="256" w:lineRule="auto"/>
        <w:ind w:left="360"/>
        <w:jc w:val="both"/>
        <w:rPr>
          <w:rFonts w:ascii="Aptos" w:eastAsia="Aptos" w:hAnsi="Aptos" w:cs="Times New Roman"/>
          <w:sz w:val="22"/>
          <w:szCs w:val="22"/>
        </w:rPr>
      </w:pPr>
      <w:r w:rsidRPr="004F6700">
        <w:rPr>
          <w:rFonts w:ascii="Aptos" w:eastAsia="Aptos" w:hAnsi="Aptos" w:cs="Times New Roman"/>
          <w:sz w:val="22"/>
          <w:szCs w:val="22"/>
        </w:rPr>
        <w:t xml:space="preserve">M </w:t>
      </w:r>
      <w:proofErr w:type="spellStart"/>
      <w:r w:rsidRPr="004F6700">
        <w:rPr>
          <w:rFonts w:ascii="Aptos" w:eastAsia="Aptos" w:hAnsi="Aptos" w:cs="Times New Roman"/>
          <w:sz w:val="22"/>
          <w:szCs w:val="22"/>
        </w:rPr>
        <w:t>Zerzouri</w:t>
      </w:r>
      <w:proofErr w:type="spellEnd"/>
      <w:r w:rsidRPr="004F6700">
        <w:rPr>
          <w:rFonts w:ascii="Aptos" w:eastAsia="Aptos" w:hAnsi="Aptos" w:cs="Times New Roman"/>
          <w:sz w:val="22"/>
          <w:szCs w:val="22"/>
        </w:rPr>
        <w:t xml:space="preserve">, R Hamzaoui, L Ziyani, </w:t>
      </w:r>
      <w:r w:rsidRPr="004F6700">
        <w:rPr>
          <w:rFonts w:ascii="Aptos" w:eastAsia="Aptos" w:hAnsi="Aptos" w:cs="Times New Roman"/>
          <w:b/>
          <w:bCs/>
          <w:sz w:val="22"/>
          <w:szCs w:val="22"/>
        </w:rPr>
        <w:t>A Yahia</w:t>
      </w:r>
      <w:r w:rsidRPr="004F6700">
        <w:rPr>
          <w:rFonts w:ascii="Aptos" w:eastAsia="Aptos" w:hAnsi="Aptos" w:cs="Times New Roman"/>
          <w:sz w:val="22"/>
          <w:szCs w:val="22"/>
        </w:rPr>
        <w:t xml:space="preserve">, S </w:t>
      </w:r>
      <w:proofErr w:type="spellStart"/>
      <w:r w:rsidRPr="004F6700">
        <w:rPr>
          <w:rFonts w:ascii="Aptos" w:eastAsia="Aptos" w:hAnsi="Aptos" w:cs="Times New Roman"/>
          <w:sz w:val="22"/>
          <w:szCs w:val="22"/>
        </w:rPr>
        <w:t>Alehyen</w:t>
      </w:r>
      <w:proofErr w:type="spellEnd"/>
      <w:r w:rsidRPr="004F6700">
        <w:rPr>
          <w:rFonts w:ascii="Aptos" w:eastAsia="Aptos" w:hAnsi="Aptos" w:cs="Times New Roman"/>
          <w:sz w:val="22"/>
          <w:szCs w:val="22"/>
        </w:rPr>
        <w:t xml:space="preserve">, (2025) Enhancing </w:t>
      </w:r>
      <w:proofErr w:type="spellStart"/>
      <w:r w:rsidRPr="004F6700">
        <w:rPr>
          <w:rFonts w:ascii="Aptos" w:eastAsia="Aptos" w:hAnsi="Aptos" w:cs="Times New Roman"/>
          <w:sz w:val="22"/>
          <w:szCs w:val="22"/>
        </w:rPr>
        <w:t>Illitic</w:t>
      </w:r>
      <w:proofErr w:type="spellEnd"/>
      <w:r w:rsidRPr="004F6700">
        <w:rPr>
          <w:rFonts w:ascii="Aptos" w:eastAsia="Aptos" w:hAnsi="Aptos" w:cs="Times New Roman"/>
          <w:sz w:val="22"/>
          <w:szCs w:val="22"/>
        </w:rPr>
        <w:t xml:space="preserve">-Clay Geopolymer Production: A Comparative Study of Conventional Method and </w:t>
      </w:r>
      <w:proofErr w:type="spellStart"/>
      <w:r w:rsidRPr="004F6700">
        <w:rPr>
          <w:rFonts w:ascii="Aptos" w:eastAsia="Aptos" w:hAnsi="Aptos" w:cs="Times New Roman"/>
          <w:sz w:val="22"/>
          <w:szCs w:val="22"/>
        </w:rPr>
        <w:t>Mechanosynthesized</w:t>
      </w:r>
      <w:proofErr w:type="spellEnd"/>
      <w:r w:rsidRPr="004F6700">
        <w:rPr>
          <w:rFonts w:ascii="Aptos" w:eastAsia="Aptos" w:hAnsi="Aptos" w:cs="Times New Roman"/>
          <w:sz w:val="22"/>
          <w:szCs w:val="22"/>
        </w:rPr>
        <w:t xml:space="preserve"> Pre-geopolymer Powder, Applied Clay Science, </w:t>
      </w:r>
      <w:hyperlink r:id="rId22" w:history="1">
        <w:r w:rsidRPr="00370FD9">
          <w:rPr>
            <w:rStyle w:val="Hyperlink"/>
            <w:rFonts w:ascii="Aptos" w:eastAsia="Aptos" w:hAnsi="Aptos" w:cs="Times New Roman"/>
            <w:sz w:val="22"/>
            <w:szCs w:val="22"/>
          </w:rPr>
          <w:t>https://doi.org/10.1016/j.clay.2025.107727</w:t>
        </w:r>
      </w:hyperlink>
      <w:r w:rsidRPr="004F6700">
        <w:rPr>
          <w:rFonts w:ascii="Aptos" w:eastAsia="Aptos" w:hAnsi="Aptos" w:cs="Times New Roman"/>
          <w:sz w:val="22"/>
          <w:szCs w:val="22"/>
        </w:rPr>
        <w:t>.</w:t>
      </w:r>
    </w:p>
    <w:p w14:paraId="0F2E1608" w14:textId="77777777" w:rsidR="00FD3988" w:rsidRPr="00CC5482" w:rsidRDefault="00FD3988" w:rsidP="00FD3988">
      <w:pPr>
        <w:pStyle w:val="ListParagraph"/>
        <w:numPr>
          <w:ilvl w:val="0"/>
          <w:numId w:val="5"/>
        </w:numPr>
        <w:tabs>
          <w:tab w:val="num" w:pos="360"/>
        </w:tabs>
        <w:spacing w:line="256" w:lineRule="auto"/>
        <w:ind w:left="360"/>
        <w:jc w:val="both"/>
        <w:rPr>
          <w:rFonts w:ascii="Aptos" w:eastAsia="Aptos" w:hAnsi="Aptos" w:cs="Times New Roman"/>
          <w:sz w:val="22"/>
          <w:szCs w:val="22"/>
        </w:rPr>
      </w:pPr>
      <w:r w:rsidRPr="00CC5482">
        <w:rPr>
          <w:rFonts w:ascii="Calibri" w:hAnsi="Calibri" w:cs="Calibri"/>
          <w:lang w:val="en-US"/>
        </w:rPr>
        <w:t xml:space="preserve">M. Sawadogo, F. </w:t>
      </w:r>
      <w:proofErr w:type="spellStart"/>
      <w:r w:rsidRPr="00CC5482">
        <w:rPr>
          <w:rFonts w:ascii="Calibri" w:hAnsi="Calibri" w:cs="Calibri"/>
          <w:lang w:val="en-US"/>
        </w:rPr>
        <w:t>Benmahiddine</w:t>
      </w:r>
      <w:proofErr w:type="spellEnd"/>
      <w:r w:rsidRPr="00CC5482">
        <w:rPr>
          <w:rFonts w:ascii="Calibri" w:hAnsi="Calibri" w:cs="Calibri"/>
          <w:lang w:val="en-US"/>
        </w:rPr>
        <w:t>, A. Godin, M. Duquesne</w:t>
      </w:r>
      <w:r w:rsidRPr="00CC5482">
        <w:rPr>
          <w:rFonts w:ascii="Calibri" w:hAnsi="Calibri" w:cs="Calibri"/>
          <w:b/>
          <w:bCs/>
          <w:lang w:val="en-US"/>
        </w:rPr>
        <w:t>, R. Belarbi</w:t>
      </w:r>
      <w:r w:rsidRPr="00CC5482">
        <w:rPr>
          <w:rFonts w:ascii="Calibri" w:hAnsi="Calibri" w:cs="Calibri"/>
          <w:lang w:val="en-US"/>
        </w:rPr>
        <w:t xml:space="preserve">, A. Hamami Development and hygrothermal performance analysis of a novel eco-friendly insulating wall under various climatic conditions, </w:t>
      </w:r>
      <w:r w:rsidRPr="00CC5482">
        <w:rPr>
          <w:rFonts w:ascii="Calibri" w:hAnsi="Calibri" w:cs="Calibri"/>
          <w:b/>
          <w:bCs/>
          <w:i/>
          <w:iCs/>
          <w:lang w:val="en-US"/>
        </w:rPr>
        <w:t>Building &amp; Environment</w:t>
      </w:r>
      <w:r w:rsidRPr="00CC5482">
        <w:rPr>
          <w:rFonts w:ascii="Calibri" w:hAnsi="Calibri" w:cs="Calibri"/>
          <w:lang w:val="en-US"/>
        </w:rPr>
        <w:t xml:space="preserve">, (2023), Volume 245, 110841, ISSN 0360-1323, </w:t>
      </w:r>
      <w:hyperlink r:id="rId23" w:history="1">
        <w:r w:rsidRPr="00CC5482">
          <w:rPr>
            <w:rStyle w:val="Hyperlink"/>
            <w:rFonts w:ascii="Calibri" w:hAnsi="Calibri" w:cs="Calibri"/>
            <w:lang w:val="en-US"/>
          </w:rPr>
          <w:t>https://doi.org//10.1016/j.buildenv.2023.110841</w:t>
        </w:r>
      </w:hyperlink>
    </w:p>
    <w:p w14:paraId="760FD8EA" w14:textId="77777777" w:rsidR="00FD3988" w:rsidRPr="00565641" w:rsidRDefault="00FD3988" w:rsidP="00FD3988">
      <w:pPr>
        <w:pStyle w:val="ListParagraph"/>
        <w:numPr>
          <w:ilvl w:val="0"/>
          <w:numId w:val="5"/>
        </w:numPr>
        <w:tabs>
          <w:tab w:val="num" w:pos="360"/>
        </w:tabs>
        <w:spacing w:line="256" w:lineRule="auto"/>
        <w:ind w:left="360"/>
        <w:jc w:val="both"/>
        <w:rPr>
          <w:rFonts w:ascii="Aptos" w:eastAsia="Aptos" w:hAnsi="Aptos" w:cs="Times New Roman"/>
          <w:sz w:val="22"/>
          <w:szCs w:val="22"/>
        </w:rPr>
      </w:pPr>
      <w:r w:rsidRPr="00746059">
        <w:rPr>
          <w:rFonts w:ascii="Calibri" w:hAnsi="Calibri" w:cs="Calibri"/>
          <w:lang w:val="fr-FR"/>
        </w:rPr>
        <w:t xml:space="preserve">M. Sawadogo, A. Godin, M. Duquesne, E. Lacroix, A. </w:t>
      </w:r>
      <w:proofErr w:type="spellStart"/>
      <w:r w:rsidRPr="00746059">
        <w:rPr>
          <w:rFonts w:ascii="Calibri" w:hAnsi="Calibri" w:cs="Calibri"/>
          <w:lang w:val="fr-FR"/>
        </w:rPr>
        <w:t>Veillère</w:t>
      </w:r>
      <w:proofErr w:type="spellEnd"/>
      <w:r w:rsidRPr="00746059">
        <w:rPr>
          <w:rFonts w:ascii="Calibri" w:hAnsi="Calibri" w:cs="Calibri"/>
          <w:lang w:val="fr-FR"/>
        </w:rPr>
        <w:t xml:space="preserve">, AEA. </w:t>
      </w:r>
      <w:r w:rsidRPr="00565641">
        <w:rPr>
          <w:rFonts w:ascii="Calibri" w:hAnsi="Calibri" w:cs="Calibri"/>
          <w:lang w:val="en-US"/>
        </w:rPr>
        <w:t xml:space="preserve">El Hamami, </w:t>
      </w:r>
      <w:r w:rsidRPr="00565641">
        <w:rPr>
          <w:rFonts w:ascii="Calibri" w:hAnsi="Calibri" w:cs="Calibri"/>
          <w:b/>
          <w:bCs/>
          <w:lang w:val="en-US"/>
        </w:rPr>
        <w:t>R. Belarbi</w:t>
      </w:r>
      <w:r w:rsidRPr="00565641">
        <w:rPr>
          <w:rFonts w:ascii="Calibri" w:hAnsi="Calibri" w:cs="Calibri"/>
          <w:lang w:val="en-US"/>
        </w:rPr>
        <w:t xml:space="preserve"> Investigation of eco-friendly and economic shape-stabilized composites for building walls and thermal comfort, </w:t>
      </w:r>
      <w:r w:rsidRPr="00565641">
        <w:rPr>
          <w:rFonts w:ascii="Calibri" w:hAnsi="Calibri" w:cs="Calibri"/>
          <w:b/>
          <w:bCs/>
          <w:i/>
          <w:iCs/>
          <w:lang w:val="en-US"/>
        </w:rPr>
        <w:t>Building and Environment</w:t>
      </w:r>
      <w:r w:rsidRPr="00565641">
        <w:rPr>
          <w:rFonts w:ascii="Calibri" w:hAnsi="Calibri" w:cs="Calibri"/>
          <w:lang w:val="en-US"/>
        </w:rPr>
        <w:t xml:space="preserve">, Volume 231, 2023, 110026, ISSN 0360-1323, </w:t>
      </w:r>
      <w:r w:rsidRPr="00565641">
        <w:rPr>
          <w:rStyle w:val="Hyperlink"/>
          <w:rFonts w:ascii="Calibri" w:eastAsiaTheme="minorEastAsia" w:hAnsi="Calibri" w:cs="Calibri"/>
          <w:lang w:val="en-US"/>
        </w:rPr>
        <w:t>doi.org/10.1016/j.buildenv.2023.110026</w:t>
      </w:r>
    </w:p>
    <w:p w14:paraId="5901890F" w14:textId="77777777" w:rsidR="00FD3988" w:rsidRPr="00CC5482" w:rsidRDefault="00FD3988" w:rsidP="00FD3988">
      <w:pPr>
        <w:pStyle w:val="ListParagraph"/>
        <w:numPr>
          <w:ilvl w:val="0"/>
          <w:numId w:val="5"/>
        </w:numPr>
        <w:tabs>
          <w:tab w:val="num" w:pos="360"/>
        </w:tabs>
        <w:spacing w:line="256" w:lineRule="auto"/>
        <w:ind w:left="360"/>
        <w:jc w:val="both"/>
        <w:rPr>
          <w:rFonts w:ascii="Aptos" w:eastAsia="Aptos" w:hAnsi="Aptos" w:cs="Times New Roman"/>
          <w:sz w:val="22"/>
          <w:szCs w:val="22"/>
        </w:rPr>
      </w:pPr>
      <w:r w:rsidRPr="00CC5482">
        <w:rPr>
          <w:rFonts w:ascii="Calibri" w:hAnsi="Calibri" w:cs="Calibri"/>
          <w:lang w:val="en-US"/>
        </w:rPr>
        <w:t xml:space="preserve">M. </w:t>
      </w:r>
      <w:proofErr w:type="spellStart"/>
      <w:r w:rsidRPr="00CC5482">
        <w:rPr>
          <w:rFonts w:ascii="Calibri" w:hAnsi="Calibri" w:cs="Calibri"/>
          <w:lang w:val="en-US"/>
        </w:rPr>
        <w:t>Kohandelnia</w:t>
      </w:r>
      <w:proofErr w:type="spellEnd"/>
      <w:r w:rsidRPr="00CC5482">
        <w:rPr>
          <w:rFonts w:ascii="Calibri" w:hAnsi="Calibri" w:cs="Calibri"/>
          <w:lang w:val="en-US"/>
        </w:rPr>
        <w:t xml:space="preserve">, M. </w:t>
      </w:r>
      <w:proofErr w:type="spellStart"/>
      <w:r w:rsidRPr="00CC5482">
        <w:rPr>
          <w:rFonts w:ascii="Calibri" w:hAnsi="Calibri" w:cs="Calibri"/>
          <w:lang w:val="en-US"/>
        </w:rPr>
        <w:t>Hosseinpoor</w:t>
      </w:r>
      <w:proofErr w:type="spellEnd"/>
      <w:r w:rsidRPr="00CC5482">
        <w:rPr>
          <w:rFonts w:ascii="Calibri" w:hAnsi="Calibri" w:cs="Calibri"/>
          <w:lang w:val="en-US"/>
        </w:rPr>
        <w:t xml:space="preserve">, </w:t>
      </w:r>
      <w:r w:rsidRPr="00CC5482">
        <w:rPr>
          <w:rFonts w:ascii="Calibri" w:hAnsi="Calibri" w:cs="Calibri"/>
          <w:b/>
          <w:bCs/>
          <w:lang w:val="en-US"/>
        </w:rPr>
        <w:t>A. Yahia</w:t>
      </w:r>
      <w:r w:rsidRPr="00CC5482">
        <w:rPr>
          <w:rFonts w:ascii="Calibri" w:hAnsi="Calibri" w:cs="Calibri"/>
          <w:lang w:val="en-US"/>
        </w:rPr>
        <w:t xml:space="preserve">, </w:t>
      </w:r>
      <w:r w:rsidRPr="00CC5482">
        <w:rPr>
          <w:rFonts w:ascii="Calibri" w:hAnsi="Calibri" w:cs="Calibri"/>
          <w:b/>
          <w:bCs/>
          <w:lang w:val="en-US"/>
        </w:rPr>
        <w:t>R. Belarbi</w:t>
      </w:r>
      <w:r w:rsidRPr="00CC5482">
        <w:rPr>
          <w:rFonts w:ascii="Calibri" w:hAnsi="Calibri" w:cs="Calibri"/>
          <w:lang w:val="en-US"/>
        </w:rPr>
        <w:t xml:space="preserve">, New insight on rheology of self-consolidating earth concrete (SCEC), </w:t>
      </w:r>
      <w:r w:rsidRPr="00CC5482">
        <w:rPr>
          <w:rFonts w:ascii="Calibri" w:hAnsi="Calibri" w:cs="Calibri"/>
          <w:b/>
          <w:bCs/>
          <w:i/>
          <w:iCs/>
          <w:lang w:val="en-US"/>
        </w:rPr>
        <w:t>Powder Technology</w:t>
      </w:r>
      <w:r w:rsidRPr="00CC5482">
        <w:rPr>
          <w:rFonts w:ascii="Calibri" w:hAnsi="Calibri" w:cs="Calibri"/>
          <w:lang w:val="en-US"/>
        </w:rPr>
        <w:t>, Volume 424 (2023) 118561, ISSN 0032-5910,</w:t>
      </w:r>
      <w:hyperlink r:id="rId24" w:history="1">
        <w:r w:rsidRPr="00CC5482">
          <w:rPr>
            <w:rStyle w:val="Hyperlink"/>
            <w:rFonts w:ascii="Calibri" w:eastAsiaTheme="minorEastAsia" w:hAnsi="Calibri" w:cs="Calibri"/>
            <w:lang w:val="en-US"/>
          </w:rPr>
          <w:t>https://doi.org//10.1016/j.powtec.2023.118561</w:t>
        </w:r>
      </w:hyperlink>
    </w:p>
    <w:p w14:paraId="2AF3EEA0" w14:textId="77777777" w:rsidR="00FD3988" w:rsidRPr="00300391" w:rsidRDefault="00FD3988" w:rsidP="00FD3988">
      <w:pPr>
        <w:pStyle w:val="ListParagraph"/>
        <w:numPr>
          <w:ilvl w:val="0"/>
          <w:numId w:val="5"/>
        </w:numPr>
        <w:tabs>
          <w:tab w:val="num" w:pos="360"/>
        </w:tabs>
        <w:spacing w:line="256" w:lineRule="auto"/>
        <w:ind w:left="360"/>
        <w:jc w:val="both"/>
        <w:rPr>
          <w:rFonts w:ascii="Aptos" w:eastAsia="Aptos" w:hAnsi="Aptos" w:cs="Times New Roman"/>
          <w:sz w:val="22"/>
          <w:szCs w:val="22"/>
        </w:rPr>
      </w:pPr>
      <w:r w:rsidRPr="00CC5482">
        <w:rPr>
          <w:rFonts w:ascii="Calibri" w:hAnsi="Calibri" w:cs="Calibri"/>
          <w:lang w:val="en-US"/>
        </w:rPr>
        <w:t xml:space="preserve">M. </w:t>
      </w:r>
      <w:proofErr w:type="spellStart"/>
      <w:r w:rsidRPr="00CC5482">
        <w:rPr>
          <w:rFonts w:ascii="Calibri" w:hAnsi="Calibri" w:cs="Calibri"/>
          <w:lang w:val="en-US"/>
        </w:rPr>
        <w:t>Kohandelnia</w:t>
      </w:r>
      <w:proofErr w:type="spellEnd"/>
      <w:r w:rsidRPr="00CC5482">
        <w:rPr>
          <w:rFonts w:ascii="Calibri" w:hAnsi="Calibri" w:cs="Calibri"/>
          <w:lang w:val="en-US"/>
        </w:rPr>
        <w:t xml:space="preserve">, M. </w:t>
      </w:r>
      <w:proofErr w:type="spellStart"/>
      <w:r w:rsidRPr="00CC5482">
        <w:rPr>
          <w:rFonts w:ascii="Calibri" w:hAnsi="Calibri" w:cs="Calibri"/>
          <w:lang w:val="en-US"/>
        </w:rPr>
        <w:t>Hosseinpoor</w:t>
      </w:r>
      <w:proofErr w:type="spellEnd"/>
      <w:r w:rsidRPr="00CC5482">
        <w:rPr>
          <w:rFonts w:ascii="Calibri" w:hAnsi="Calibri" w:cs="Calibri"/>
          <w:lang w:val="en-US"/>
        </w:rPr>
        <w:t xml:space="preserve">, </w:t>
      </w:r>
      <w:r w:rsidRPr="00CC5482">
        <w:rPr>
          <w:rFonts w:ascii="Calibri" w:hAnsi="Calibri" w:cs="Calibri"/>
          <w:b/>
          <w:bCs/>
          <w:lang w:val="en-US"/>
        </w:rPr>
        <w:t>A. Yahia</w:t>
      </w:r>
      <w:r w:rsidRPr="00CC5482">
        <w:rPr>
          <w:rFonts w:ascii="Calibri" w:hAnsi="Calibri" w:cs="Calibri"/>
          <w:lang w:val="en-US"/>
        </w:rPr>
        <w:t xml:space="preserve">, </w:t>
      </w:r>
      <w:r w:rsidRPr="00CC5482">
        <w:rPr>
          <w:rFonts w:ascii="Calibri" w:hAnsi="Calibri" w:cs="Calibri"/>
          <w:b/>
          <w:bCs/>
          <w:lang w:val="en-US"/>
        </w:rPr>
        <w:t>R. Belarbi</w:t>
      </w:r>
      <w:r w:rsidRPr="00CC5482">
        <w:rPr>
          <w:rFonts w:ascii="Calibri" w:hAnsi="Calibri" w:cs="Calibri"/>
          <w:lang w:val="en-US"/>
        </w:rPr>
        <w:t xml:space="preserve">, Hygrothermal and microstructural characterization of self-consolidating earth concrete, </w:t>
      </w:r>
      <w:r w:rsidRPr="00CC5482">
        <w:rPr>
          <w:rFonts w:ascii="Calibri" w:hAnsi="Calibri" w:cs="Calibri"/>
          <w:b/>
          <w:bCs/>
          <w:i/>
          <w:iCs/>
          <w:lang w:val="en-US"/>
        </w:rPr>
        <w:t>Journal of Building Engineering</w:t>
      </w:r>
      <w:r w:rsidRPr="00CC5482">
        <w:rPr>
          <w:rFonts w:ascii="Calibri" w:hAnsi="Calibri" w:cs="Calibri"/>
          <w:lang w:val="en-US"/>
        </w:rPr>
        <w:t xml:space="preserve">, Volume 69 (2023), 106287, ISSN 2352-7102, </w:t>
      </w:r>
      <w:hyperlink r:id="rId25" w:history="1">
        <w:r w:rsidRPr="00CC5482">
          <w:rPr>
            <w:rStyle w:val="Hyperlink"/>
            <w:rFonts w:ascii="Calibri" w:hAnsi="Calibri" w:cs="Calibri"/>
            <w:lang w:val="en-US"/>
          </w:rPr>
          <w:t>https://doi.org//10.1016/j.jobe.2023.106287</w:t>
        </w:r>
      </w:hyperlink>
    </w:p>
    <w:p w14:paraId="6B6F6997" w14:textId="77777777" w:rsidR="00BE4B42" w:rsidRPr="00BE4B42" w:rsidRDefault="00FD3988" w:rsidP="00BE4B42">
      <w:pPr>
        <w:pStyle w:val="ListParagraph"/>
        <w:numPr>
          <w:ilvl w:val="0"/>
          <w:numId w:val="5"/>
        </w:numPr>
        <w:tabs>
          <w:tab w:val="num" w:pos="360"/>
        </w:tabs>
        <w:spacing w:line="256" w:lineRule="auto"/>
        <w:ind w:left="360"/>
        <w:jc w:val="both"/>
        <w:rPr>
          <w:rStyle w:val="Hyperlink"/>
          <w:rFonts w:ascii="Calibri" w:eastAsia="Aptos" w:hAnsi="Calibri" w:cs="Calibri"/>
          <w:color w:val="auto"/>
          <w:u w:val="none"/>
          <w:lang w:val="en-US"/>
        </w:rPr>
      </w:pPr>
      <w:r w:rsidRPr="00565641">
        <w:rPr>
          <w:rFonts w:ascii="Calibri" w:hAnsi="Calibri" w:cs="Calibri"/>
          <w:lang w:val="en-US"/>
        </w:rPr>
        <w:t xml:space="preserve">M. </w:t>
      </w:r>
      <w:proofErr w:type="spellStart"/>
      <w:r w:rsidRPr="00565641">
        <w:rPr>
          <w:rFonts w:ascii="Calibri" w:hAnsi="Calibri" w:cs="Calibri"/>
          <w:lang w:val="en-US"/>
        </w:rPr>
        <w:t>Kohandelnia</w:t>
      </w:r>
      <w:proofErr w:type="spellEnd"/>
      <w:r w:rsidRPr="00565641">
        <w:rPr>
          <w:rFonts w:ascii="Calibri" w:hAnsi="Calibri" w:cs="Calibri"/>
          <w:lang w:val="en-US"/>
        </w:rPr>
        <w:t xml:space="preserve">, M. </w:t>
      </w:r>
      <w:proofErr w:type="spellStart"/>
      <w:r w:rsidRPr="00565641">
        <w:rPr>
          <w:rFonts w:ascii="Calibri" w:hAnsi="Calibri" w:cs="Calibri"/>
          <w:lang w:val="en-US"/>
        </w:rPr>
        <w:t>Hosseinpoor</w:t>
      </w:r>
      <w:proofErr w:type="spellEnd"/>
      <w:r w:rsidRPr="00565641">
        <w:rPr>
          <w:rFonts w:ascii="Calibri" w:hAnsi="Calibri" w:cs="Calibri"/>
          <w:lang w:val="en-US"/>
        </w:rPr>
        <w:t xml:space="preserve">, A. Yahia, </w:t>
      </w:r>
      <w:r w:rsidRPr="00565641">
        <w:rPr>
          <w:rFonts w:ascii="Calibri" w:hAnsi="Calibri" w:cs="Calibri"/>
          <w:b/>
          <w:bCs/>
          <w:lang w:val="en-US"/>
        </w:rPr>
        <w:t>R. Belarbi</w:t>
      </w:r>
      <w:r w:rsidRPr="00565641">
        <w:rPr>
          <w:rFonts w:ascii="Calibri" w:hAnsi="Calibri" w:cs="Calibri"/>
          <w:lang w:val="en-US"/>
        </w:rPr>
        <w:t xml:space="preserve">, Multiscale investigation of self-consolidating earthen materials using a novel concrete-equivalent mortar approach, </w:t>
      </w:r>
      <w:r w:rsidRPr="00565641">
        <w:rPr>
          <w:rFonts w:ascii="Calibri" w:hAnsi="Calibri" w:cs="Calibri"/>
          <w:b/>
          <w:bCs/>
          <w:i/>
          <w:iCs/>
          <w:lang w:val="en-US"/>
        </w:rPr>
        <w:t>Construction and Building Materials</w:t>
      </w:r>
      <w:r w:rsidRPr="00565641">
        <w:rPr>
          <w:rFonts w:ascii="Calibri" w:hAnsi="Calibri" w:cs="Calibri"/>
          <w:lang w:val="en-US"/>
        </w:rPr>
        <w:t xml:space="preserve"> (2023) Volume 370, 2023, ISSN 0950-0618, </w:t>
      </w:r>
      <w:r w:rsidRPr="00565641">
        <w:rPr>
          <w:rStyle w:val="Hyperlink"/>
          <w:rFonts w:ascii="Calibri" w:eastAsiaTheme="minorEastAsia" w:hAnsi="Calibri" w:cs="Calibri"/>
          <w:lang w:val="en-US"/>
        </w:rPr>
        <w:t>doi.org/10.1016/j.conbuildmat.2023.130700</w:t>
      </w:r>
    </w:p>
    <w:p w14:paraId="2465DA76" w14:textId="1BA03073" w:rsidR="00354CFC" w:rsidRPr="00BE4B42" w:rsidRDefault="00354CFC" w:rsidP="00BE4B42">
      <w:pPr>
        <w:pStyle w:val="ListParagraph"/>
        <w:numPr>
          <w:ilvl w:val="0"/>
          <w:numId w:val="5"/>
        </w:numPr>
        <w:tabs>
          <w:tab w:val="num" w:pos="360"/>
        </w:tabs>
        <w:spacing w:line="256" w:lineRule="auto"/>
        <w:ind w:left="360"/>
        <w:jc w:val="both"/>
        <w:rPr>
          <w:rStyle w:val="Hyperlink"/>
          <w:rFonts w:ascii="Calibri" w:eastAsia="Aptos" w:hAnsi="Calibri" w:cs="Calibri"/>
          <w:color w:val="auto"/>
          <w:u w:val="none"/>
          <w:lang w:val="en-US"/>
        </w:rPr>
      </w:pPr>
      <w:r w:rsidRPr="00BE4B42">
        <w:rPr>
          <w:rStyle w:val="Hyperlink"/>
          <w:rFonts w:ascii="Calibri" w:eastAsia="Aptos" w:hAnsi="Calibri" w:cs="Calibri"/>
          <w:color w:val="auto"/>
          <w:u w:val="none"/>
          <w:lang w:val="en-US"/>
        </w:rPr>
        <w:lastRenderedPageBreak/>
        <w:t xml:space="preserve">Salah-Eddine Ouldboukhitine, Amer </w:t>
      </w:r>
      <w:proofErr w:type="spellStart"/>
      <w:r w:rsidRPr="00BE4B42">
        <w:rPr>
          <w:rStyle w:val="Hyperlink"/>
          <w:rFonts w:ascii="Calibri" w:eastAsia="Aptos" w:hAnsi="Calibri" w:cs="Calibri"/>
          <w:color w:val="auto"/>
          <w:u w:val="none"/>
          <w:lang w:val="en-US"/>
        </w:rPr>
        <w:t>Bakkour</w:t>
      </w:r>
      <w:proofErr w:type="spellEnd"/>
      <w:r w:rsidRPr="00BE4B42">
        <w:rPr>
          <w:rStyle w:val="Hyperlink"/>
          <w:rFonts w:ascii="Calibri" w:eastAsia="Aptos" w:hAnsi="Calibri" w:cs="Calibri"/>
          <w:color w:val="auto"/>
          <w:u w:val="none"/>
          <w:lang w:val="en-US"/>
        </w:rPr>
        <w:t xml:space="preserve">, Sofiane </w:t>
      </w:r>
      <w:proofErr w:type="spellStart"/>
      <w:r w:rsidRPr="00BE4B42">
        <w:rPr>
          <w:rStyle w:val="Hyperlink"/>
          <w:rFonts w:ascii="Calibri" w:eastAsia="Aptos" w:hAnsi="Calibri" w:cs="Calibri"/>
          <w:color w:val="auto"/>
          <w:u w:val="none"/>
          <w:lang w:val="en-US"/>
        </w:rPr>
        <w:t>Amziane</w:t>
      </w:r>
      <w:proofErr w:type="spellEnd"/>
      <w:r w:rsidRPr="00BE4B42">
        <w:rPr>
          <w:rStyle w:val="Hyperlink"/>
          <w:rFonts w:ascii="Calibri" w:eastAsia="Aptos" w:hAnsi="Calibri" w:cs="Calibri"/>
          <w:color w:val="auto"/>
          <w:u w:val="none"/>
          <w:lang w:val="en-US"/>
        </w:rPr>
        <w:t xml:space="preserve">, </w:t>
      </w:r>
      <w:r w:rsidRPr="00BE4B42">
        <w:rPr>
          <w:rStyle w:val="Hyperlink"/>
          <w:rFonts w:ascii="Calibri" w:eastAsia="Aptos" w:hAnsi="Calibri" w:cs="Calibri"/>
          <w:b/>
          <w:bCs/>
          <w:color w:val="auto"/>
          <w:u w:val="none"/>
          <w:lang w:val="en-US"/>
        </w:rPr>
        <w:t>Rafik Belarbi</w:t>
      </w:r>
      <w:r w:rsidRPr="00BE4B42">
        <w:rPr>
          <w:rStyle w:val="Hyperlink"/>
          <w:rFonts w:ascii="Calibri" w:eastAsia="Aptos" w:hAnsi="Calibri" w:cs="Calibri"/>
          <w:color w:val="auto"/>
          <w:u w:val="none"/>
          <w:lang w:val="en-US"/>
        </w:rPr>
        <w:t xml:space="preserve">, A comparative study of energy performance of Green, White, and gravel roofs in a temperate climate through In-Situ measurement and dynamic simulation, </w:t>
      </w:r>
      <w:r w:rsidRPr="00BE4B42">
        <w:rPr>
          <w:rStyle w:val="Hyperlink"/>
          <w:rFonts w:ascii="Calibri" w:eastAsia="Aptos" w:hAnsi="Calibri" w:cs="Calibri"/>
          <w:b/>
          <w:bCs/>
          <w:color w:val="auto"/>
          <w:u w:val="none"/>
          <w:lang w:val="en-US"/>
        </w:rPr>
        <w:t>Energy and Buildings</w:t>
      </w:r>
      <w:r w:rsidRPr="00BE4B42">
        <w:rPr>
          <w:rStyle w:val="Hyperlink"/>
          <w:rFonts w:ascii="Calibri" w:eastAsia="Aptos" w:hAnsi="Calibri" w:cs="Calibri"/>
          <w:color w:val="auto"/>
          <w:u w:val="none"/>
          <w:lang w:val="en-US"/>
        </w:rPr>
        <w:t>, Volume 320, 2024, 114630, ISSN 0378-7788,</w:t>
      </w:r>
      <w:r w:rsidRPr="00BE4B42">
        <w:rPr>
          <w:rFonts w:ascii="Calibri" w:hAnsi="Calibri" w:cs="Calibri"/>
        </w:rPr>
        <w:t xml:space="preserve"> </w:t>
      </w:r>
      <w:hyperlink r:id="rId26" w:history="1">
        <w:r w:rsidRPr="00BE4B42">
          <w:rPr>
            <w:rStyle w:val="Hyperlink"/>
            <w:rFonts w:ascii="Calibri" w:eastAsia="Aptos" w:hAnsi="Calibri" w:cs="Calibri"/>
            <w:lang w:val="en-US"/>
          </w:rPr>
          <w:t>https://doi.org/10.1016/j.enbuild.2024.114630</w:t>
        </w:r>
      </w:hyperlink>
      <w:r w:rsidRPr="00BE4B42">
        <w:rPr>
          <w:rStyle w:val="Hyperlink"/>
          <w:rFonts w:ascii="Calibri" w:eastAsia="Aptos" w:hAnsi="Calibri" w:cs="Calibri"/>
          <w:color w:val="auto"/>
          <w:u w:val="none"/>
          <w:lang w:val="en-US"/>
        </w:rPr>
        <w:t>.</w:t>
      </w:r>
    </w:p>
    <w:p w14:paraId="4D96E324" w14:textId="77777777" w:rsidR="00FD3988" w:rsidRPr="000D2C7F" w:rsidRDefault="00FD3988" w:rsidP="000D2C7F">
      <w:pPr>
        <w:pStyle w:val="ListParagraph"/>
        <w:numPr>
          <w:ilvl w:val="0"/>
          <w:numId w:val="5"/>
        </w:numPr>
        <w:spacing w:line="256" w:lineRule="auto"/>
        <w:ind w:left="720"/>
        <w:jc w:val="both"/>
        <w:rPr>
          <w:rStyle w:val="Hyperlink"/>
          <w:rFonts w:ascii="Calibri" w:hAnsi="Calibri" w:cs="Calibri"/>
          <w:color w:val="auto"/>
          <w:u w:val="none"/>
          <w:lang w:val="en-US"/>
        </w:rPr>
      </w:pPr>
      <w:commentRangeStart w:id="1"/>
      <w:r w:rsidRPr="000D2C7F">
        <w:rPr>
          <w:rStyle w:val="Hyperlink"/>
          <w:rFonts w:ascii="Calibri" w:hAnsi="Calibri" w:cs="Calibri"/>
          <w:color w:val="auto"/>
          <w:u w:val="none"/>
        </w:rPr>
        <w:t xml:space="preserve">Salah-Eddine Ouldboukhitine, Amer Bakkour, Seif Khiati, </w:t>
      </w:r>
      <w:r w:rsidRPr="000D2C7F">
        <w:rPr>
          <w:rStyle w:val="Hyperlink"/>
          <w:rFonts w:ascii="Calibri" w:hAnsi="Calibri" w:cs="Calibri"/>
          <w:b/>
          <w:bCs/>
          <w:color w:val="auto"/>
          <w:u w:val="none"/>
        </w:rPr>
        <w:t>Rafik Belarbi</w:t>
      </w:r>
      <w:r w:rsidRPr="000D2C7F">
        <w:rPr>
          <w:rStyle w:val="Hyperlink"/>
          <w:rFonts w:ascii="Calibri" w:hAnsi="Calibri" w:cs="Calibri"/>
          <w:color w:val="auto"/>
          <w:u w:val="none"/>
        </w:rPr>
        <w:t>, (2025) Insights into the Thermal Performance of Green Walls as a Passive Cooling Solution in Oceanic Climates. Elsevier</w:t>
      </w:r>
      <w:r w:rsidRPr="000D2C7F">
        <w:rPr>
          <w:rStyle w:val="Hyperlink"/>
          <w:rFonts w:ascii="Calibri" w:hAnsi="Calibri" w:cs="Calibri"/>
          <w:b/>
          <w:bCs/>
          <w:i/>
          <w:iCs/>
          <w:color w:val="auto"/>
          <w:u w:val="none"/>
        </w:rPr>
        <w:t>, Energy and Buildings</w:t>
      </w:r>
      <w:r w:rsidRPr="000D2C7F">
        <w:rPr>
          <w:rStyle w:val="Hyperlink"/>
          <w:rFonts w:ascii="Calibri" w:hAnsi="Calibri" w:cs="Calibri"/>
          <w:color w:val="auto"/>
          <w:u w:val="none"/>
        </w:rPr>
        <w:t>, Volume 342, 1 September 2025, 115850. ISSN 0378-7788. </w:t>
      </w:r>
      <w:hyperlink r:id="rId27" w:tooltip="https://doi.org/10.1016/j.enbuild.2025.115850" w:history="1">
        <w:r w:rsidRPr="000D2C7F">
          <w:rPr>
            <w:rStyle w:val="Hyperlink"/>
            <w:rFonts w:ascii="Calibri" w:hAnsi="Calibri" w:cs="Calibri"/>
            <w:color w:val="auto"/>
            <w:u w:val="none"/>
          </w:rPr>
          <w:t>https://doi.org/10.1016/j.enbuild.2025.115850</w:t>
        </w:r>
      </w:hyperlink>
      <w:r w:rsidRPr="000D2C7F">
        <w:rPr>
          <w:rStyle w:val="Hyperlink"/>
          <w:rFonts w:ascii="Calibri" w:hAnsi="Calibri" w:cs="Calibri"/>
          <w:color w:val="auto"/>
          <w:u w:val="none"/>
        </w:rPr>
        <w:t>.</w:t>
      </w:r>
      <w:commentRangeEnd w:id="1"/>
      <w:r w:rsidR="000549BF" w:rsidRPr="000D2C7F">
        <w:rPr>
          <w:rStyle w:val="Hyperlink"/>
          <w:rFonts w:ascii="Calibri" w:eastAsia="Aptos" w:hAnsi="Calibri" w:cs="Calibri"/>
          <w:color w:val="auto"/>
          <w:u w:val="none"/>
          <w:lang w:val="en-US"/>
        </w:rPr>
        <w:commentReference w:id="1"/>
      </w:r>
    </w:p>
    <w:p w14:paraId="3094AF53" w14:textId="77777777" w:rsidR="00FD3988" w:rsidRPr="000D2C7F" w:rsidRDefault="00FD3988" w:rsidP="000D2C7F">
      <w:pPr>
        <w:pStyle w:val="ListParagraph"/>
        <w:numPr>
          <w:ilvl w:val="0"/>
          <w:numId w:val="5"/>
        </w:numPr>
        <w:spacing w:line="256" w:lineRule="auto"/>
        <w:ind w:left="720"/>
        <w:jc w:val="both"/>
        <w:rPr>
          <w:rStyle w:val="Hyperlink"/>
          <w:rFonts w:ascii="Calibri" w:hAnsi="Calibri" w:cs="Calibri"/>
          <w:color w:val="auto"/>
          <w:u w:val="none"/>
          <w:lang w:val="en-US"/>
        </w:rPr>
      </w:pPr>
      <w:r w:rsidRPr="000D2C7F">
        <w:rPr>
          <w:rStyle w:val="Hyperlink"/>
          <w:rFonts w:ascii="Calibri" w:hAnsi="Calibri" w:cs="Calibri"/>
          <w:b/>
          <w:bCs/>
          <w:color w:val="auto"/>
          <w:u w:val="none"/>
          <w:lang w:val="en-US"/>
        </w:rPr>
        <w:t>Seif Khiati, Rafik Belarbi</w:t>
      </w:r>
      <w:r w:rsidRPr="000D2C7F">
        <w:rPr>
          <w:rStyle w:val="Hyperlink"/>
          <w:rFonts w:ascii="Calibri" w:hAnsi="Calibri" w:cs="Calibri"/>
          <w:color w:val="auto"/>
          <w:u w:val="none"/>
          <w:lang w:val="en-US"/>
        </w:rPr>
        <w:t xml:space="preserve">, </w:t>
      </w:r>
      <w:r w:rsidRPr="000D2C7F">
        <w:rPr>
          <w:rStyle w:val="Hyperlink"/>
          <w:rFonts w:ascii="Calibri" w:hAnsi="Calibri" w:cs="Calibri"/>
          <w:b/>
          <w:bCs/>
          <w:color w:val="auto"/>
          <w:u w:val="none"/>
          <w:lang w:val="en-US"/>
        </w:rPr>
        <w:t>Ammar Yahia</w:t>
      </w:r>
      <w:r w:rsidRPr="000D2C7F">
        <w:rPr>
          <w:rStyle w:val="Hyperlink"/>
          <w:rFonts w:ascii="Calibri" w:hAnsi="Calibri" w:cs="Calibri"/>
          <w:color w:val="auto"/>
          <w:u w:val="none"/>
          <w:lang w:val="en-US"/>
        </w:rPr>
        <w:t xml:space="preserve"> (2023). </w:t>
      </w:r>
      <w:r w:rsidRPr="000D2C7F">
        <w:rPr>
          <w:rStyle w:val="Hyperlink"/>
          <w:rFonts w:ascii="Calibri" w:hAnsi="Calibri" w:cs="Calibri"/>
          <w:color w:val="auto"/>
          <w:u w:val="none"/>
        </w:rPr>
        <w:t xml:space="preserve">Sustainable Buildings: A Choice, or a Must for Our Future? </w:t>
      </w:r>
      <w:r w:rsidRPr="000D2C7F">
        <w:rPr>
          <w:rStyle w:val="Hyperlink"/>
          <w:rFonts w:ascii="Calibri" w:hAnsi="Calibri" w:cs="Calibri"/>
          <w:b/>
          <w:bCs/>
          <w:i/>
          <w:iCs/>
          <w:color w:val="auto"/>
          <w:u w:val="none"/>
          <w:lang w:val="en-US"/>
        </w:rPr>
        <w:t>Energies</w:t>
      </w:r>
      <w:r w:rsidRPr="000D2C7F">
        <w:rPr>
          <w:rStyle w:val="Hyperlink"/>
          <w:rFonts w:ascii="Calibri" w:hAnsi="Calibri" w:cs="Calibri"/>
          <w:color w:val="auto"/>
          <w:u w:val="none"/>
          <w:lang w:val="en-US"/>
        </w:rPr>
        <w:t xml:space="preserve"> 2023, MDPI, vol. 16(6), pages 1-5, March.</w:t>
      </w:r>
    </w:p>
    <w:p w14:paraId="23FB116C" w14:textId="77777777" w:rsidR="000549BF" w:rsidRPr="000D2C7F" w:rsidRDefault="00FD3988" w:rsidP="000D2C7F">
      <w:pPr>
        <w:pStyle w:val="ListParagraph"/>
        <w:numPr>
          <w:ilvl w:val="0"/>
          <w:numId w:val="5"/>
        </w:numPr>
        <w:spacing w:line="256" w:lineRule="auto"/>
        <w:ind w:left="720"/>
        <w:jc w:val="both"/>
        <w:rPr>
          <w:rStyle w:val="Hyperlink"/>
          <w:rFonts w:ascii="Calibri" w:eastAsia="Aptos" w:hAnsi="Calibri" w:cs="Calibri"/>
          <w:color w:val="auto"/>
          <w:u w:val="none"/>
          <w:lang w:val="en-US"/>
        </w:rPr>
      </w:pPr>
      <w:r w:rsidRPr="000D2C7F">
        <w:rPr>
          <w:rStyle w:val="Hyperlink"/>
          <w:rFonts w:ascii="Calibri" w:eastAsia="Aptos" w:hAnsi="Calibri" w:cs="Calibri"/>
          <w:color w:val="auto"/>
          <w:u w:val="none"/>
        </w:rPr>
        <w:t xml:space="preserve">S. E. </w:t>
      </w:r>
      <w:proofErr w:type="spellStart"/>
      <w:r w:rsidRPr="000D2C7F">
        <w:rPr>
          <w:rStyle w:val="Hyperlink"/>
          <w:rFonts w:ascii="Calibri" w:eastAsia="Aptos" w:hAnsi="Calibri" w:cs="Calibri"/>
          <w:color w:val="auto"/>
          <w:u w:val="none"/>
        </w:rPr>
        <w:t>Ouldboukhitine</w:t>
      </w:r>
      <w:proofErr w:type="spellEnd"/>
      <w:r w:rsidRPr="000D2C7F">
        <w:rPr>
          <w:rStyle w:val="Hyperlink"/>
          <w:rFonts w:ascii="Calibri" w:eastAsia="Aptos" w:hAnsi="Calibri" w:cs="Calibri"/>
          <w:color w:val="auto"/>
          <w:u w:val="none"/>
        </w:rPr>
        <w:t xml:space="preserve">, A. </w:t>
      </w:r>
      <w:proofErr w:type="spellStart"/>
      <w:r w:rsidRPr="000D2C7F">
        <w:rPr>
          <w:rStyle w:val="Hyperlink"/>
          <w:rFonts w:ascii="Calibri" w:eastAsia="Aptos" w:hAnsi="Calibri" w:cs="Calibri"/>
          <w:color w:val="auto"/>
          <w:u w:val="none"/>
        </w:rPr>
        <w:t>Bakkour</w:t>
      </w:r>
      <w:proofErr w:type="spellEnd"/>
      <w:r w:rsidRPr="000D2C7F">
        <w:rPr>
          <w:rStyle w:val="Hyperlink"/>
          <w:rFonts w:ascii="Calibri" w:eastAsia="Aptos" w:hAnsi="Calibri" w:cs="Calibri"/>
          <w:b/>
          <w:bCs/>
          <w:color w:val="auto"/>
          <w:u w:val="none"/>
        </w:rPr>
        <w:t xml:space="preserve">, S. </w:t>
      </w:r>
      <w:proofErr w:type="spellStart"/>
      <w:r w:rsidRPr="000D2C7F">
        <w:rPr>
          <w:rStyle w:val="Hyperlink"/>
          <w:rFonts w:ascii="Calibri" w:eastAsia="Aptos" w:hAnsi="Calibri" w:cs="Calibri"/>
          <w:b/>
          <w:bCs/>
          <w:color w:val="auto"/>
          <w:u w:val="none"/>
        </w:rPr>
        <w:t>Khiati</w:t>
      </w:r>
      <w:proofErr w:type="spellEnd"/>
      <w:r w:rsidRPr="000D2C7F">
        <w:rPr>
          <w:rStyle w:val="Hyperlink"/>
          <w:rFonts w:ascii="Calibri" w:eastAsia="Aptos" w:hAnsi="Calibri" w:cs="Calibri"/>
          <w:color w:val="auto"/>
          <w:u w:val="none"/>
        </w:rPr>
        <w:t xml:space="preserve">, R. Belarbi, Modular green walls: A sustainable architectural solution for energy efficiency in oceanic climates, Energy and Buildings, 2025, Volume 342, 115850, ISSN 0378-7788, </w:t>
      </w:r>
    </w:p>
    <w:p w14:paraId="5316D56C" w14:textId="06333F55" w:rsidR="00FD3988" w:rsidRPr="000D2C7F" w:rsidRDefault="000D2C7F" w:rsidP="000D2C7F">
      <w:pPr>
        <w:pStyle w:val="ListParagraph"/>
        <w:spacing w:line="256" w:lineRule="auto"/>
        <w:jc w:val="both"/>
        <w:rPr>
          <w:rStyle w:val="Hyperlink"/>
          <w:rFonts w:ascii="Calibri" w:eastAsia="Aptos" w:hAnsi="Calibri" w:cs="Calibri"/>
          <w:color w:val="auto"/>
          <w:u w:val="none"/>
          <w:lang w:val="en-US"/>
        </w:rPr>
      </w:pPr>
      <w:hyperlink r:id="rId28" w:history="1">
        <w:r w:rsidRPr="003A2521">
          <w:rPr>
            <w:rStyle w:val="Hyperlink"/>
            <w:rFonts w:ascii="Calibri" w:eastAsia="Aptos" w:hAnsi="Calibri" w:cs="Calibri"/>
            <w:lang w:val="en-US"/>
          </w:rPr>
          <w:t>https://doi.org//10.1016/j.enbuild.2025.115850</w:t>
        </w:r>
      </w:hyperlink>
    </w:p>
    <w:p w14:paraId="2E067B02" w14:textId="06E34EEB" w:rsidR="00FD3988" w:rsidRPr="000D2C7F" w:rsidRDefault="00FD3988" w:rsidP="000D2C7F">
      <w:pPr>
        <w:pStyle w:val="ListParagraph"/>
        <w:numPr>
          <w:ilvl w:val="0"/>
          <w:numId w:val="5"/>
        </w:numPr>
        <w:spacing w:line="256" w:lineRule="auto"/>
        <w:ind w:left="720"/>
        <w:jc w:val="both"/>
        <w:rPr>
          <w:rStyle w:val="Hyperlink"/>
          <w:rFonts w:ascii="Calibri" w:eastAsia="Aptos" w:hAnsi="Calibri" w:cs="Calibri"/>
          <w:color w:val="auto"/>
          <w:u w:val="none"/>
        </w:rPr>
      </w:pPr>
      <w:r w:rsidRPr="000D2C7F">
        <w:rPr>
          <w:rStyle w:val="Hyperlink"/>
          <w:rFonts w:ascii="Calibri" w:eastAsia="Aptos" w:hAnsi="Calibri" w:cs="Calibri"/>
          <w:color w:val="auto"/>
          <w:u w:val="none"/>
          <w:lang w:val="en-US"/>
        </w:rPr>
        <w:t xml:space="preserve">Sofiane Bourbia, Habiba Kazeoui, </w:t>
      </w:r>
      <w:proofErr w:type="spellStart"/>
      <w:r w:rsidRPr="000D2C7F">
        <w:rPr>
          <w:rStyle w:val="Hyperlink"/>
          <w:rFonts w:ascii="Calibri" w:eastAsia="Aptos" w:hAnsi="Calibri" w:cs="Calibri"/>
          <w:color w:val="auto"/>
          <w:u w:val="none"/>
          <w:lang w:val="en-US"/>
        </w:rPr>
        <w:t>Abdelfetah</w:t>
      </w:r>
      <w:proofErr w:type="spellEnd"/>
      <w:r w:rsidRPr="000D2C7F">
        <w:rPr>
          <w:rStyle w:val="Hyperlink"/>
          <w:rFonts w:ascii="Calibri" w:eastAsia="Aptos" w:hAnsi="Calibri" w:cs="Calibri"/>
          <w:color w:val="auto"/>
          <w:u w:val="none"/>
          <w:lang w:val="en-US"/>
        </w:rPr>
        <w:t xml:space="preserve">. </w:t>
      </w:r>
      <w:r w:rsidRPr="000D2C7F">
        <w:rPr>
          <w:rStyle w:val="Hyperlink"/>
          <w:rFonts w:ascii="Calibri" w:eastAsia="Aptos" w:hAnsi="Calibri" w:cs="Calibri"/>
          <w:color w:val="auto"/>
          <w:u w:val="none"/>
        </w:rPr>
        <w:t xml:space="preserve">Zenati, Rafik Belarbi Thermo-Hygro-Mechanical Behavior of an Innovative Bio-Based Building Material Incorporating Date Palm Shives, </w:t>
      </w:r>
      <w:r w:rsidRPr="000D2C7F">
        <w:rPr>
          <w:rStyle w:val="Hyperlink"/>
          <w:rFonts w:ascii="Calibri" w:eastAsia="Aptos" w:hAnsi="Calibri" w:cs="Calibri"/>
          <w:b/>
          <w:bCs/>
          <w:i/>
          <w:iCs/>
          <w:color w:val="auto"/>
          <w:u w:val="none"/>
        </w:rPr>
        <w:t>Journal of Building Engineering</w:t>
      </w:r>
      <w:r w:rsidRPr="000D2C7F">
        <w:rPr>
          <w:rStyle w:val="Hyperlink"/>
          <w:rFonts w:ascii="Calibri" w:eastAsia="Aptos" w:hAnsi="Calibri" w:cs="Calibri"/>
          <w:color w:val="auto"/>
          <w:u w:val="none"/>
        </w:rPr>
        <w:t xml:space="preserve">, Volume 123, 2026, 115967, ISSN 2352-7102, </w:t>
      </w:r>
      <w:hyperlink r:id="rId29" w:history="1">
        <w:r w:rsidRPr="000D2C7F">
          <w:rPr>
            <w:rStyle w:val="Hyperlink"/>
            <w:rFonts w:ascii="Calibri" w:eastAsia="Aptos" w:hAnsi="Calibri" w:cs="Calibri"/>
            <w:lang w:val="en-US"/>
          </w:rPr>
          <w:t>https://doi.org/10.1016/j.jobe.2026.115967</w:t>
        </w:r>
      </w:hyperlink>
    </w:p>
    <w:p w14:paraId="49A9CF59" w14:textId="03CCD198" w:rsidR="00FD3988" w:rsidRPr="000D2C7F" w:rsidRDefault="00FD3988" w:rsidP="000D2C7F">
      <w:pPr>
        <w:pStyle w:val="ListParagraph"/>
        <w:numPr>
          <w:ilvl w:val="0"/>
          <w:numId w:val="5"/>
        </w:numPr>
        <w:spacing w:line="256" w:lineRule="auto"/>
        <w:ind w:left="720"/>
        <w:jc w:val="both"/>
        <w:rPr>
          <w:rStyle w:val="Hyperlink"/>
          <w:rFonts w:ascii="Calibri" w:eastAsia="Aptos" w:hAnsi="Calibri" w:cs="Calibri"/>
          <w:color w:val="auto"/>
          <w:u w:val="none"/>
        </w:rPr>
      </w:pPr>
      <w:r w:rsidRPr="000D2C7F">
        <w:rPr>
          <w:rStyle w:val="Hyperlink"/>
          <w:rFonts w:ascii="Calibri" w:eastAsia="Aptos" w:hAnsi="Calibri" w:cs="Calibri"/>
          <w:color w:val="auto"/>
          <w:u w:val="none"/>
          <w:lang w:val="pt-PT"/>
        </w:rPr>
        <w:t xml:space="preserve">Sofiane Bourbia, Habiba Kazeoui, &amp; </w:t>
      </w:r>
      <w:r w:rsidRPr="000D2C7F">
        <w:rPr>
          <w:rStyle w:val="Hyperlink"/>
          <w:rFonts w:ascii="Calibri" w:eastAsia="Aptos" w:hAnsi="Calibri" w:cs="Calibri"/>
          <w:b/>
          <w:bCs/>
          <w:color w:val="auto"/>
          <w:u w:val="none"/>
          <w:lang w:val="pt-PT"/>
        </w:rPr>
        <w:t>Rafik Belarb</w:t>
      </w:r>
      <w:r w:rsidRPr="000D2C7F">
        <w:rPr>
          <w:rStyle w:val="Hyperlink"/>
          <w:rFonts w:ascii="Calibri" w:eastAsia="Aptos" w:hAnsi="Calibri" w:cs="Calibri"/>
          <w:color w:val="auto"/>
          <w:u w:val="none"/>
          <w:lang w:val="pt-PT"/>
        </w:rPr>
        <w:t xml:space="preserve">i. </w:t>
      </w:r>
      <w:r w:rsidRPr="000D2C7F">
        <w:rPr>
          <w:rStyle w:val="Hyperlink"/>
          <w:rFonts w:ascii="Calibri" w:eastAsia="Aptos" w:hAnsi="Calibri" w:cs="Calibri"/>
          <w:color w:val="auto"/>
          <w:u w:val="none"/>
        </w:rPr>
        <w:t>A review on recent research on bio-based building materials and their applications, Materials for Renewable and Sustainable Energy, 12, 117–139 (2023).</w:t>
      </w:r>
      <w:hyperlink r:id="rId30" w:history="1">
        <w:r w:rsidRPr="000D2C7F">
          <w:rPr>
            <w:rStyle w:val="Hyperlink"/>
            <w:rFonts w:ascii="Calibri" w:eastAsia="Aptos" w:hAnsi="Calibri" w:cs="Calibri"/>
            <w:lang w:val="en-US"/>
          </w:rPr>
          <w:t>https://doi.org/10.1007/s40243-023-00234-7</w:t>
        </w:r>
      </w:hyperlink>
    </w:p>
    <w:p w14:paraId="12845816" w14:textId="77777777" w:rsidR="00FD3988" w:rsidRDefault="00FD3988" w:rsidP="000D2C7F">
      <w:pPr>
        <w:pStyle w:val="ListParagraph"/>
        <w:numPr>
          <w:ilvl w:val="0"/>
          <w:numId w:val="5"/>
        </w:numPr>
        <w:spacing w:line="256" w:lineRule="auto"/>
        <w:ind w:left="720"/>
        <w:jc w:val="both"/>
        <w:rPr>
          <w:rStyle w:val="Hyperlink"/>
          <w:rFonts w:ascii="Calibri" w:eastAsia="Aptos" w:hAnsi="Calibri" w:cs="Calibri"/>
          <w:color w:val="auto"/>
          <w:u w:val="none"/>
        </w:rPr>
      </w:pPr>
      <w:r w:rsidRPr="000D2C7F">
        <w:rPr>
          <w:rStyle w:val="Hyperlink"/>
          <w:rFonts w:ascii="Calibri" w:eastAsia="Aptos" w:hAnsi="Calibri" w:cs="Calibri"/>
          <w:color w:val="auto"/>
          <w:u w:val="none"/>
        </w:rPr>
        <w:t xml:space="preserve">Sultan Alpar, Julien Berger, </w:t>
      </w:r>
      <w:r w:rsidRPr="000D2C7F">
        <w:rPr>
          <w:rStyle w:val="Hyperlink"/>
          <w:rFonts w:ascii="Calibri" w:eastAsia="Aptos" w:hAnsi="Calibri" w:cs="Calibri"/>
          <w:b/>
          <w:bCs/>
          <w:color w:val="auto"/>
          <w:u w:val="none"/>
        </w:rPr>
        <w:t>Rafik Belarbi</w:t>
      </w:r>
      <w:r w:rsidRPr="000D2C7F">
        <w:rPr>
          <w:rStyle w:val="Hyperlink"/>
          <w:rFonts w:ascii="Calibri" w:eastAsia="Aptos" w:hAnsi="Calibri" w:cs="Calibri"/>
          <w:color w:val="auto"/>
          <w:u w:val="none"/>
        </w:rPr>
        <w:t xml:space="preserve">, Shape Optimisation of the Energy Efficiency of Building Retrofitted Façade, 31ème </w:t>
      </w:r>
      <w:proofErr w:type="spellStart"/>
      <w:r w:rsidRPr="000D2C7F">
        <w:rPr>
          <w:rStyle w:val="Hyperlink"/>
          <w:rFonts w:ascii="Calibri" w:eastAsia="Aptos" w:hAnsi="Calibri" w:cs="Calibri"/>
          <w:color w:val="auto"/>
          <w:u w:val="none"/>
        </w:rPr>
        <w:t>Congrès</w:t>
      </w:r>
      <w:proofErr w:type="spellEnd"/>
      <w:r w:rsidRPr="000D2C7F">
        <w:rPr>
          <w:rStyle w:val="Hyperlink"/>
          <w:rFonts w:ascii="Calibri" w:eastAsia="Aptos" w:hAnsi="Calibri" w:cs="Calibri"/>
          <w:color w:val="auto"/>
          <w:u w:val="none"/>
        </w:rPr>
        <w:t xml:space="preserve"> Français de </w:t>
      </w:r>
      <w:proofErr w:type="spellStart"/>
      <w:r w:rsidRPr="000D2C7F">
        <w:rPr>
          <w:rStyle w:val="Hyperlink"/>
          <w:rFonts w:ascii="Calibri" w:eastAsia="Aptos" w:hAnsi="Calibri" w:cs="Calibri"/>
          <w:color w:val="auto"/>
          <w:u w:val="none"/>
        </w:rPr>
        <w:t>Thermique</w:t>
      </w:r>
      <w:proofErr w:type="spellEnd"/>
      <w:r w:rsidRPr="000D2C7F">
        <w:rPr>
          <w:rStyle w:val="Hyperlink"/>
          <w:rFonts w:ascii="Calibri" w:eastAsia="Aptos" w:hAnsi="Calibri" w:cs="Calibri"/>
          <w:color w:val="auto"/>
          <w:u w:val="none"/>
        </w:rPr>
        <w:t xml:space="preserve"> et </w:t>
      </w:r>
      <w:proofErr w:type="spellStart"/>
      <w:r w:rsidRPr="000D2C7F">
        <w:rPr>
          <w:rStyle w:val="Hyperlink"/>
          <w:rFonts w:ascii="Calibri" w:eastAsia="Aptos" w:hAnsi="Calibri" w:cs="Calibri"/>
          <w:color w:val="auto"/>
          <w:u w:val="none"/>
        </w:rPr>
        <w:t>Agroressources</w:t>
      </w:r>
      <w:proofErr w:type="spellEnd"/>
      <w:r w:rsidRPr="000D2C7F">
        <w:rPr>
          <w:rStyle w:val="Hyperlink"/>
          <w:rFonts w:ascii="Calibri" w:eastAsia="Aptos" w:hAnsi="Calibri" w:cs="Calibri"/>
          <w:color w:val="auto"/>
          <w:u w:val="none"/>
        </w:rPr>
        <w:t>, Reims 30/05-02/06/2023</w:t>
      </w:r>
    </w:p>
    <w:p w14:paraId="34F884A8" w14:textId="74C7D7B4" w:rsidR="006068BD" w:rsidRPr="00BE4B42" w:rsidRDefault="00FD3988" w:rsidP="00BE4B42">
      <w:pPr>
        <w:pStyle w:val="ListParagraph"/>
        <w:numPr>
          <w:ilvl w:val="0"/>
          <w:numId w:val="5"/>
        </w:numPr>
        <w:spacing w:line="256" w:lineRule="auto"/>
        <w:ind w:left="720"/>
        <w:jc w:val="both"/>
        <w:rPr>
          <w:rStyle w:val="Hyperlink"/>
          <w:rFonts w:ascii="Calibri" w:eastAsia="Aptos" w:hAnsi="Calibri" w:cs="Calibri"/>
          <w:color w:val="auto"/>
          <w:u w:val="none"/>
        </w:rPr>
      </w:pPr>
      <w:r w:rsidRPr="00BE4B42">
        <w:rPr>
          <w:rStyle w:val="Hyperlink"/>
          <w:rFonts w:ascii="Calibri" w:eastAsia="Aptos" w:hAnsi="Calibri" w:cs="Calibri"/>
          <w:color w:val="auto"/>
          <w:u w:val="none"/>
        </w:rPr>
        <w:t xml:space="preserve">Y. Nasr, H El Zakhem, AEA Hamami, M El </w:t>
      </w:r>
      <w:proofErr w:type="spellStart"/>
      <w:r w:rsidRPr="00BE4B42">
        <w:rPr>
          <w:rStyle w:val="Hyperlink"/>
          <w:rFonts w:ascii="Calibri" w:eastAsia="Aptos" w:hAnsi="Calibri" w:cs="Calibri"/>
          <w:color w:val="auto"/>
          <w:u w:val="none"/>
        </w:rPr>
        <w:t>Bachawati</w:t>
      </w:r>
      <w:proofErr w:type="spellEnd"/>
      <w:r w:rsidRPr="00BE4B42">
        <w:rPr>
          <w:rStyle w:val="Hyperlink"/>
          <w:rFonts w:ascii="Calibri" w:eastAsia="Aptos" w:hAnsi="Calibri" w:cs="Calibri"/>
          <w:color w:val="auto"/>
          <w:u w:val="none"/>
        </w:rPr>
        <w:t xml:space="preserve">, </w:t>
      </w:r>
      <w:r w:rsidRPr="00BE4B42">
        <w:rPr>
          <w:rStyle w:val="Hyperlink"/>
          <w:rFonts w:ascii="Calibri" w:eastAsia="Aptos" w:hAnsi="Calibri" w:cs="Calibri"/>
          <w:b/>
          <w:bCs/>
          <w:color w:val="auto"/>
          <w:u w:val="none"/>
        </w:rPr>
        <w:t>R Belarbi</w:t>
      </w:r>
      <w:r w:rsidRPr="00BE4B42">
        <w:rPr>
          <w:rStyle w:val="Hyperlink"/>
          <w:rFonts w:ascii="Calibri" w:eastAsia="Aptos" w:hAnsi="Calibri" w:cs="Calibri"/>
          <w:color w:val="auto"/>
          <w:u w:val="none"/>
        </w:rPr>
        <w:t xml:space="preserve">, Comprehensive Assessment of the Impact of Green Roofs and Walls on Building Energy Performance: Scientific Review, </w:t>
      </w:r>
      <w:r w:rsidRPr="00BE4B42">
        <w:rPr>
          <w:rStyle w:val="Hyperlink"/>
          <w:rFonts w:ascii="Calibri" w:eastAsia="Aptos" w:hAnsi="Calibri" w:cs="Calibri"/>
          <w:b/>
          <w:bCs/>
          <w:i/>
          <w:iCs/>
          <w:color w:val="auto"/>
          <w:u w:val="none"/>
        </w:rPr>
        <w:t>Energies</w:t>
      </w:r>
      <w:r w:rsidRPr="00BE4B42">
        <w:rPr>
          <w:rStyle w:val="Hyperlink"/>
          <w:rFonts w:ascii="Calibri" w:eastAsia="Aptos" w:hAnsi="Calibri" w:cs="Calibri"/>
          <w:color w:val="auto"/>
          <w:u w:val="none"/>
        </w:rPr>
        <w:t xml:space="preserve"> (2024), 17 (20), 5160 </w:t>
      </w:r>
      <w:hyperlink r:id="rId31" w:history="1">
        <w:r w:rsidRPr="00BE4B42">
          <w:rPr>
            <w:rStyle w:val="Hyperlink"/>
            <w:rFonts w:ascii="Calibri" w:eastAsia="Aptos" w:hAnsi="Calibri" w:cs="Calibri"/>
            <w:color w:val="auto"/>
            <w:u w:val="none"/>
            <w:lang w:val="en-US"/>
          </w:rPr>
          <w:t>https://doi.org//10.3390/en17205160</w:t>
        </w:r>
      </w:hyperlink>
    </w:p>
    <w:p w14:paraId="29B46D6C" w14:textId="0CFAD45C" w:rsidR="006068BD" w:rsidRPr="000D2C7F" w:rsidRDefault="006068BD" w:rsidP="000D2C7F">
      <w:pPr>
        <w:pStyle w:val="ListParagraph"/>
        <w:numPr>
          <w:ilvl w:val="0"/>
          <w:numId w:val="5"/>
        </w:numPr>
        <w:spacing w:line="256" w:lineRule="auto"/>
        <w:ind w:left="720"/>
        <w:jc w:val="both"/>
        <w:rPr>
          <w:rStyle w:val="Hyperlink"/>
          <w:rFonts w:ascii="Calibri" w:eastAsia="Aptos" w:hAnsi="Calibri" w:cs="Calibri"/>
          <w:color w:val="auto"/>
          <w:u w:val="none"/>
          <w:lang w:val="en-US"/>
        </w:rPr>
      </w:pPr>
      <w:r w:rsidRPr="000D2C7F">
        <w:rPr>
          <w:rStyle w:val="Hyperlink"/>
          <w:rFonts w:ascii="Calibri" w:eastAsia="Aptos" w:hAnsi="Calibri" w:cs="Calibri"/>
          <w:color w:val="auto"/>
          <w:u w:val="none"/>
          <w:lang w:val="en-US"/>
        </w:rPr>
        <w:t xml:space="preserve"> Yara Nasr, Makram El </w:t>
      </w:r>
      <w:proofErr w:type="spellStart"/>
      <w:r w:rsidRPr="000D2C7F">
        <w:rPr>
          <w:rStyle w:val="Hyperlink"/>
          <w:rFonts w:ascii="Calibri" w:eastAsia="Aptos" w:hAnsi="Calibri" w:cs="Calibri"/>
          <w:color w:val="auto"/>
          <w:u w:val="none"/>
          <w:lang w:val="en-US"/>
        </w:rPr>
        <w:t>Bachawati</w:t>
      </w:r>
      <w:proofErr w:type="spellEnd"/>
      <w:r w:rsidRPr="000D2C7F">
        <w:rPr>
          <w:rStyle w:val="Hyperlink"/>
          <w:rFonts w:ascii="Calibri" w:eastAsia="Aptos" w:hAnsi="Calibri" w:cs="Calibri"/>
          <w:color w:val="auto"/>
          <w:u w:val="none"/>
          <w:lang w:val="en-US"/>
        </w:rPr>
        <w:t xml:space="preserve">, Ameur Hamami, Henri El Zakhem, </w:t>
      </w:r>
      <w:r w:rsidRPr="000D2C7F">
        <w:rPr>
          <w:rStyle w:val="Hyperlink"/>
          <w:rFonts w:ascii="Calibri" w:eastAsia="Aptos" w:hAnsi="Calibri" w:cs="Calibri"/>
          <w:b/>
          <w:bCs/>
          <w:color w:val="auto"/>
          <w:u w:val="none"/>
          <w:lang w:val="en-US"/>
        </w:rPr>
        <w:t>Rafik Belarbi</w:t>
      </w:r>
      <w:r w:rsidRPr="000D2C7F">
        <w:rPr>
          <w:rStyle w:val="Hyperlink"/>
          <w:rFonts w:ascii="Calibri" w:eastAsia="Aptos" w:hAnsi="Calibri" w:cs="Calibri"/>
          <w:color w:val="auto"/>
          <w:u w:val="none"/>
          <w:lang w:val="en-US"/>
        </w:rPr>
        <w:t>, Composition Effects on Microstructure and Mechanical Performance of Lightweight Cementitious Mortars Incorporating Recycled Glass Powder, Developments in the Built Environment, Accepted 07April 2026</w:t>
      </w:r>
    </w:p>
    <w:p w14:paraId="64993CF8" w14:textId="77777777" w:rsidR="006068BD" w:rsidRPr="000D2C7F" w:rsidRDefault="00FD3988" w:rsidP="006068BD">
      <w:pPr>
        <w:pStyle w:val="ListParagraph"/>
        <w:numPr>
          <w:ilvl w:val="0"/>
          <w:numId w:val="5"/>
        </w:numPr>
        <w:tabs>
          <w:tab w:val="num" w:pos="360"/>
        </w:tabs>
        <w:spacing w:line="256" w:lineRule="auto"/>
        <w:ind w:left="360"/>
        <w:jc w:val="both"/>
        <w:rPr>
          <w:rStyle w:val="Hyperlink"/>
          <w:rFonts w:ascii="Calibri" w:hAnsi="Calibri" w:cs="Calibri"/>
          <w:strike/>
          <w:color w:val="auto"/>
          <w:u w:val="none"/>
          <w:lang w:val="en-US"/>
        </w:rPr>
      </w:pPr>
      <w:commentRangeStart w:id="2"/>
      <w:r w:rsidRPr="000D2C7F">
        <w:rPr>
          <w:rFonts w:ascii="Calibri" w:hAnsi="Calibri" w:cs="Calibri"/>
          <w:strike/>
          <w:lang w:val="en-US"/>
        </w:rPr>
        <w:t xml:space="preserve">Younsi, A. </w:t>
      </w:r>
      <w:proofErr w:type="spellStart"/>
      <w:r w:rsidRPr="000D2C7F">
        <w:rPr>
          <w:rFonts w:ascii="Calibri" w:hAnsi="Calibri" w:cs="Calibri"/>
          <w:strike/>
          <w:lang w:val="en-US"/>
        </w:rPr>
        <w:t>Nouviaire</w:t>
      </w:r>
      <w:proofErr w:type="spellEnd"/>
      <w:r w:rsidRPr="000D2C7F">
        <w:rPr>
          <w:rFonts w:ascii="Calibri" w:hAnsi="Calibri" w:cs="Calibri"/>
          <w:strike/>
          <w:lang w:val="en-US"/>
        </w:rPr>
        <w:t xml:space="preserve">, </w:t>
      </w:r>
      <w:r w:rsidRPr="000D2C7F">
        <w:rPr>
          <w:rFonts w:ascii="Calibri" w:hAnsi="Calibri" w:cs="Calibri"/>
          <w:b/>
          <w:bCs/>
          <w:strike/>
          <w:lang w:val="en-US"/>
        </w:rPr>
        <w:t>R. Belarbi</w:t>
      </w:r>
      <w:r w:rsidRPr="000D2C7F">
        <w:rPr>
          <w:rFonts w:ascii="Calibri" w:hAnsi="Calibri" w:cs="Calibri"/>
          <w:strike/>
          <w:lang w:val="en-US"/>
        </w:rPr>
        <w:t xml:space="preserve">, Effect of recycled waste cardboard chips on the </w:t>
      </w:r>
      <w:proofErr w:type="spellStart"/>
      <w:r w:rsidRPr="000D2C7F">
        <w:rPr>
          <w:rFonts w:ascii="Calibri" w:hAnsi="Calibri" w:cs="Calibri"/>
          <w:strike/>
          <w:lang w:val="en-US"/>
        </w:rPr>
        <w:t>physico</w:t>
      </w:r>
      <w:proofErr w:type="spellEnd"/>
      <w:r w:rsidRPr="000D2C7F">
        <w:rPr>
          <w:rFonts w:ascii="Calibri" w:hAnsi="Calibri" w:cs="Calibri"/>
          <w:strike/>
          <w:lang w:val="en-US"/>
        </w:rPr>
        <w:t xml:space="preserve">-thermal-hygric properties of hemp-lime </w:t>
      </w:r>
      <w:proofErr w:type="spellStart"/>
      <w:r w:rsidRPr="000D2C7F">
        <w:rPr>
          <w:rFonts w:ascii="Calibri" w:hAnsi="Calibri" w:cs="Calibri"/>
          <w:strike/>
          <w:lang w:val="en-US"/>
        </w:rPr>
        <w:t>biocomposites</w:t>
      </w:r>
      <w:proofErr w:type="spellEnd"/>
      <w:r w:rsidRPr="000D2C7F">
        <w:rPr>
          <w:rFonts w:ascii="Calibri" w:hAnsi="Calibri" w:cs="Calibri"/>
          <w:strike/>
          <w:lang w:val="en-US"/>
        </w:rPr>
        <w:t xml:space="preserve">, </w:t>
      </w:r>
      <w:r w:rsidRPr="000D2C7F">
        <w:rPr>
          <w:rFonts w:ascii="Calibri" w:hAnsi="Calibri" w:cs="Calibri"/>
          <w:b/>
          <w:bCs/>
          <w:i/>
          <w:iCs/>
          <w:strike/>
          <w:lang w:val="en-US"/>
        </w:rPr>
        <w:t>Results in Engineering</w:t>
      </w:r>
      <w:r w:rsidRPr="000D2C7F">
        <w:rPr>
          <w:rFonts w:ascii="Calibri" w:hAnsi="Calibri" w:cs="Calibri"/>
          <w:strike/>
          <w:lang w:val="en-US"/>
        </w:rPr>
        <w:t xml:space="preserve">, 2026, ISSN 2590-1230, </w:t>
      </w:r>
      <w:hyperlink r:id="rId32" w:history="1">
        <w:r w:rsidRPr="000D2C7F">
          <w:rPr>
            <w:rStyle w:val="Hyperlink"/>
            <w:rFonts w:ascii="Calibri" w:hAnsi="Calibri" w:cs="Calibri"/>
            <w:strike/>
            <w:lang w:val="en-US"/>
          </w:rPr>
          <w:t>https://doi.org/10.1016/j.rineng.2026.109773</w:t>
        </w:r>
      </w:hyperlink>
      <w:commentRangeEnd w:id="2"/>
      <w:r w:rsidR="00746059" w:rsidRPr="000D2C7F">
        <w:rPr>
          <w:rStyle w:val="CommentReference"/>
          <w:rFonts w:ascii="Calibri" w:hAnsi="Calibri" w:cs="Calibri"/>
          <w:strike/>
          <w:sz w:val="24"/>
          <w:szCs w:val="24"/>
        </w:rPr>
        <w:commentReference w:id="2"/>
      </w:r>
    </w:p>
    <w:p w14:paraId="4F9F997D" w14:textId="77777777" w:rsidR="006068BD" w:rsidRPr="006068BD" w:rsidRDefault="006068BD" w:rsidP="006068BD">
      <w:pPr>
        <w:spacing w:line="256" w:lineRule="auto"/>
        <w:jc w:val="both"/>
        <w:rPr>
          <w:rStyle w:val="Hyperlink"/>
          <w:rFonts w:ascii="Calibri" w:hAnsi="Calibri" w:cs="Calibri"/>
          <w:strike/>
          <w:color w:val="auto"/>
          <w:u w:val="none"/>
          <w:lang w:val="en-US"/>
        </w:rPr>
      </w:pPr>
    </w:p>
    <w:p w14:paraId="3F873E9B" w14:textId="77777777" w:rsidR="006B0BB5" w:rsidRPr="00FD3988" w:rsidRDefault="006B0BB5" w:rsidP="00FD3988">
      <w:pPr>
        <w:jc w:val="both"/>
        <w:rPr>
          <w:rFonts w:ascii="Calibri" w:hAnsi="Calibri" w:cs="Calibri"/>
          <w:b/>
          <w:bCs/>
          <w:u w:val="single"/>
          <w:lang w:val="en-US"/>
        </w:rPr>
      </w:pPr>
      <w:r w:rsidRPr="00FD3988">
        <w:rPr>
          <w:rFonts w:ascii="Calibri" w:hAnsi="Calibri" w:cs="Calibri"/>
          <w:b/>
          <w:bCs/>
          <w:u w:val="single"/>
          <w:lang w:val="en-US"/>
        </w:rPr>
        <w:t>Submitted Papers</w:t>
      </w:r>
    </w:p>
    <w:p w14:paraId="41263059" w14:textId="77777777" w:rsidR="00FD3988" w:rsidRDefault="00FD3988" w:rsidP="00FD3988">
      <w:pPr>
        <w:spacing w:line="256" w:lineRule="auto"/>
        <w:jc w:val="both"/>
        <w:rPr>
          <w:rFonts w:ascii="Calibri" w:hAnsi="Calibri" w:cs="Calibri"/>
          <w:lang w:val="en-US"/>
        </w:rPr>
      </w:pPr>
      <w:r>
        <w:rPr>
          <w:rFonts w:ascii="Calibri" w:hAnsi="Calibri" w:cs="Calibri"/>
          <w:lang w:val="en-US"/>
        </w:rPr>
        <w:t>1</w:t>
      </w:r>
      <w:commentRangeStart w:id="3"/>
      <w:r w:rsidRPr="006068BD">
        <w:rPr>
          <w:rFonts w:ascii="Calibri" w:hAnsi="Calibri" w:cs="Calibri"/>
          <w:strike/>
          <w:lang w:val="en-US"/>
        </w:rPr>
        <w:t xml:space="preserve">. </w:t>
      </w:r>
      <w:r w:rsidR="006B0BB5" w:rsidRPr="006068BD">
        <w:rPr>
          <w:rFonts w:ascii="Calibri" w:hAnsi="Calibri" w:cs="Calibri"/>
          <w:strike/>
          <w:lang w:val="en-US"/>
        </w:rPr>
        <w:t xml:space="preserve">Yara Nasr, Makram El </w:t>
      </w:r>
      <w:proofErr w:type="spellStart"/>
      <w:r w:rsidR="006B0BB5" w:rsidRPr="006068BD">
        <w:rPr>
          <w:rFonts w:ascii="Calibri" w:hAnsi="Calibri" w:cs="Calibri"/>
          <w:strike/>
          <w:lang w:val="en-US"/>
        </w:rPr>
        <w:t>Bachawati</w:t>
      </w:r>
      <w:proofErr w:type="spellEnd"/>
      <w:r w:rsidR="006B0BB5" w:rsidRPr="006068BD">
        <w:rPr>
          <w:rFonts w:ascii="Calibri" w:hAnsi="Calibri" w:cs="Calibri"/>
          <w:strike/>
          <w:lang w:val="en-US"/>
        </w:rPr>
        <w:t xml:space="preserve">, Ameur Hamami, Henri El Zakhem, </w:t>
      </w:r>
      <w:r w:rsidR="006B0BB5" w:rsidRPr="006068BD">
        <w:rPr>
          <w:rFonts w:ascii="Calibri" w:hAnsi="Calibri" w:cs="Calibri"/>
          <w:b/>
          <w:bCs/>
          <w:strike/>
          <w:lang w:val="en-US"/>
        </w:rPr>
        <w:t>Rafik Belarbi</w:t>
      </w:r>
      <w:r w:rsidR="006B0BB5" w:rsidRPr="006068BD">
        <w:rPr>
          <w:rFonts w:ascii="Calibri" w:hAnsi="Calibri" w:cs="Calibri"/>
          <w:strike/>
          <w:lang w:val="en-US"/>
        </w:rPr>
        <w:t>, Composition Effects on Microstructure and Mechanical Performance of Lightweight Cementitious Mortars Incorporating Recycled Glass Powder,</w:t>
      </w:r>
      <w:r w:rsidR="006B0BB5" w:rsidRPr="006068BD">
        <w:rPr>
          <w:rFonts w:ascii="Calibri" w:eastAsia="ArialUnicodeMS" w:hAnsi="Calibri" w:cs="Calibri"/>
          <w:strike/>
          <w:color w:val="333666"/>
          <w:kern w:val="0"/>
          <w:lang w:val="en-US"/>
        </w:rPr>
        <w:t xml:space="preserve"> </w:t>
      </w:r>
      <w:r w:rsidR="006B0BB5" w:rsidRPr="006068BD">
        <w:rPr>
          <w:rFonts w:ascii="Calibri" w:hAnsi="Calibri" w:cs="Calibri"/>
          <w:b/>
          <w:bCs/>
          <w:i/>
          <w:iCs/>
          <w:strike/>
          <w:lang w:val="en-US"/>
        </w:rPr>
        <w:t>Developments in the Built Environment</w:t>
      </w:r>
      <w:r w:rsidR="006B0BB5" w:rsidRPr="006068BD">
        <w:rPr>
          <w:rFonts w:ascii="Calibri" w:hAnsi="Calibri" w:cs="Calibri"/>
          <w:strike/>
          <w:lang w:val="en-US"/>
        </w:rPr>
        <w:t>, April 2026</w:t>
      </w:r>
      <w:commentRangeEnd w:id="3"/>
      <w:r w:rsidR="006068BD">
        <w:rPr>
          <w:rStyle w:val="CommentReference"/>
        </w:rPr>
        <w:commentReference w:id="3"/>
      </w:r>
    </w:p>
    <w:p w14:paraId="39320489" w14:textId="7791D4A2" w:rsidR="006B0BB5" w:rsidRDefault="00FD3988" w:rsidP="00FD3988">
      <w:pPr>
        <w:spacing w:line="256" w:lineRule="auto"/>
        <w:jc w:val="both"/>
        <w:rPr>
          <w:rFonts w:ascii="Calibri" w:hAnsi="Calibri" w:cs="Calibri"/>
          <w:lang w:val="en-US"/>
        </w:rPr>
      </w:pPr>
      <w:r>
        <w:rPr>
          <w:rFonts w:ascii="Calibri" w:hAnsi="Calibri" w:cs="Calibri"/>
          <w:lang w:val="en-US"/>
        </w:rPr>
        <w:lastRenderedPageBreak/>
        <w:t xml:space="preserve">2. </w:t>
      </w:r>
      <w:r w:rsidR="006B0BB5" w:rsidRPr="00FD3988">
        <w:rPr>
          <w:rFonts w:ascii="Calibri" w:hAnsi="Calibri" w:cs="Calibri"/>
          <w:lang w:val="en-US"/>
        </w:rPr>
        <w:t xml:space="preserve">Sultan Alpar, Julien Berger &amp; </w:t>
      </w:r>
      <w:r w:rsidR="006B0BB5" w:rsidRPr="00FD3988">
        <w:rPr>
          <w:rFonts w:ascii="Calibri" w:hAnsi="Calibri" w:cs="Calibri"/>
          <w:b/>
          <w:bCs/>
          <w:lang w:val="en-US"/>
        </w:rPr>
        <w:t>Rafik Belarbi</w:t>
      </w:r>
      <w:r w:rsidR="006B0BB5" w:rsidRPr="00FD3988">
        <w:rPr>
          <w:rFonts w:ascii="Calibri" w:hAnsi="Calibri" w:cs="Calibri"/>
          <w:lang w:val="en-US"/>
        </w:rPr>
        <w:t xml:space="preserve">, Influence of shape parametrization techniques on the solution of thermal design problem for facade energy optimization, </w:t>
      </w:r>
      <w:r w:rsidR="006B0BB5" w:rsidRPr="00FD3988">
        <w:rPr>
          <w:rFonts w:ascii="Calibri" w:hAnsi="Calibri" w:cs="Calibri"/>
          <w:b/>
          <w:bCs/>
          <w:i/>
          <w:iCs/>
          <w:lang w:val="en-US"/>
        </w:rPr>
        <w:t>Computational Thermal Sciences journal</w:t>
      </w:r>
      <w:r w:rsidR="006B0BB5" w:rsidRPr="00FD3988">
        <w:rPr>
          <w:rFonts w:ascii="Calibri" w:hAnsi="Calibri" w:cs="Calibri"/>
          <w:lang w:val="en-US"/>
        </w:rPr>
        <w:t>, May 2026</w:t>
      </w:r>
    </w:p>
    <w:p w14:paraId="4EE4DA8E" w14:textId="0B401D98" w:rsidR="006B0BB5" w:rsidRDefault="00FD3988" w:rsidP="00FD3988">
      <w:pPr>
        <w:spacing w:line="256" w:lineRule="auto"/>
        <w:jc w:val="both"/>
        <w:rPr>
          <w:rFonts w:ascii="Calibri" w:hAnsi="Calibri" w:cs="Calibri"/>
          <w:lang w:val="en-US"/>
        </w:rPr>
      </w:pPr>
      <w:r>
        <w:rPr>
          <w:rFonts w:ascii="Calibri" w:hAnsi="Calibri" w:cs="Calibri"/>
          <w:lang w:val="en-US"/>
        </w:rPr>
        <w:t xml:space="preserve">3. </w:t>
      </w:r>
      <w:r w:rsidR="006B0BB5">
        <w:rPr>
          <w:rFonts w:ascii="Calibri" w:hAnsi="Calibri" w:cs="Calibri"/>
          <w:lang w:val="en-US"/>
        </w:rPr>
        <w:t xml:space="preserve">Yara Nasr, Ameur Hamami, Henri El Zakhem, Makram El </w:t>
      </w:r>
      <w:proofErr w:type="spellStart"/>
      <w:r w:rsidR="006B0BB5">
        <w:rPr>
          <w:rFonts w:ascii="Calibri" w:hAnsi="Calibri" w:cs="Calibri"/>
          <w:lang w:val="en-US"/>
        </w:rPr>
        <w:t>Bachawati</w:t>
      </w:r>
      <w:proofErr w:type="spellEnd"/>
      <w:r w:rsidR="006B0BB5">
        <w:rPr>
          <w:rFonts w:ascii="Calibri" w:hAnsi="Calibri" w:cs="Calibri"/>
          <w:lang w:val="en-US"/>
        </w:rPr>
        <w:t xml:space="preserve">, </w:t>
      </w:r>
      <w:r w:rsidR="006B0BB5">
        <w:rPr>
          <w:rFonts w:ascii="Calibri" w:hAnsi="Calibri" w:cs="Calibri"/>
          <w:b/>
          <w:bCs/>
          <w:lang w:val="en-US"/>
        </w:rPr>
        <w:t>Rafik Belarbi</w:t>
      </w:r>
      <w:r w:rsidR="006B0BB5">
        <w:rPr>
          <w:rFonts w:ascii="Calibri" w:hAnsi="Calibri" w:cs="Calibri"/>
          <w:lang w:val="en-US"/>
        </w:rPr>
        <w:t>, Interaction between microstructure and hygrothermal behavior of lightweight mortars containing glass waste powder</w:t>
      </w:r>
      <w:r w:rsidR="006B0BB5">
        <w:rPr>
          <w:rFonts w:ascii="Calibri" w:hAnsi="Calibri" w:cs="Calibri"/>
          <w:i/>
          <w:iCs/>
          <w:lang w:val="en-US"/>
        </w:rPr>
        <w:t xml:space="preserve">, </w:t>
      </w:r>
      <w:r w:rsidR="006B0BB5">
        <w:rPr>
          <w:rFonts w:ascii="Calibri" w:hAnsi="Calibri" w:cs="Calibri"/>
          <w:b/>
          <w:bCs/>
          <w:i/>
          <w:iCs/>
          <w:lang w:val="en-US"/>
        </w:rPr>
        <w:t>Journal of Building Engineering</w:t>
      </w:r>
      <w:r w:rsidR="006B0BB5">
        <w:rPr>
          <w:rFonts w:ascii="Calibri" w:hAnsi="Calibri" w:cs="Calibri"/>
          <w:lang w:val="en-US"/>
        </w:rPr>
        <w:t>, May 2026</w:t>
      </w:r>
    </w:p>
    <w:p w14:paraId="63EC9D55" w14:textId="77777777" w:rsidR="004C3924" w:rsidRDefault="004C3924" w:rsidP="0009425D">
      <w:pPr>
        <w:spacing w:line="256" w:lineRule="auto"/>
        <w:jc w:val="both"/>
        <w:rPr>
          <w:rFonts w:ascii="Calibri" w:eastAsia="Aptos" w:hAnsi="Calibri" w:cs="Calibri"/>
          <w:b/>
          <w:bCs/>
          <w:lang w:val="en-US"/>
        </w:rPr>
      </w:pPr>
    </w:p>
    <w:p w14:paraId="6866DD38" w14:textId="519533AF"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b/>
          <w:bCs/>
          <w:lang w:val="en-US"/>
        </w:rPr>
        <w:t>Ongoing Research Projects:</w:t>
      </w:r>
    </w:p>
    <w:p w14:paraId="4D418AC7"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The long-term strategic alliance group is working on the third edition of the Collaborative Network. The previous edition covered themes included sustainable construction materials, energy-efficient building design, 3D printing in construction, heat and mass transfer in porous materials, and climate-responsive architecture. By integrating advanced material science, digital construction technologies, and climate responsive design strategies, the group contributes to the development of resilient and sustainable built environments that address both global climate challenges and regional sustainability goals.</w:t>
      </w:r>
    </w:p>
    <w:p w14:paraId="3B662FE3" w14:textId="77777777" w:rsidR="0009425D" w:rsidRDefault="0009425D" w:rsidP="0009425D">
      <w:pPr>
        <w:shd w:val="clear" w:color="auto" w:fill="FFFFFF"/>
        <w:spacing w:after="0" w:line="240" w:lineRule="auto"/>
        <w:jc w:val="both"/>
        <w:textAlignment w:val="baseline"/>
        <w:rPr>
          <w:rFonts w:ascii="Aptos" w:eastAsia="Times New Roman" w:hAnsi="Aptos" w:cs="Times New Roman"/>
          <w:b/>
          <w:bCs/>
          <w:color w:val="000000"/>
          <w:kern w:val="0"/>
          <w:lang w:eastAsia="en-AE"/>
          <w14:ligatures w14:val="none"/>
        </w:rPr>
      </w:pPr>
    </w:p>
    <w:p w14:paraId="51242179" w14:textId="77777777" w:rsidR="0009425D" w:rsidRPr="0009425D" w:rsidRDefault="0009425D" w:rsidP="0009425D">
      <w:pPr>
        <w:spacing w:line="256" w:lineRule="auto"/>
        <w:jc w:val="center"/>
        <w:rPr>
          <w:rFonts w:ascii="Calibri" w:eastAsia="Aptos" w:hAnsi="Calibri" w:cs="Calibri"/>
          <w:b/>
          <w:bCs/>
          <w:sz w:val="40"/>
          <w:szCs w:val="40"/>
          <w:lang w:val="en-US"/>
        </w:rPr>
      </w:pPr>
      <w:r w:rsidRPr="0009425D">
        <w:rPr>
          <w:rFonts w:ascii="Calibri" w:eastAsia="Aptos" w:hAnsi="Calibri" w:cs="Calibri"/>
          <w:b/>
          <w:bCs/>
          <w:sz w:val="40"/>
          <w:szCs w:val="40"/>
          <w:lang w:val="en-US"/>
        </w:rPr>
        <w:t>Sustainable Building and Cities</w:t>
      </w:r>
    </w:p>
    <w:p w14:paraId="11BF60E2" w14:textId="77777777" w:rsidR="0009425D" w:rsidRPr="0009425D" w:rsidRDefault="0009425D" w:rsidP="0009425D">
      <w:pPr>
        <w:spacing w:line="256" w:lineRule="auto"/>
        <w:jc w:val="both"/>
        <w:rPr>
          <w:rFonts w:ascii="Calibri" w:eastAsia="Aptos" w:hAnsi="Calibri" w:cs="Calibri"/>
          <w:b/>
          <w:bCs/>
          <w:sz w:val="28"/>
          <w:szCs w:val="28"/>
          <w:lang w:val="en-US"/>
        </w:rPr>
      </w:pPr>
      <w:r w:rsidRPr="0009425D">
        <w:rPr>
          <w:rFonts w:ascii="Calibri" w:eastAsia="Aptos" w:hAnsi="Calibri" w:cs="Calibri"/>
          <w:b/>
          <w:bCs/>
          <w:sz w:val="28"/>
          <w:szCs w:val="28"/>
          <w:lang w:val="en-US"/>
        </w:rPr>
        <w:t>Research Groups and Projects</w:t>
      </w:r>
    </w:p>
    <w:p w14:paraId="75F48A73"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 xml:space="preserve">The proposed program is structured around two complementary and interdisciplinary research groups designed to address one of the defining challenges of the coming decades: transforming the built environment so that it becomes simultaneously low-carbon, climate-resilient, water-conscious, resource-efficient, and scalable in practice. This ambition is especially relevant in the UAE and across the MENA region, where rapid urbanization, rising cooling demand, water scarcity, and exposure to climate extremes are reshaping the conditions under which cities and buildings must be designed, operated, and renewed. At the global level, this agenda is equally urgent: the buildings and construction sector remain one of the largest contributors to energy demand and carbon emissions, while the materials that sustain it continue to carry a high environmental burden. </w:t>
      </w:r>
    </w:p>
    <w:p w14:paraId="41706180"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Rather than treating sustainability, digitalization, and resilience as separate themes, the research program will position them as interdependent dimensions of a single research agenda. The first group focuses on urban resilience, climate adaptation, and ecosystem-based responses to heat, flooding, and water stress. The second group focuses on digital transition, low-carbon construction, advanced modelling, and next-generation building technologies, including additive manufacturing and Net Zero design. Together, they provide a coherent platform for research that is scientifically robust, regionally grounded, and closely aligned with national priorities such as the UAE Net Zero 2050 Strategic Initiative, the UAE Energy Strategy 2050, the National Climate Change Plan 2017–2050, the UAE Water Security Strategy 2036, the Dubai 2040 Urban Master Plan, and the Dubai 3D Printing Strategy.</w:t>
      </w:r>
    </w:p>
    <w:p w14:paraId="0F5951EE" w14:textId="77777777" w:rsidR="0009425D" w:rsidRPr="0009425D" w:rsidRDefault="0009425D" w:rsidP="0009425D">
      <w:pPr>
        <w:spacing w:line="256" w:lineRule="auto"/>
        <w:jc w:val="both"/>
        <w:rPr>
          <w:rFonts w:ascii="Calibri" w:eastAsia="Aptos" w:hAnsi="Calibri" w:cs="Calibri"/>
          <w:lang w:val="en-US"/>
        </w:rPr>
      </w:pPr>
    </w:p>
    <w:p w14:paraId="70A8D68C" w14:textId="77777777" w:rsidR="0009425D" w:rsidRPr="0009425D" w:rsidRDefault="0009425D" w:rsidP="0009425D">
      <w:pPr>
        <w:spacing w:line="256" w:lineRule="auto"/>
        <w:jc w:val="both"/>
        <w:rPr>
          <w:rFonts w:ascii="Calibri" w:eastAsia="Aptos" w:hAnsi="Calibri" w:cs="Calibri"/>
          <w:b/>
          <w:bCs/>
          <w:sz w:val="28"/>
          <w:szCs w:val="28"/>
          <w:lang w:val="en-US"/>
        </w:rPr>
      </w:pPr>
      <w:r w:rsidRPr="0009425D">
        <w:rPr>
          <w:rFonts w:ascii="Calibri" w:eastAsia="Aptos" w:hAnsi="Calibri" w:cs="Calibri"/>
          <w:b/>
          <w:bCs/>
          <w:sz w:val="28"/>
          <w:szCs w:val="28"/>
          <w:lang w:val="en-US"/>
        </w:rPr>
        <w:lastRenderedPageBreak/>
        <w:t>1. Resilient Urban Ecosystems, Climate Adaptation and Water-Energy Nexus</w:t>
      </w:r>
    </w:p>
    <w:p w14:paraId="183BB6D1"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 xml:space="preserve">This research group addresses the growing need to rethink urban environments in the UAE and the wider MENA region in light of converging environmental pressures. These include extreme heat, flash flooding, land degradation, water stress, rising electricity demand for cooling, and the growing vulnerability of urban infrastructure to compound climate risks. In this context, resilience can no longer be understood as a purely engineering problem. It requires integrated responses that combine urban climatology, passive design, water-sensitive planning, nature-based solutions, and climate-responsive architecture. This need was made particularly visible by the extreme rainfall event of April 2024, which caused severe flooding and disruption across parts of the UAE, including Dubai, and reinforced the importance of designing urban systems that are robust under both chronic and acute climate stress. </w:t>
      </w:r>
    </w:p>
    <w:p w14:paraId="45E13070"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The group will therefore focus on the development of urban and architectural strategies that improve thermal habitability, reduce environmental exposure, and strengthen the adaptive capacity of communities, buildings, and public spaces. A central concern will be the water-energy-climate nexus, which is especially relevant in the Gulf context. As highlighted by the IEA, rising temperatures, cooling demand, and desalination needs are becoming major drivers of electricity growth across MENA, making it essential to link climate adaptation with energy and water efficiency rather than addressing each domain in isolation.</w:t>
      </w:r>
    </w:p>
    <w:p w14:paraId="6B0C2196" w14:textId="77777777" w:rsidR="0009425D" w:rsidRDefault="0009425D" w:rsidP="0009425D">
      <w:pPr>
        <w:spacing w:line="256" w:lineRule="auto"/>
        <w:jc w:val="both"/>
        <w:rPr>
          <w:rFonts w:ascii="Calibri" w:eastAsia="Aptos" w:hAnsi="Calibri" w:cs="Calibri"/>
          <w:lang w:val="en-US"/>
        </w:rPr>
      </w:pPr>
    </w:p>
    <w:p w14:paraId="4B715CB8" w14:textId="77777777" w:rsidR="0009425D" w:rsidRPr="0009425D" w:rsidRDefault="0009425D" w:rsidP="0009425D">
      <w:pPr>
        <w:spacing w:line="256" w:lineRule="auto"/>
        <w:jc w:val="both"/>
        <w:rPr>
          <w:rFonts w:ascii="Calibri" w:eastAsia="Aptos" w:hAnsi="Calibri" w:cs="Calibri"/>
          <w:b/>
          <w:bCs/>
          <w:sz w:val="28"/>
          <w:szCs w:val="28"/>
          <w:lang w:val="en-US"/>
        </w:rPr>
      </w:pPr>
      <w:r w:rsidRPr="0009425D">
        <w:rPr>
          <w:rFonts w:ascii="Calibri" w:eastAsia="Aptos" w:hAnsi="Calibri" w:cs="Calibri"/>
          <w:b/>
          <w:bCs/>
          <w:sz w:val="28"/>
          <w:szCs w:val="28"/>
          <w:lang w:val="en-US"/>
        </w:rPr>
        <w:t>Proposed Research Project</w:t>
      </w:r>
    </w:p>
    <w:p w14:paraId="56FEE7F8"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b/>
          <w:bCs/>
          <w:lang w:val="en-US"/>
        </w:rPr>
        <w:t>Integrated Bioclimatic Design for Flood-Resilient and Heat-Adapted Communities</w:t>
      </w:r>
    </w:p>
    <w:p w14:paraId="0C15E8DE"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This project will develop and validate an integrated framework for both new developments and urban retrofit scenarios, with the aim of producing neighborhoods’ that are cooler, more water-efficient, and more resilient to extreme rainfall. The project will combine passive cooling strategies, urban shading, ventilation-oriented design, reflective and low-impact materials, vegetation-based solutions, and water-sensitive urban design principles in order to reduce heat stress while improving stormwater management and surface-water control. Rather than treating runoff only as a hazard, the project will investigate how rainfall can be captured, delayed, infiltrated, reused, or redirected in ways that improve local environmental performance and support more circular urban water systems.</w:t>
      </w:r>
    </w:p>
    <w:p w14:paraId="3F9342F9"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Its scientific value lies in the integration of domains that are too often considered separately: microclimate, building design, landscape systems, water management, and resilience planning. Its regional relevance is equally strong. The project responds directly to the UAE’s need to reduce urban overheating, limit infrastructure vulnerability, and improve water security under conditions of climate uncertainty. It also supports key national and local policy frameworks, including the UAE Net Zero 2050 Strategic Initiative, the National Climate Change Plan 2017–2050, the UAE Water Security Strategy 2036, and the Dubai 2040 Urban Master Plan.</w:t>
      </w:r>
    </w:p>
    <w:p w14:paraId="0F7D1863" w14:textId="637D9E51" w:rsidR="0009425D" w:rsidRPr="0009425D" w:rsidRDefault="0009425D" w:rsidP="0009425D">
      <w:pPr>
        <w:spacing w:line="256" w:lineRule="auto"/>
        <w:rPr>
          <w:rFonts w:ascii="Calibri" w:eastAsia="Aptos" w:hAnsi="Calibri" w:cs="Calibri"/>
          <w:lang w:val="en-US"/>
        </w:rPr>
      </w:pPr>
      <w:r w:rsidRPr="0009425D">
        <w:rPr>
          <w:rFonts w:ascii="Calibri" w:eastAsia="Aptos" w:hAnsi="Calibri" w:cs="Calibri"/>
          <w:b/>
          <w:bCs/>
          <w:lang w:val="en-US"/>
        </w:rPr>
        <w:t>Members:</w:t>
      </w:r>
      <w:r w:rsidR="00D017D7">
        <w:rPr>
          <w:rFonts w:ascii="Calibri" w:eastAsia="Aptos" w:hAnsi="Calibri" w:cs="Calibri"/>
          <w:b/>
          <w:bCs/>
          <w:lang w:val="en-US"/>
        </w:rPr>
        <w:t xml:space="preserve"> </w:t>
      </w:r>
      <w:r w:rsidRPr="00D017D7">
        <w:rPr>
          <w:rFonts w:ascii="Calibri" w:eastAsia="Aptos" w:hAnsi="Calibri" w:cs="Calibri"/>
          <w:color w:val="FF0000"/>
          <w:lang w:val="en-US"/>
        </w:rPr>
        <w:br/>
      </w:r>
      <w:r w:rsidRPr="0009425D">
        <w:rPr>
          <w:rFonts w:ascii="Calibri" w:eastAsia="Aptos" w:hAnsi="Calibri" w:cs="Calibri"/>
          <w:lang w:val="en-US"/>
        </w:rPr>
        <w:t>Professor Rafik Belarbi — Leader</w:t>
      </w:r>
      <w:r w:rsidRPr="0009425D">
        <w:rPr>
          <w:rFonts w:ascii="Calibri" w:eastAsia="Aptos" w:hAnsi="Calibri" w:cs="Calibri"/>
          <w:lang w:val="en-US"/>
        </w:rPr>
        <w:br/>
      </w:r>
      <w:r w:rsidRPr="0009425D">
        <w:rPr>
          <w:rFonts w:ascii="Calibri" w:eastAsia="Aptos" w:hAnsi="Calibri" w:cs="Calibri"/>
          <w:lang w:val="en-US"/>
        </w:rPr>
        <w:lastRenderedPageBreak/>
        <w:t xml:space="preserve">Associate Professor Seif </w:t>
      </w:r>
      <w:proofErr w:type="spellStart"/>
      <w:r w:rsidRPr="0009425D">
        <w:rPr>
          <w:rFonts w:ascii="Calibri" w:eastAsia="Aptos" w:hAnsi="Calibri" w:cs="Calibri"/>
          <w:lang w:val="en-US"/>
        </w:rPr>
        <w:t>Khiati</w:t>
      </w:r>
      <w:proofErr w:type="spellEnd"/>
      <w:r w:rsidRPr="0009425D">
        <w:rPr>
          <w:rFonts w:ascii="Calibri" w:eastAsia="Aptos" w:hAnsi="Calibri" w:cs="Calibri"/>
          <w:lang w:val="en-US"/>
        </w:rPr>
        <w:br/>
        <w:t>Professor Ammar Yahia</w:t>
      </w:r>
    </w:p>
    <w:p w14:paraId="4D1D3DD8" w14:textId="77777777" w:rsidR="0009425D" w:rsidRPr="0009425D" w:rsidRDefault="0009425D" w:rsidP="0009425D">
      <w:pPr>
        <w:spacing w:line="256" w:lineRule="auto"/>
        <w:rPr>
          <w:rFonts w:ascii="Calibri" w:eastAsia="Aptos" w:hAnsi="Calibri" w:cs="Calibri"/>
          <w:lang w:val="en-US"/>
        </w:rPr>
      </w:pPr>
    </w:p>
    <w:p w14:paraId="75DA63ED" w14:textId="77777777" w:rsidR="0009425D" w:rsidRPr="0009425D" w:rsidRDefault="0009425D" w:rsidP="0009425D">
      <w:pPr>
        <w:spacing w:line="256" w:lineRule="auto"/>
        <w:jc w:val="both"/>
        <w:rPr>
          <w:rFonts w:ascii="Calibri" w:eastAsia="Aptos" w:hAnsi="Calibri" w:cs="Calibri"/>
          <w:b/>
          <w:bCs/>
          <w:sz w:val="28"/>
          <w:szCs w:val="28"/>
          <w:lang w:val="en-US"/>
        </w:rPr>
      </w:pPr>
      <w:r w:rsidRPr="0009425D">
        <w:rPr>
          <w:rFonts w:ascii="Calibri" w:eastAsia="Aptos" w:hAnsi="Calibri" w:cs="Calibri"/>
          <w:b/>
          <w:bCs/>
          <w:sz w:val="28"/>
          <w:szCs w:val="28"/>
          <w:lang w:val="en-US"/>
        </w:rPr>
        <w:t>2. Digital Transition, Low-Carbon Construction and Net Zero Built Environment</w:t>
      </w:r>
    </w:p>
    <w:p w14:paraId="563880D8"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This research group focuses on the digital and technological transformation of the built environment as a lever for environmental performance, decarbonization, and resilient decision-making. Its purpose is not simply to promote advanced tools for their own sake, but to develop methods that help predict, optimize, and validate how buildings and urban systems perform under real climatic, material, and operational conditions. The group will bring together expertise in simulation, artificial intelligence, machine learning, digital twins, data-driven design, advanced materials, and additive manufacturing in order to support the next generation of low-carbon and Net Zero buildings.</w:t>
      </w:r>
    </w:p>
    <w:p w14:paraId="50B3C126"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 xml:space="preserve">This orientation is particularly timely. Globally, the transition of the building sector now requires much more than incremental operational efficiency. It also demands lower embodied carbon, better material efficiency, lifecycle thinking, and new construction approaches capable of reducing waste while improving performance. In the UAE, this challenge is amplified by the region’s heavy dependence on cooling, its exposure to harsh climatic conditions, and the strategic need to couple technological innovation with practical implementation at building and district scales. The group will therefore position digitalization as an enabler of better environmental choices, more robust design processes, and stronger links between research, policy, and industry. </w:t>
      </w:r>
    </w:p>
    <w:p w14:paraId="1B05B11D" w14:textId="77777777" w:rsidR="0009425D" w:rsidRPr="0009425D" w:rsidRDefault="0009425D" w:rsidP="0009425D">
      <w:pPr>
        <w:spacing w:line="256" w:lineRule="auto"/>
        <w:jc w:val="both"/>
        <w:rPr>
          <w:rFonts w:ascii="Calibri" w:eastAsia="Aptos" w:hAnsi="Calibri" w:cs="Calibri"/>
          <w:lang w:val="en-US"/>
        </w:rPr>
      </w:pPr>
    </w:p>
    <w:p w14:paraId="44686500" w14:textId="77777777" w:rsidR="0009425D" w:rsidRPr="0009425D" w:rsidRDefault="0009425D" w:rsidP="0009425D">
      <w:pPr>
        <w:spacing w:line="256" w:lineRule="auto"/>
        <w:jc w:val="both"/>
        <w:rPr>
          <w:rFonts w:ascii="Calibri" w:eastAsia="Aptos" w:hAnsi="Calibri" w:cs="Calibri"/>
          <w:b/>
          <w:bCs/>
          <w:sz w:val="28"/>
          <w:szCs w:val="28"/>
          <w:lang w:val="en-US"/>
        </w:rPr>
      </w:pPr>
      <w:r w:rsidRPr="0009425D">
        <w:rPr>
          <w:rFonts w:ascii="Calibri" w:eastAsia="Aptos" w:hAnsi="Calibri" w:cs="Calibri"/>
          <w:b/>
          <w:bCs/>
          <w:sz w:val="28"/>
          <w:szCs w:val="28"/>
          <w:lang w:val="en-US"/>
        </w:rPr>
        <w:t>Proposed Research Project 1</w:t>
      </w:r>
    </w:p>
    <w:p w14:paraId="73F78511"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b/>
          <w:bCs/>
          <w:lang w:val="en-US"/>
        </w:rPr>
        <w:t>AI-Powered Urban Climate Modelling and Risk Assessment</w:t>
      </w:r>
    </w:p>
    <w:p w14:paraId="79B8D5BB"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This project will develop high-resolution urban models capable of predicting and assessing key environmental risks, including heat accumulation, urban heat island intensity, outdoor thermal discomfort, flood-prone scenarios, and the performance of mitigation measures under future climate conditions. Using advanced statistical methods, machine learning, and physics-informed modelling, the project will support the creation of digital twins for selected urban areas in Dubai. These digital environments will allow planners, developers, and public authorities to test the consequences of different urban forms, material choices, greening strategies, and infrastructure decisions before implementation.</w:t>
      </w:r>
    </w:p>
    <w:p w14:paraId="42EC712D"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 xml:space="preserve">The originality of the project lies in its capacity to turn environmental complexity into decision-support intelligence. Rather than producing static simulations, it will provide a dynamic platform for scenario testing, </w:t>
      </w:r>
      <w:proofErr w:type="spellStart"/>
      <w:r w:rsidRPr="0009425D">
        <w:rPr>
          <w:rFonts w:ascii="Calibri" w:eastAsia="Aptos" w:hAnsi="Calibri" w:cs="Calibri"/>
          <w:lang w:val="en-US"/>
        </w:rPr>
        <w:t>optimisation</w:t>
      </w:r>
      <w:proofErr w:type="spellEnd"/>
      <w:r w:rsidRPr="0009425D">
        <w:rPr>
          <w:rFonts w:ascii="Calibri" w:eastAsia="Aptos" w:hAnsi="Calibri" w:cs="Calibri"/>
          <w:lang w:val="en-US"/>
        </w:rPr>
        <w:t>, and risk-informed planning. This aligns closely with Dubai’s long-term urban development strategy and with broader UAE priorities around digital transformation, environmental planning, and evidence-based governance</w:t>
      </w:r>
    </w:p>
    <w:p w14:paraId="03BEAA23" w14:textId="77777777" w:rsidR="0009425D" w:rsidRPr="0009425D" w:rsidRDefault="0009425D" w:rsidP="0009425D">
      <w:pPr>
        <w:spacing w:line="256" w:lineRule="auto"/>
        <w:rPr>
          <w:rFonts w:ascii="Calibri" w:eastAsia="Aptos" w:hAnsi="Calibri" w:cs="Calibri"/>
          <w:lang w:val="en-US"/>
        </w:rPr>
      </w:pPr>
      <w:r w:rsidRPr="0009425D">
        <w:rPr>
          <w:rFonts w:ascii="Calibri" w:eastAsia="Aptos" w:hAnsi="Calibri" w:cs="Calibri"/>
          <w:b/>
          <w:bCs/>
          <w:lang w:val="en-US"/>
        </w:rPr>
        <w:t>Members:</w:t>
      </w:r>
      <w:r w:rsidRPr="0009425D">
        <w:rPr>
          <w:rFonts w:ascii="Calibri" w:eastAsia="Aptos" w:hAnsi="Calibri" w:cs="Calibri"/>
          <w:lang w:val="en-US"/>
        </w:rPr>
        <w:br/>
        <w:t xml:space="preserve">Dr. Seif </w:t>
      </w:r>
      <w:proofErr w:type="spellStart"/>
      <w:r w:rsidRPr="0009425D">
        <w:rPr>
          <w:rFonts w:ascii="Calibri" w:eastAsia="Aptos" w:hAnsi="Calibri" w:cs="Calibri"/>
          <w:lang w:val="en-US"/>
        </w:rPr>
        <w:t>Khiati</w:t>
      </w:r>
      <w:proofErr w:type="spellEnd"/>
      <w:r w:rsidRPr="0009425D">
        <w:rPr>
          <w:rFonts w:ascii="Calibri" w:eastAsia="Aptos" w:hAnsi="Calibri" w:cs="Calibri"/>
          <w:lang w:val="en-US"/>
        </w:rPr>
        <w:t xml:space="preserve"> — Leader</w:t>
      </w:r>
      <w:r w:rsidRPr="0009425D">
        <w:rPr>
          <w:rFonts w:ascii="Calibri" w:eastAsia="Aptos" w:hAnsi="Calibri" w:cs="Calibri"/>
          <w:lang w:val="en-US"/>
        </w:rPr>
        <w:br/>
      </w:r>
      <w:r w:rsidRPr="0009425D">
        <w:rPr>
          <w:rFonts w:ascii="Calibri" w:eastAsia="Aptos" w:hAnsi="Calibri" w:cs="Calibri"/>
          <w:lang w:val="en-US"/>
        </w:rPr>
        <w:lastRenderedPageBreak/>
        <w:t>Professor Ammar Yahia</w:t>
      </w:r>
      <w:r w:rsidRPr="0009425D">
        <w:rPr>
          <w:rFonts w:ascii="Calibri" w:eastAsia="Aptos" w:hAnsi="Calibri" w:cs="Calibri"/>
          <w:lang w:val="en-US"/>
        </w:rPr>
        <w:br/>
        <w:t>Professor Rafik Belarbi</w:t>
      </w:r>
    </w:p>
    <w:p w14:paraId="16AD9B12" w14:textId="77777777" w:rsidR="00C1645A" w:rsidRPr="0009425D" w:rsidRDefault="00C1645A" w:rsidP="0009425D">
      <w:pPr>
        <w:spacing w:line="256" w:lineRule="auto"/>
        <w:rPr>
          <w:rFonts w:ascii="Calibri" w:eastAsia="Aptos" w:hAnsi="Calibri" w:cs="Calibri"/>
          <w:lang w:val="en-US"/>
        </w:rPr>
      </w:pPr>
    </w:p>
    <w:p w14:paraId="236FFC59" w14:textId="77777777" w:rsidR="0009425D" w:rsidRPr="0009425D" w:rsidRDefault="0009425D" w:rsidP="0009425D">
      <w:pPr>
        <w:spacing w:line="256" w:lineRule="auto"/>
        <w:jc w:val="both"/>
        <w:rPr>
          <w:rFonts w:ascii="Calibri" w:eastAsia="Aptos" w:hAnsi="Calibri" w:cs="Calibri"/>
          <w:b/>
          <w:bCs/>
          <w:sz w:val="28"/>
          <w:szCs w:val="28"/>
          <w:lang w:val="en-US"/>
        </w:rPr>
      </w:pPr>
      <w:r w:rsidRPr="0009425D">
        <w:rPr>
          <w:rFonts w:ascii="Calibri" w:eastAsia="Aptos" w:hAnsi="Calibri" w:cs="Calibri"/>
          <w:b/>
          <w:bCs/>
          <w:sz w:val="28"/>
          <w:szCs w:val="28"/>
          <w:lang w:val="en-US"/>
        </w:rPr>
        <w:t>Proposed Research Project 2</w:t>
      </w:r>
    </w:p>
    <w:p w14:paraId="1A30A2EC"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b/>
          <w:bCs/>
          <w:lang w:val="en-US"/>
        </w:rPr>
        <w:t>3D Printing for Sustainable and Net Zero Buildings</w:t>
      </w:r>
    </w:p>
    <w:p w14:paraId="56E7013D"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 xml:space="preserve">This project will investigate the role of large-scale additive manufacturing in the delivery of sustainable, low-carbon, and Net Zero buildings adapted to the climatic and material context of the UAE. The project will address three interrelated research directions. First, it will explore the development of printable materials with reduced embodied carbon, including bio-based, mineral-based, and waste-derived formulations that make use of locally relevant resources and support circular construction pathways. Second, it will examine how 3D printing can enable thermally efficient and materially </w:t>
      </w:r>
      <w:proofErr w:type="spellStart"/>
      <w:r w:rsidRPr="0009425D">
        <w:rPr>
          <w:rFonts w:ascii="Calibri" w:eastAsia="Aptos" w:hAnsi="Calibri" w:cs="Calibri"/>
          <w:lang w:val="en-US"/>
        </w:rPr>
        <w:t>optimised</w:t>
      </w:r>
      <w:proofErr w:type="spellEnd"/>
      <w:r w:rsidRPr="0009425D">
        <w:rPr>
          <w:rFonts w:ascii="Calibri" w:eastAsia="Aptos" w:hAnsi="Calibri" w:cs="Calibri"/>
          <w:lang w:val="en-US"/>
        </w:rPr>
        <w:t xml:space="preserve"> building envelopes by taking advantage of complex geometries, tailored porosity, integrated shading, and passive-performance-driven design. Third, it will assess how additive manufacturing may facilitate the integration of renewable energy systems and smart building components into the envelope and structural logic of future Net Zero buildings.</w:t>
      </w:r>
    </w:p>
    <w:p w14:paraId="77276244"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 xml:space="preserve">The project is strategically important because it places 3D printing at the intersection of construction innovation, resource efficiency, and climate action. It does not treat additive manufacturing as a standalone technological novelty, but as a possible response to several critical challenges: reducing waste, lowering embodied impacts, improving design flexibility, shortening construction sequences, and supporting high-performance envelopes suited to hot-arid environments. This makes the project strongly relevant to both the UAE’s climate ambitions and Dubai’s established policy commitment to 3D printing as a strategic sector, including its objective that 25% of buildings in Dubai should be based on 3D printing technology by 2030. </w:t>
      </w:r>
    </w:p>
    <w:p w14:paraId="3CF1B421" w14:textId="77777777" w:rsidR="0009425D" w:rsidRPr="0009425D" w:rsidRDefault="0009425D" w:rsidP="0009425D">
      <w:pPr>
        <w:spacing w:after="0" w:line="240" w:lineRule="auto"/>
        <w:rPr>
          <w:rFonts w:ascii="Calibri" w:eastAsia="Aptos" w:hAnsi="Calibri" w:cs="Calibri"/>
          <w:lang w:val="en-US"/>
        </w:rPr>
      </w:pPr>
      <w:r w:rsidRPr="0009425D">
        <w:rPr>
          <w:rFonts w:ascii="Calibri" w:eastAsia="Aptos" w:hAnsi="Calibri" w:cs="Calibri"/>
          <w:b/>
          <w:bCs/>
          <w:lang w:val="en-US"/>
        </w:rPr>
        <w:t>Members:</w:t>
      </w:r>
      <w:r w:rsidRPr="0009425D">
        <w:rPr>
          <w:rFonts w:ascii="Calibri" w:eastAsia="Aptos" w:hAnsi="Calibri" w:cs="Calibri"/>
          <w:lang w:val="en-US"/>
        </w:rPr>
        <w:br/>
        <w:t>Professor Ammar Yahia — Leader</w:t>
      </w:r>
    </w:p>
    <w:p w14:paraId="1F981F58" w14:textId="77777777" w:rsidR="0009425D" w:rsidRPr="0009425D" w:rsidRDefault="0009425D" w:rsidP="0009425D">
      <w:pPr>
        <w:spacing w:after="0" w:line="240" w:lineRule="auto"/>
        <w:rPr>
          <w:rFonts w:ascii="Calibri" w:eastAsia="Aptos" w:hAnsi="Calibri" w:cs="Calibri"/>
          <w:lang w:val="en-US"/>
        </w:rPr>
      </w:pPr>
      <w:r w:rsidRPr="0009425D">
        <w:rPr>
          <w:rFonts w:ascii="Calibri" w:eastAsia="Aptos" w:hAnsi="Calibri" w:cs="Calibri"/>
          <w:lang w:val="en-US"/>
        </w:rPr>
        <w:t>Professor Rafik Belarbi</w:t>
      </w:r>
      <w:r w:rsidRPr="0009425D">
        <w:rPr>
          <w:rFonts w:ascii="Calibri" w:eastAsia="Aptos" w:hAnsi="Calibri" w:cs="Calibri"/>
          <w:lang w:val="en-US"/>
        </w:rPr>
        <w:br/>
        <w:t xml:space="preserve">Dr. Seif </w:t>
      </w:r>
      <w:proofErr w:type="spellStart"/>
      <w:r w:rsidRPr="0009425D">
        <w:rPr>
          <w:rFonts w:ascii="Calibri" w:eastAsia="Aptos" w:hAnsi="Calibri" w:cs="Calibri"/>
          <w:lang w:val="en-US"/>
        </w:rPr>
        <w:t>Khiati</w:t>
      </w:r>
      <w:proofErr w:type="spellEnd"/>
      <w:r w:rsidRPr="0009425D">
        <w:rPr>
          <w:rFonts w:ascii="Calibri" w:eastAsia="Aptos" w:hAnsi="Calibri" w:cs="Calibri"/>
          <w:lang w:val="en-US"/>
        </w:rPr>
        <w:br/>
      </w:r>
    </w:p>
    <w:p w14:paraId="785B0E17" w14:textId="77777777" w:rsidR="006D58F9" w:rsidRPr="006D58F9" w:rsidRDefault="006D58F9" w:rsidP="006D58F9">
      <w:pPr>
        <w:spacing w:line="256" w:lineRule="auto"/>
        <w:jc w:val="both"/>
        <w:rPr>
          <w:rFonts w:ascii="Calibri" w:eastAsia="Aptos" w:hAnsi="Calibri" w:cs="Calibri"/>
          <w:b/>
          <w:bCs/>
          <w:sz w:val="28"/>
          <w:szCs w:val="28"/>
        </w:rPr>
      </w:pPr>
      <w:r w:rsidRPr="006D58F9">
        <w:rPr>
          <w:rFonts w:ascii="Calibri" w:eastAsia="Aptos" w:hAnsi="Calibri" w:cs="Calibri"/>
          <w:b/>
          <w:bCs/>
          <w:sz w:val="28"/>
          <w:szCs w:val="28"/>
        </w:rPr>
        <w:t>Selected Publications (CUD-Affiliated)</w:t>
      </w:r>
    </w:p>
    <w:p w14:paraId="58387107" w14:textId="77777777" w:rsidR="006D58F9" w:rsidRPr="006D58F9" w:rsidRDefault="006D58F9" w:rsidP="006D58F9">
      <w:pPr>
        <w:spacing w:line="256" w:lineRule="auto"/>
        <w:jc w:val="both"/>
        <w:rPr>
          <w:rFonts w:ascii="Calibri" w:eastAsia="Aptos" w:hAnsi="Calibri" w:cs="Calibri"/>
        </w:rPr>
      </w:pPr>
      <w:r w:rsidRPr="006D58F9">
        <w:rPr>
          <w:rFonts w:ascii="Calibri" w:eastAsia="Aptos" w:hAnsi="Calibri" w:cs="Calibri"/>
        </w:rPr>
        <w:t xml:space="preserve">1. Boukhatem, M. Hayek, Y. </w:t>
      </w:r>
      <w:proofErr w:type="spellStart"/>
      <w:r w:rsidRPr="006D58F9">
        <w:rPr>
          <w:rFonts w:ascii="Calibri" w:eastAsia="Aptos" w:hAnsi="Calibri" w:cs="Calibri"/>
        </w:rPr>
        <w:t>Boutouam</w:t>
      </w:r>
      <w:proofErr w:type="spellEnd"/>
      <w:r w:rsidRPr="006D58F9">
        <w:rPr>
          <w:rFonts w:ascii="Calibri" w:eastAsia="Aptos" w:hAnsi="Calibri" w:cs="Calibri"/>
        </w:rPr>
        <w:t xml:space="preserve">, K. </w:t>
      </w:r>
      <w:proofErr w:type="spellStart"/>
      <w:r w:rsidRPr="006D58F9">
        <w:rPr>
          <w:rFonts w:ascii="Calibri" w:eastAsia="Aptos" w:hAnsi="Calibri" w:cs="Calibri"/>
        </w:rPr>
        <w:t>Bouarab</w:t>
      </w:r>
      <w:proofErr w:type="spellEnd"/>
      <w:r w:rsidRPr="006D58F9">
        <w:rPr>
          <w:rFonts w:ascii="Calibri" w:eastAsia="Aptos" w:hAnsi="Calibri" w:cs="Calibri"/>
        </w:rPr>
        <w:t xml:space="preserve">, </w:t>
      </w:r>
      <w:r w:rsidRPr="006D58F9">
        <w:rPr>
          <w:rFonts w:ascii="Calibri" w:eastAsia="Aptos" w:hAnsi="Calibri" w:cs="Calibri"/>
          <w:b/>
          <w:bCs/>
        </w:rPr>
        <w:t>A. Yahia</w:t>
      </w:r>
      <w:r w:rsidRPr="006D58F9">
        <w:rPr>
          <w:rFonts w:ascii="Calibri" w:eastAsia="Aptos" w:hAnsi="Calibri" w:cs="Calibri"/>
        </w:rPr>
        <w:t xml:space="preserve"> (2026) Ion-Dependent Rheological and Hydration </w:t>
      </w:r>
      <w:proofErr w:type="spellStart"/>
      <w:r w:rsidRPr="006D58F9">
        <w:rPr>
          <w:rFonts w:ascii="Calibri" w:eastAsia="Aptos" w:hAnsi="Calibri" w:cs="Calibri"/>
        </w:rPr>
        <w:t>Behavior</w:t>
      </w:r>
      <w:proofErr w:type="spellEnd"/>
      <w:r w:rsidRPr="006D58F9">
        <w:rPr>
          <w:rFonts w:ascii="Calibri" w:eastAsia="Aptos" w:hAnsi="Calibri" w:cs="Calibri"/>
        </w:rPr>
        <w:t xml:space="preserve"> of (κ)-Carrageenan Biopolymer in Cement Suspensions. Journal Advances in Cement Research. (Accepted for publication).</w:t>
      </w:r>
    </w:p>
    <w:p w14:paraId="0855104F" w14:textId="77777777" w:rsidR="006D58F9" w:rsidRPr="006D58F9" w:rsidRDefault="006D58F9" w:rsidP="006D58F9">
      <w:pPr>
        <w:spacing w:line="256" w:lineRule="auto"/>
        <w:jc w:val="both"/>
        <w:rPr>
          <w:rFonts w:ascii="Calibri" w:eastAsia="Aptos" w:hAnsi="Calibri" w:cs="Calibri"/>
        </w:rPr>
      </w:pPr>
      <w:r w:rsidRPr="006D58F9">
        <w:rPr>
          <w:rFonts w:ascii="Calibri" w:eastAsia="Aptos" w:hAnsi="Calibri" w:cs="Calibri"/>
        </w:rPr>
        <w:t xml:space="preserve">2. JV González-Aviña, M </w:t>
      </w:r>
      <w:proofErr w:type="spellStart"/>
      <w:r w:rsidRPr="006D58F9">
        <w:rPr>
          <w:rFonts w:ascii="Calibri" w:eastAsia="Aptos" w:hAnsi="Calibri" w:cs="Calibri"/>
        </w:rPr>
        <w:t>Hosseinpoor</w:t>
      </w:r>
      <w:proofErr w:type="spellEnd"/>
      <w:r w:rsidRPr="006D58F9">
        <w:rPr>
          <w:rFonts w:ascii="Calibri" w:eastAsia="Aptos" w:hAnsi="Calibri" w:cs="Calibri"/>
        </w:rPr>
        <w:t xml:space="preserve">, </w:t>
      </w:r>
      <w:r w:rsidRPr="006D58F9">
        <w:rPr>
          <w:rFonts w:ascii="Calibri" w:eastAsia="Aptos" w:hAnsi="Calibri" w:cs="Calibri"/>
          <w:b/>
          <w:bCs/>
        </w:rPr>
        <w:t>A Yahia</w:t>
      </w:r>
      <w:r w:rsidRPr="006D58F9">
        <w:rPr>
          <w:rFonts w:ascii="Calibri" w:eastAsia="Aptos" w:hAnsi="Calibri" w:cs="Calibri"/>
        </w:rPr>
        <w:t xml:space="preserve">, M </w:t>
      </w:r>
      <w:proofErr w:type="spellStart"/>
      <w:r w:rsidRPr="006D58F9">
        <w:rPr>
          <w:rFonts w:ascii="Calibri" w:eastAsia="Aptos" w:hAnsi="Calibri" w:cs="Calibri"/>
        </w:rPr>
        <w:t>Kohandelnia</w:t>
      </w:r>
      <w:proofErr w:type="spellEnd"/>
      <w:r w:rsidRPr="006D58F9">
        <w:rPr>
          <w:rFonts w:ascii="Calibri" w:eastAsia="Aptos" w:hAnsi="Calibri" w:cs="Calibri"/>
        </w:rPr>
        <w:t>, A Durán-Herrera, (2025) Anionic biopolymers to enhance concrete rheological properties for 3D printing applications, Journal of Building Engineering 114, 114493, https://doi.org/10.1016/j.jobe.2025.114493.</w:t>
      </w:r>
    </w:p>
    <w:p w14:paraId="425F565B" w14:textId="77777777" w:rsidR="006D58F9" w:rsidRPr="006D58F9" w:rsidRDefault="006D58F9" w:rsidP="006D58F9">
      <w:pPr>
        <w:spacing w:line="256" w:lineRule="auto"/>
        <w:jc w:val="both"/>
        <w:rPr>
          <w:rFonts w:ascii="Calibri" w:eastAsia="Aptos" w:hAnsi="Calibri" w:cs="Calibri"/>
        </w:rPr>
      </w:pPr>
      <w:r w:rsidRPr="006D58F9">
        <w:rPr>
          <w:rFonts w:ascii="Calibri" w:eastAsia="Aptos" w:hAnsi="Calibri" w:cs="Calibri"/>
        </w:rPr>
        <w:t xml:space="preserve">3. BS </w:t>
      </w:r>
      <w:proofErr w:type="spellStart"/>
      <w:r w:rsidRPr="006D58F9">
        <w:rPr>
          <w:rFonts w:ascii="Calibri" w:eastAsia="Aptos" w:hAnsi="Calibri" w:cs="Calibri"/>
        </w:rPr>
        <w:t>Aouichat</w:t>
      </w:r>
      <w:proofErr w:type="spellEnd"/>
      <w:r w:rsidRPr="006D58F9">
        <w:rPr>
          <w:rFonts w:ascii="Calibri" w:eastAsia="Aptos" w:hAnsi="Calibri" w:cs="Calibri"/>
        </w:rPr>
        <w:t xml:space="preserve">, M </w:t>
      </w:r>
      <w:proofErr w:type="spellStart"/>
      <w:r w:rsidRPr="006D58F9">
        <w:rPr>
          <w:rFonts w:ascii="Calibri" w:eastAsia="Aptos" w:hAnsi="Calibri" w:cs="Calibri"/>
        </w:rPr>
        <w:t>Hosseinpoor</w:t>
      </w:r>
      <w:proofErr w:type="spellEnd"/>
      <w:r w:rsidRPr="006D58F9">
        <w:rPr>
          <w:rFonts w:ascii="Calibri" w:eastAsia="Aptos" w:hAnsi="Calibri" w:cs="Calibri"/>
        </w:rPr>
        <w:t xml:space="preserve">, </w:t>
      </w:r>
      <w:r w:rsidRPr="006D58F9">
        <w:rPr>
          <w:rFonts w:ascii="Calibri" w:eastAsia="Aptos" w:hAnsi="Calibri" w:cs="Calibri"/>
          <w:b/>
          <w:bCs/>
        </w:rPr>
        <w:t>A Yahia</w:t>
      </w:r>
      <w:r w:rsidRPr="006D58F9">
        <w:rPr>
          <w:rFonts w:ascii="Calibri" w:eastAsia="Aptos" w:hAnsi="Calibri" w:cs="Calibri"/>
        </w:rPr>
        <w:t xml:space="preserve">, M Dupuis, (2025) Dispersion of cellulose nanocrystals and cellulose nanofibers in aqueous suspensions: synergistic effect of concrete </w:t>
      </w:r>
      <w:r w:rsidRPr="006D58F9">
        <w:rPr>
          <w:rFonts w:ascii="Calibri" w:eastAsia="Aptos" w:hAnsi="Calibri" w:cs="Calibri"/>
        </w:rPr>
        <w:lastRenderedPageBreak/>
        <w:t>superplasticizers, Materials and Structures 58 (9), pp. 1-19, https://doi.org/10.1617/s11527-025-02811-w.</w:t>
      </w:r>
    </w:p>
    <w:p w14:paraId="5E80A89D" w14:textId="77777777" w:rsidR="006D58F9" w:rsidRPr="006D58F9" w:rsidRDefault="006D58F9" w:rsidP="006D58F9">
      <w:pPr>
        <w:spacing w:line="256" w:lineRule="auto"/>
        <w:jc w:val="both"/>
        <w:rPr>
          <w:rFonts w:ascii="Calibri" w:eastAsia="Aptos" w:hAnsi="Calibri" w:cs="Calibri"/>
        </w:rPr>
      </w:pPr>
      <w:r w:rsidRPr="006D58F9">
        <w:rPr>
          <w:rFonts w:ascii="Calibri" w:eastAsia="Aptos" w:hAnsi="Calibri" w:cs="Calibri"/>
        </w:rPr>
        <w:t xml:space="preserve">4. I </w:t>
      </w:r>
      <w:proofErr w:type="spellStart"/>
      <w:r w:rsidRPr="006D58F9">
        <w:rPr>
          <w:rFonts w:ascii="Calibri" w:eastAsia="Aptos" w:hAnsi="Calibri" w:cs="Calibri"/>
        </w:rPr>
        <w:t>Harbouz</w:t>
      </w:r>
      <w:proofErr w:type="spellEnd"/>
      <w:r w:rsidRPr="006D58F9">
        <w:rPr>
          <w:rFonts w:ascii="Calibri" w:eastAsia="Aptos" w:hAnsi="Calibri" w:cs="Calibri"/>
        </w:rPr>
        <w:t xml:space="preserve">, </w:t>
      </w:r>
      <w:r w:rsidRPr="006D58F9">
        <w:rPr>
          <w:rFonts w:ascii="Calibri" w:eastAsia="Aptos" w:hAnsi="Calibri" w:cs="Calibri"/>
          <w:b/>
          <w:bCs/>
        </w:rPr>
        <w:t>A Yahia</w:t>
      </w:r>
      <w:r w:rsidRPr="006D58F9">
        <w:rPr>
          <w:rFonts w:ascii="Calibri" w:eastAsia="Aptos" w:hAnsi="Calibri" w:cs="Calibri"/>
        </w:rPr>
        <w:t xml:space="preserve">, E </w:t>
      </w:r>
      <w:proofErr w:type="spellStart"/>
      <w:r w:rsidRPr="006D58F9">
        <w:rPr>
          <w:rFonts w:ascii="Calibri" w:eastAsia="Aptos" w:hAnsi="Calibri" w:cs="Calibri"/>
        </w:rPr>
        <w:t>Roziere</w:t>
      </w:r>
      <w:proofErr w:type="spellEnd"/>
      <w:r w:rsidRPr="006D58F9">
        <w:rPr>
          <w:rFonts w:ascii="Calibri" w:eastAsia="Aptos" w:hAnsi="Calibri" w:cs="Calibri"/>
        </w:rPr>
        <w:t>, A Loukili, (2025) Squeeze test: A toolkit for assessing the printability of stiff cement-based materials, Construction and Building Materials 491, 142521, https://doi.org/10.1016/j.conbuildmat.2025.142521.</w:t>
      </w:r>
    </w:p>
    <w:p w14:paraId="08D17AC9" w14:textId="77777777" w:rsidR="006D58F9" w:rsidRPr="006D58F9" w:rsidRDefault="006D58F9" w:rsidP="006D58F9">
      <w:pPr>
        <w:spacing w:line="256" w:lineRule="auto"/>
        <w:jc w:val="both"/>
        <w:rPr>
          <w:rFonts w:ascii="Calibri" w:eastAsia="Aptos" w:hAnsi="Calibri" w:cs="Calibri"/>
        </w:rPr>
      </w:pPr>
      <w:r w:rsidRPr="006D58F9">
        <w:rPr>
          <w:rFonts w:ascii="Calibri" w:eastAsia="Aptos" w:hAnsi="Calibri" w:cs="Calibri"/>
        </w:rPr>
        <w:t xml:space="preserve">5. M Hayek, Y El </w:t>
      </w:r>
      <w:proofErr w:type="spellStart"/>
      <w:r w:rsidRPr="006D58F9">
        <w:rPr>
          <w:rFonts w:ascii="Calibri" w:eastAsia="Aptos" w:hAnsi="Calibri" w:cs="Calibri"/>
        </w:rPr>
        <w:t>Bitouri</w:t>
      </w:r>
      <w:proofErr w:type="spellEnd"/>
      <w:r w:rsidRPr="006D58F9">
        <w:rPr>
          <w:rFonts w:ascii="Calibri" w:eastAsia="Aptos" w:hAnsi="Calibri" w:cs="Calibri"/>
        </w:rPr>
        <w:t xml:space="preserve">, K Bouarab, </w:t>
      </w:r>
      <w:r w:rsidRPr="006D58F9">
        <w:rPr>
          <w:rFonts w:ascii="Calibri" w:eastAsia="Aptos" w:hAnsi="Calibri" w:cs="Calibri"/>
          <w:b/>
          <w:bCs/>
        </w:rPr>
        <w:t>A Yahia</w:t>
      </w:r>
      <w:r w:rsidRPr="006D58F9">
        <w:rPr>
          <w:rFonts w:ascii="Calibri" w:eastAsia="Aptos" w:hAnsi="Calibri" w:cs="Calibri"/>
        </w:rPr>
        <w:t>, (2025) Structural Build-Up of Cement Pastes: A Comprehensive Overview and Key Research Directions, Construction Materials 5, 31, https://doi.org/10.3390/constrmater5020031.</w:t>
      </w:r>
    </w:p>
    <w:p w14:paraId="67602C23" w14:textId="77777777" w:rsidR="006D58F9" w:rsidRPr="006D58F9" w:rsidRDefault="006D58F9" w:rsidP="006D58F9">
      <w:pPr>
        <w:spacing w:line="256" w:lineRule="auto"/>
        <w:jc w:val="both"/>
        <w:rPr>
          <w:rFonts w:ascii="Calibri" w:eastAsia="Aptos" w:hAnsi="Calibri" w:cs="Calibri"/>
        </w:rPr>
      </w:pPr>
      <w:r w:rsidRPr="006D58F9">
        <w:rPr>
          <w:rFonts w:ascii="Calibri" w:eastAsia="Aptos" w:hAnsi="Calibri" w:cs="Calibri"/>
        </w:rPr>
        <w:t xml:space="preserve">6. JV González-Aviña, M </w:t>
      </w:r>
      <w:proofErr w:type="spellStart"/>
      <w:r w:rsidRPr="006D58F9">
        <w:rPr>
          <w:rFonts w:ascii="Calibri" w:eastAsia="Aptos" w:hAnsi="Calibri" w:cs="Calibri"/>
        </w:rPr>
        <w:t>Hosseinpoor</w:t>
      </w:r>
      <w:proofErr w:type="spellEnd"/>
      <w:r w:rsidRPr="006D58F9">
        <w:rPr>
          <w:rFonts w:ascii="Calibri" w:eastAsia="Aptos" w:hAnsi="Calibri" w:cs="Calibri"/>
        </w:rPr>
        <w:t xml:space="preserve">, </w:t>
      </w:r>
      <w:r w:rsidRPr="006D58F9">
        <w:rPr>
          <w:rFonts w:ascii="Calibri" w:eastAsia="Aptos" w:hAnsi="Calibri" w:cs="Calibri"/>
          <w:b/>
          <w:bCs/>
        </w:rPr>
        <w:t>A Yahia</w:t>
      </w:r>
      <w:r w:rsidRPr="006D58F9">
        <w:rPr>
          <w:rFonts w:ascii="Calibri" w:eastAsia="Aptos" w:hAnsi="Calibri" w:cs="Calibri"/>
        </w:rPr>
        <w:t>, A Durán-Herrera, (2024) Synergistic effects of superplasticizers and biopolymer-based viscosity-modifying admixtures on the rheology of cement-based systems, Cement and Concrete Composites 154, 105807, https://doi.org/10.1016/j.cemconcomp.2024.105807</w:t>
      </w:r>
    </w:p>
    <w:p w14:paraId="507BACC9" w14:textId="77777777" w:rsidR="00A83CAE" w:rsidRPr="006D58F9" w:rsidRDefault="00A83CAE" w:rsidP="0009425D">
      <w:pPr>
        <w:spacing w:line="256" w:lineRule="auto"/>
        <w:jc w:val="both"/>
        <w:rPr>
          <w:rFonts w:ascii="Calibri" w:eastAsia="Aptos" w:hAnsi="Calibri" w:cs="Calibri"/>
          <w:sz w:val="28"/>
          <w:szCs w:val="28"/>
          <w:lang w:val="en-US"/>
        </w:rPr>
      </w:pPr>
    </w:p>
    <w:p w14:paraId="0E4A9E62" w14:textId="77777777" w:rsidR="0009425D" w:rsidRPr="0009425D" w:rsidRDefault="0009425D" w:rsidP="0009425D">
      <w:pPr>
        <w:spacing w:line="256" w:lineRule="auto"/>
        <w:jc w:val="both"/>
        <w:rPr>
          <w:rFonts w:ascii="Calibri" w:eastAsia="Aptos" w:hAnsi="Calibri" w:cs="Calibri"/>
          <w:b/>
          <w:bCs/>
          <w:sz w:val="28"/>
          <w:szCs w:val="28"/>
          <w:lang w:val="en-US"/>
        </w:rPr>
      </w:pPr>
      <w:r w:rsidRPr="0009425D">
        <w:rPr>
          <w:rFonts w:ascii="Calibri" w:eastAsia="Aptos" w:hAnsi="Calibri" w:cs="Calibri"/>
          <w:b/>
          <w:bCs/>
          <w:sz w:val="28"/>
          <w:szCs w:val="28"/>
          <w:lang w:val="en-US"/>
        </w:rPr>
        <w:t>Strategic Positioning</w:t>
      </w:r>
    </w:p>
    <w:p w14:paraId="5FAADE21"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Together, these two research groups provide a clear, coherent, and future-oriented structure. One addresses the urgent need for climate adaptation, resilient urban systems, and integrated responses to heat, flooding, and water stress. The other advances the digital, material, and constructive innovations required to decarbonize the built environment and support the transition towards sustainable and Net Zero buildings.</w:t>
      </w:r>
    </w:p>
    <w:p w14:paraId="39189199"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Their complementarity gives the program a strong and distinctive identity, firmly positioned at the intersection of climate resilience, energy transition, environmental performance, and advanced construction technologies.</w:t>
      </w:r>
    </w:p>
    <w:p w14:paraId="7E966CDA" w14:textId="77777777" w:rsidR="0009425D" w:rsidRPr="0009425D" w:rsidRDefault="0009425D" w:rsidP="0009425D">
      <w:pPr>
        <w:spacing w:line="256" w:lineRule="auto"/>
        <w:jc w:val="both"/>
        <w:rPr>
          <w:rFonts w:ascii="Calibri" w:eastAsia="Aptos" w:hAnsi="Calibri" w:cs="Calibri"/>
          <w:lang w:val="en-US"/>
        </w:rPr>
      </w:pPr>
      <w:r w:rsidRPr="0009425D">
        <w:rPr>
          <w:rFonts w:ascii="Aptos" w:eastAsia="Aptos" w:hAnsi="Aptos" w:cs="Times New Roman"/>
          <w:sz w:val="22"/>
          <w:szCs w:val="22"/>
          <w:lang w:val="en-US"/>
        </w:rPr>
        <w:t xml:space="preserve">The table below </w:t>
      </w:r>
      <w:proofErr w:type="spellStart"/>
      <w:r w:rsidRPr="0009425D">
        <w:rPr>
          <w:rFonts w:ascii="Aptos" w:eastAsia="Aptos" w:hAnsi="Aptos" w:cs="Times New Roman"/>
          <w:sz w:val="22"/>
          <w:szCs w:val="22"/>
          <w:lang w:val="en-US"/>
        </w:rPr>
        <w:t>summarises</w:t>
      </w:r>
      <w:proofErr w:type="spellEnd"/>
      <w:r w:rsidRPr="0009425D">
        <w:rPr>
          <w:rFonts w:ascii="Aptos" w:eastAsia="Aptos" w:hAnsi="Aptos" w:cs="Times New Roman"/>
          <w:sz w:val="22"/>
          <w:szCs w:val="22"/>
          <w:lang w:val="en-US"/>
        </w:rPr>
        <w:t xml:space="preserve"> the alignment of the proposed research projects with the United Nations Sustainable Development Goals (SDGs). Main SDGs correspond to the core scientific and strategic objectives of each project, while Secondary SDGs reflect additional potential contributions depending on the scope of implementation.</w:t>
      </w:r>
    </w:p>
    <w:tbl>
      <w:tblPr>
        <w:tblW w:w="0" w:type="auto"/>
        <w:tblCellSpacing w:w="15" w:type="dxa"/>
        <w:tblLook w:val="04A0" w:firstRow="1" w:lastRow="0" w:firstColumn="1" w:lastColumn="0" w:noHBand="0" w:noVBand="1"/>
      </w:tblPr>
      <w:tblGrid>
        <w:gridCol w:w="1176"/>
        <w:gridCol w:w="30"/>
        <w:gridCol w:w="2467"/>
        <w:gridCol w:w="1973"/>
        <w:gridCol w:w="3380"/>
      </w:tblGrid>
      <w:tr w:rsidR="0009425D" w:rsidRPr="0009425D" w14:paraId="7AC76187" w14:textId="77777777">
        <w:trPr>
          <w:tblHeader/>
          <w:tblCellSpacing w:w="15" w:type="dxa"/>
        </w:trPr>
        <w:tc>
          <w:tcPr>
            <w:tcW w:w="1161" w:type="dxa"/>
            <w:gridSpan w:val="2"/>
            <w:tcMar>
              <w:top w:w="15" w:type="dxa"/>
              <w:left w:w="15" w:type="dxa"/>
              <w:bottom w:w="15" w:type="dxa"/>
              <w:right w:w="15" w:type="dxa"/>
            </w:tcMar>
            <w:vAlign w:val="center"/>
            <w:hideMark/>
          </w:tcPr>
          <w:p w14:paraId="6BDAD1F7" w14:textId="77777777" w:rsidR="0009425D" w:rsidRPr="0009425D" w:rsidRDefault="0009425D" w:rsidP="0009425D">
            <w:pPr>
              <w:spacing w:line="256" w:lineRule="auto"/>
              <w:jc w:val="both"/>
              <w:rPr>
                <w:rFonts w:ascii="Calibri" w:eastAsia="Aptos" w:hAnsi="Calibri" w:cs="Calibri"/>
                <w:b/>
                <w:bCs/>
                <w:sz w:val="20"/>
                <w:szCs w:val="20"/>
                <w:lang w:val="fr-FR"/>
              </w:rPr>
            </w:pPr>
            <w:r w:rsidRPr="0009425D">
              <w:rPr>
                <w:rFonts w:ascii="Calibri" w:eastAsia="Aptos" w:hAnsi="Calibri" w:cs="Calibri"/>
                <w:b/>
                <w:bCs/>
                <w:sz w:val="20"/>
                <w:szCs w:val="20"/>
                <w:lang w:val="fr-FR"/>
              </w:rPr>
              <w:t>Project</w:t>
            </w:r>
          </w:p>
        </w:tc>
        <w:tc>
          <w:tcPr>
            <w:tcW w:w="2450" w:type="dxa"/>
            <w:tcMar>
              <w:top w:w="15" w:type="dxa"/>
              <w:left w:w="15" w:type="dxa"/>
              <w:bottom w:w="15" w:type="dxa"/>
              <w:right w:w="15" w:type="dxa"/>
            </w:tcMar>
            <w:vAlign w:val="center"/>
            <w:hideMark/>
          </w:tcPr>
          <w:p w14:paraId="44B5EACA" w14:textId="77777777" w:rsidR="0009425D" w:rsidRPr="0009425D" w:rsidRDefault="0009425D" w:rsidP="0009425D">
            <w:pPr>
              <w:spacing w:line="256" w:lineRule="auto"/>
              <w:jc w:val="both"/>
              <w:rPr>
                <w:rFonts w:ascii="Calibri" w:eastAsia="Aptos" w:hAnsi="Calibri" w:cs="Calibri"/>
                <w:b/>
                <w:bCs/>
                <w:sz w:val="20"/>
                <w:szCs w:val="20"/>
                <w:lang w:val="fr-FR"/>
              </w:rPr>
            </w:pPr>
            <w:r w:rsidRPr="0009425D">
              <w:rPr>
                <w:rFonts w:ascii="Calibri" w:eastAsia="Aptos" w:hAnsi="Calibri" w:cs="Calibri"/>
                <w:b/>
                <w:bCs/>
                <w:sz w:val="20"/>
                <w:szCs w:val="20"/>
                <w:lang w:val="fr-FR"/>
              </w:rPr>
              <w:t xml:space="preserve">Main </w:t>
            </w:r>
            <w:proofErr w:type="spellStart"/>
            <w:r w:rsidRPr="0009425D">
              <w:rPr>
                <w:rFonts w:ascii="Calibri" w:eastAsia="Aptos" w:hAnsi="Calibri" w:cs="Calibri"/>
                <w:b/>
                <w:bCs/>
                <w:sz w:val="20"/>
                <w:szCs w:val="20"/>
                <w:lang w:val="fr-FR"/>
              </w:rPr>
              <w:t>SDGs</w:t>
            </w:r>
            <w:proofErr w:type="spellEnd"/>
          </w:p>
        </w:tc>
        <w:tc>
          <w:tcPr>
            <w:tcW w:w="1954" w:type="dxa"/>
            <w:tcMar>
              <w:top w:w="15" w:type="dxa"/>
              <w:left w:w="15" w:type="dxa"/>
              <w:bottom w:w="15" w:type="dxa"/>
              <w:right w:w="15" w:type="dxa"/>
            </w:tcMar>
            <w:vAlign w:val="center"/>
            <w:hideMark/>
          </w:tcPr>
          <w:p w14:paraId="11FD1D2E" w14:textId="77777777" w:rsidR="0009425D" w:rsidRPr="0009425D" w:rsidRDefault="0009425D" w:rsidP="0009425D">
            <w:pPr>
              <w:spacing w:line="256" w:lineRule="auto"/>
              <w:jc w:val="both"/>
              <w:rPr>
                <w:rFonts w:ascii="Calibri" w:eastAsia="Aptos" w:hAnsi="Calibri" w:cs="Calibri"/>
                <w:b/>
                <w:bCs/>
                <w:sz w:val="20"/>
                <w:szCs w:val="20"/>
                <w:lang w:val="fr-FR"/>
              </w:rPr>
            </w:pPr>
            <w:proofErr w:type="spellStart"/>
            <w:r w:rsidRPr="0009425D">
              <w:rPr>
                <w:rFonts w:ascii="Calibri" w:eastAsia="Aptos" w:hAnsi="Calibri" w:cs="Calibri"/>
                <w:b/>
                <w:bCs/>
                <w:sz w:val="20"/>
                <w:szCs w:val="20"/>
                <w:lang w:val="fr-FR"/>
              </w:rPr>
              <w:t>Secondary</w:t>
            </w:r>
            <w:proofErr w:type="spellEnd"/>
            <w:r w:rsidRPr="0009425D">
              <w:rPr>
                <w:rFonts w:ascii="Calibri" w:eastAsia="Aptos" w:hAnsi="Calibri" w:cs="Calibri"/>
                <w:b/>
                <w:bCs/>
                <w:sz w:val="20"/>
                <w:szCs w:val="20"/>
                <w:lang w:val="fr-FR"/>
              </w:rPr>
              <w:t xml:space="preserve"> </w:t>
            </w:r>
            <w:proofErr w:type="spellStart"/>
            <w:r w:rsidRPr="0009425D">
              <w:rPr>
                <w:rFonts w:ascii="Calibri" w:eastAsia="Aptos" w:hAnsi="Calibri" w:cs="Calibri"/>
                <w:b/>
                <w:bCs/>
                <w:sz w:val="20"/>
                <w:szCs w:val="20"/>
                <w:lang w:val="fr-FR"/>
              </w:rPr>
              <w:t>SDGs</w:t>
            </w:r>
            <w:proofErr w:type="spellEnd"/>
          </w:p>
        </w:tc>
        <w:tc>
          <w:tcPr>
            <w:tcW w:w="3357" w:type="dxa"/>
            <w:tcMar>
              <w:top w:w="15" w:type="dxa"/>
              <w:left w:w="15" w:type="dxa"/>
              <w:bottom w:w="15" w:type="dxa"/>
              <w:right w:w="15" w:type="dxa"/>
            </w:tcMar>
            <w:vAlign w:val="center"/>
            <w:hideMark/>
          </w:tcPr>
          <w:p w14:paraId="3655205D" w14:textId="77777777" w:rsidR="0009425D" w:rsidRPr="0009425D" w:rsidRDefault="0009425D" w:rsidP="0009425D">
            <w:pPr>
              <w:spacing w:line="256" w:lineRule="auto"/>
              <w:jc w:val="both"/>
              <w:rPr>
                <w:rFonts w:ascii="Calibri" w:eastAsia="Aptos" w:hAnsi="Calibri" w:cs="Calibri"/>
                <w:b/>
                <w:bCs/>
                <w:sz w:val="20"/>
                <w:szCs w:val="20"/>
                <w:lang w:val="fr-FR"/>
              </w:rPr>
            </w:pPr>
            <w:r w:rsidRPr="0009425D">
              <w:rPr>
                <w:rFonts w:ascii="Calibri" w:eastAsia="Aptos" w:hAnsi="Calibri" w:cs="Calibri"/>
                <w:b/>
                <w:bCs/>
                <w:sz w:val="20"/>
                <w:szCs w:val="20"/>
                <w:lang w:val="fr-FR"/>
              </w:rPr>
              <w:t>Justification</w:t>
            </w:r>
          </w:p>
        </w:tc>
      </w:tr>
      <w:tr w:rsidR="0009425D" w:rsidRPr="0009425D" w14:paraId="2E2BC032" w14:textId="77777777">
        <w:trPr>
          <w:tblCellSpacing w:w="15" w:type="dxa"/>
        </w:trPr>
        <w:tc>
          <w:tcPr>
            <w:tcW w:w="0" w:type="auto"/>
            <w:tcMar>
              <w:top w:w="15" w:type="dxa"/>
              <w:left w:w="15" w:type="dxa"/>
              <w:bottom w:w="15" w:type="dxa"/>
              <w:right w:w="15" w:type="dxa"/>
            </w:tcMar>
            <w:vAlign w:val="center"/>
            <w:hideMark/>
          </w:tcPr>
          <w:p w14:paraId="4DF57EC3"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b/>
                <w:bCs/>
                <w:sz w:val="20"/>
                <w:szCs w:val="20"/>
                <w:lang w:val="en-US"/>
              </w:rPr>
              <w:t>Integrated Bioclimatic Design for Flood-Resilient and Heat-Adapted Communities</w:t>
            </w:r>
          </w:p>
        </w:tc>
        <w:tc>
          <w:tcPr>
            <w:tcW w:w="2480" w:type="dxa"/>
            <w:gridSpan w:val="2"/>
            <w:tcMar>
              <w:top w:w="15" w:type="dxa"/>
              <w:left w:w="15" w:type="dxa"/>
              <w:bottom w:w="15" w:type="dxa"/>
              <w:right w:w="15" w:type="dxa"/>
            </w:tcMar>
            <w:vAlign w:val="center"/>
            <w:hideMark/>
          </w:tcPr>
          <w:p w14:paraId="5E0CEF75"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b/>
                <w:bCs/>
                <w:sz w:val="20"/>
                <w:szCs w:val="20"/>
                <w:lang w:val="en-US"/>
              </w:rPr>
              <w:t>SDG 11 – Sustainable Cities and Communities</w:t>
            </w:r>
            <w:r w:rsidRPr="0009425D">
              <w:rPr>
                <w:rFonts w:ascii="Calibri" w:eastAsia="Aptos" w:hAnsi="Calibri" w:cs="Calibri"/>
                <w:sz w:val="20"/>
                <w:szCs w:val="20"/>
                <w:lang w:val="en-US"/>
              </w:rPr>
              <w:t>;</w:t>
            </w:r>
          </w:p>
          <w:p w14:paraId="314B3592"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sz w:val="20"/>
                <w:szCs w:val="20"/>
                <w:lang w:val="en-US"/>
              </w:rPr>
              <w:t xml:space="preserve"> </w:t>
            </w:r>
            <w:r w:rsidRPr="0009425D">
              <w:rPr>
                <w:rFonts w:ascii="Calibri" w:eastAsia="Aptos" w:hAnsi="Calibri" w:cs="Calibri"/>
                <w:b/>
                <w:bCs/>
                <w:sz w:val="20"/>
                <w:szCs w:val="20"/>
                <w:lang w:val="en-US"/>
              </w:rPr>
              <w:t>SDG 13 – Climate Action</w:t>
            </w:r>
            <w:r w:rsidRPr="0009425D">
              <w:rPr>
                <w:rFonts w:ascii="Calibri" w:eastAsia="Aptos" w:hAnsi="Calibri" w:cs="Calibri"/>
                <w:sz w:val="20"/>
                <w:szCs w:val="20"/>
                <w:lang w:val="en-US"/>
              </w:rPr>
              <w:t>;</w:t>
            </w:r>
          </w:p>
          <w:p w14:paraId="2D52E241"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sz w:val="20"/>
                <w:szCs w:val="20"/>
                <w:lang w:val="en-US"/>
              </w:rPr>
              <w:t xml:space="preserve"> </w:t>
            </w:r>
            <w:r w:rsidRPr="0009425D">
              <w:rPr>
                <w:rFonts w:ascii="Calibri" w:eastAsia="Aptos" w:hAnsi="Calibri" w:cs="Calibri"/>
                <w:b/>
                <w:bCs/>
                <w:sz w:val="20"/>
                <w:szCs w:val="20"/>
                <w:lang w:val="en-US"/>
              </w:rPr>
              <w:t>SDG 6 – Clean Water and Sanitation</w:t>
            </w:r>
          </w:p>
        </w:tc>
        <w:tc>
          <w:tcPr>
            <w:tcW w:w="1954" w:type="dxa"/>
            <w:tcMar>
              <w:top w:w="15" w:type="dxa"/>
              <w:left w:w="15" w:type="dxa"/>
              <w:bottom w:w="15" w:type="dxa"/>
              <w:right w:w="15" w:type="dxa"/>
            </w:tcMar>
            <w:vAlign w:val="center"/>
            <w:hideMark/>
          </w:tcPr>
          <w:p w14:paraId="5FBEA4A3" w14:textId="77777777" w:rsidR="0009425D" w:rsidRPr="0009425D" w:rsidRDefault="0009425D" w:rsidP="0009425D">
            <w:pPr>
              <w:spacing w:line="256" w:lineRule="auto"/>
              <w:jc w:val="both"/>
              <w:rPr>
                <w:rFonts w:ascii="Calibri" w:eastAsia="Aptos" w:hAnsi="Calibri" w:cs="Calibri"/>
                <w:b/>
                <w:bCs/>
                <w:sz w:val="20"/>
                <w:szCs w:val="20"/>
                <w:lang w:val="en-US"/>
              </w:rPr>
            </w:pPr>
            <w:r w:rsidRPr="0009425D">
              <w:rPr>
                <w:rFonts w:ascii="Calibri" w:eastAsia="Aptos" w:hAnsi="Calibri" w:cs="Calibri"/>
                <w:b/>
                <w:bCs/>
                <w:sz w:val="20"/>
                <w:szCs w:val="20"/>
                <w:lang w:val="en-US"/>
              </w:rPr>
              <w:t xml:space="preserve">SDG 3 – Good Health and Well-Being; </w:t>
            </w:r>
          </w:p>
          <w:p w14:paraId="2FBEF6EE"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b/>
                <w:bCs/>
                <w:sz w:val="20"/>
                <w:szCs w:val="20"/>
                <w:lang w:val="en-US"/>
              </w:rPr>
              <w:t>SDG 15 – Life on Land</w:t>
            </w:r>
          </w:p>
        </w:tc>
        <w:tc>
          <w:tcPr>
            <w:tcW w:w="3357" w:type="dxa"/>
            <w:tcMar>
              <w:top w:w="15" w:type="dxa"/>
              <w:left w:w="15" w:type="dxa"/>
              <w:bottom w:w="15" w:type="dxa"/>
              <w:right w:w="15" w:type="dxa"/>
            </w:tcMar>
            <w:vAlign w:val="center"/>
            <w:hideMark/>
          </w:tcPr>
          <w:p w14:paraId="4C13C9A6"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sz w:val="20"/>
                <w:szCs w:val="20"/>
                <w:lang w:val="en-US"/>
              </w:rPr>
              <w:t>The project addresses climate-resilient urban development through passive cooling, flood mitigation, and water-sensitive urban design. It directly supports more sustainable and adaptive communities, improved management of stormwater and local water resources, and stronger responses to climate-related urban risks. It may also contribute to public health through reduced heat stress and to ecosystem quality where nature-based solutions and urban biodiversity are explicitly included.</w:t>
            </w:r>
          </w:p>
        </w:tc>
      </w:tr>
      <w:tr w:rsidR="0009425D" w:rsidRPr="0009425D" w14:paraId="01F8BEF4" w14:textId="77777777">
        <w:trPr>
          <w:tblCellSpacing w:w="15" w:type="dxa"/>
        </w:trPr>
        <w:tc>
          <w:tcPr>
            <w:tcW w:w="0" w:type="auto"/>
            <w:tcMar>
              <w:top w:w="15" w:type="dxa"/>
              <w:left w:w="15" w:type="dxa"/>
              <w:bottom w:w="15" w:type="dxa"/>
              <w:right w:w="15" w:type="dxa"/>
            </w:tcMar>
            <w:vAlign w:val="center"/>
            <w:hideMark/>
          </w:tcPr>
          <w:p w14:paraId="5F78FE4D"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b/>
                <w:bCs/>
                <w:sz w:val="20"/>
                <w:szCs w:val="20"/>
                <w:lang w:val="en-US"/>
              </w:rPr>
              <w:lastRenderedPageBreak/>
              <w:t>AI-Powered Urban Climate Modelling and Risk Assessment</w:t>
            </w:r>
          </w:p>
        </w:tc>
        <w:tc>
          <w:tcPr>
            <w:tcW w:w="2480" w:type="dxa"/>
            <w:gridSpan w:val="2"/>
            <w:tcMar>
              <w:top w:w="15" w:type="dxa"/>
              <w:left w:w="15" w:type="dxa"/>
              <w:bottom w:w="15" w:type="dxa"/>
              <w:right w:w="15" w:type="dxa"/>
            </w:tcMar>
            <w:vAlign w:val="center"/>
            <w:hideMark/>
          </w:tcPr>
          <w:p w14:paraId="3FC0BC65"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b/>
                <w:bCs/>
                <w:sz w:val="20"/>
                <w:szCs w:val="20"/>
                <w:lang w:val="en-US"/>
              </w:rPr>
              <w:t>SDG 9 – Industry, Innovation and Infrastructure</w:t>
            </w:r>
            <w:r w:rsidRPr="0009425D">
              <w:rPr>
                <w:rFonts w:ascii="Calibri" w:eastAsia="Aptos" w:hAnsi="Calibri" w:cs="Calibri"/>
                <w:sz w:val="20"/>
                <w:szCs w:val="20"/>
                <w:lang w:val="en-US"/>
              </w:rPr>
              <w:t xml:space="preserve">; </w:t>
            </w:r>
            <w:r w:rsidRPr="0009425D">
              <w:rPr>
                <w:rFonts w:ascii="Calibri" w:eastAsia="Aptos" w:hAnsi="Calibri" w:cs="Calibri"/>
                <w:b/>
                <w:bCs/>
                <w:sz w:val="20"/>
                <w:szCs w:val="20"/>
                <w:lang w:val="en-US"/>
              </w:rPr>
              <w:t>SDG 11 – Sustainable Cities and Communities</w:t>
            </w:r>
            <w:r w:rsidRPr="0009425D">
              <w:rPr>
                <w:rFonts w:ascii="Calibri" w:eastAsia="Aptos" w:hAnsi="Calibri" w:cs="Calibri"/>
                <w:sz w:val="20"/>
                <w:szCs w:val="20"/>
                <w:lang w:val="en-US"/>
              </w:rPr>
              <w:t xml:space="preserve">; </w:t>
            </w:r>
            <w:r w:rsidRPr="0009425D">
              <w:rPr>
                <w:rFonts w:ascii="Calibri" w:eastAsia="Aptos" w:hAnsi="Calibri" w:cs="Calibri"/>
                <w:b/>
                <w:bCs/>
                <w:sz w:val="20"/>
                <w:szCs w:val="20"/>
                <w:lang w:val="en-US"/>
              </w:rPr>
              <w:t>SDG 13 – Climate Action</w:t>
            </w:r>
          </w:p>
        </w:tc>
        <w:tc>
          <w:tcPr>
            <w:tcW w:w="1954" w:type="dxa"/>
            <w:tcMar>
              <w:top w:w="15" w:type="dxa"/>
              <w:left w:w="15" w:type="dxa"/>
              <w:bottom w:w="15" w:type="dxa"/>
              <w:right w:w="15" w:type="dxa"/>
            </w:tcMar>
            <w:vAlign w:val="center"/>
            <w:hideMark/>
          </w:tcPr>
          <w:p w14:paraId="60084229"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b/>
                <w:bCs/>
                <w:sz w:val="20"/>
                <w:szCs w:val="20"/>
                <w:lang w:val="en-US"/>
              </w:rPr>
              <w:t>SDG 7 – Affordable and Clean Energy</w:t>
            </w:r>
            <w:r w:rsidRPr="0009425D">
              <w:rPr>
                <w:rFonts w:ascii="Calibri" w:eastAsia="Aptos" w:hAnsi="Calibri" w:cs="Calibri"/>
                <w:sz w:val="20"/>
                <w:szCs w:val="20"/>
                <w:lang w:val="en-US"/>
              </w:rPr>
              <w:t xml:space="preserve">; </w:t>
            </w:r>
            <w:r w:rsidRPr="0009425D">
              <w:rPr>
                <w:rFonts w:ascii="Calibri" w:eastAsia="Aptos" w:hAnsi="Calibri" w:cs="Calibri"/>
                <w:b/>
                <w:bCs/>
                <w:sz w:val="20"/>
                <w:szCs w:val="20"/>
                <w:lang w:val="en-US"/>
              </w:rPr>
              <w:t>SDG 3 – Good Health and Well-Being</w:t>
            </w:r>
          </w:p>
        </w:tc>
        <w:tc>
          <w:tcPr>
            <w:tcW w:w="3357" w:type="dxa"/>
            <w:tcMar>
              <w:top w:w="15" w:type="dxa"/>
              <w:left w:w="15" w:type="dxa"/>
              <w:bottom w:w="15" w:type="dxa"/>
              <w:right w:w="15" w:type="dxa"/>
            </w:tcMar>
            <w:vAlign w:val="center"/>
            <w:hideMark/>
          </w:tcPr>
          <w:p w14:paraId="37DF0612"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sz w:val="20"/>
                <w:szCs w:val="20"/>
                <w:lang w:val="en-US"/>
              </w:rPr>
              <w:t>The project relies on advanced digital tools, artificial intelligence, and predictive modelling to support more informed urban planning and climate-risk assessment. It contributes to innovation in infrastructure and urban governance while improving the capacity of cities to anticipate heat stress, flood exposure, and environmental vulnerability. It may also support energy-efficient planning and healthier urban environments when linked to cooling demand reduction and outdoor thermal comfort.</w:t>
            </w:r>
          </w:p>
        </w:tc>
      </w:tr>
      <w:tr w:rsidR="0009425D" w:rsidRPr="0009425D" w14:paraId="273CAA89" w14:textId="77777777">
        <w:trPr>
          <w:tblCellSpacing w:w="15" w:type="dxa"/>
        </w:trPr>
        <w:tc>
          <w:tcPr>
            <w:tcW w:w="0" w:type="auto"/>
            <w:tcMar>
              <w:top w:w="15" w:type="dxa"/>
              <w:left w:w="15" w:type="dxa"/>
              <w:bottom w:w="15" w:type="dxa"/>
              <w:right w:w="15" w:type="dxa"/>
            </w:tcMar>
            <w:vAlign w:val="center"/>
            <w:hideMark/>
          </w:tcPr>
          <w:p w14:paraId="3EC24506"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b/>
                <w:bCs/>
                <w:sz w:val="20"/>
                <w:szCs w:val="20"/>
                <w:lang w:val="en-US"/>
              </w:rPr>
              <w:t>3D Printing for Sustainable and Net Zero Buildings</w:t>
            </w:r>
          </w:p>
        </w:tc>
        <w:tc>
          <w:tcPr>
            <w:tcW w:w="2480" w:type="dxa"/>
            <w:gridSpan w:val="2"/>
            <w:tcMar>
              <w:top w:w="15" w:type="dxa"/>
              <w:left w:w="15" w:type="dxa"/>
              <w:bottom w:w="15" w:type="dxa"/>
              <w:right w:w="15" w:type="dxa"/>
            </w:tcMar>
            <w:vAlign w:val="center"/>
            <w:hideMark/>
          </w:tcPr>
          <w:p w14:paraId="3DDEBB5E"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b/>
                <w:bCs/>
                <w:sz w:val="20"/>
                <w:szCs w:val="20"/>
                <w:lang w:val="en-US"/>
              </w:rPr>
              <w:t>SDG 9 – Industry, Innovation and Infrastructure</w:t>
            </w:r>
            <w:r w:rsidRPr="0009425D">
              <w:rPr>
                <w:rFonts w:ascii="Calibri" w:eastAsia="Aptos" w:hAnsi="Calibri" w:cs="Calibri"/>
                <w:sz w:val="20"/>
                <w:szCs w:val="20"/>
                <w:lang w:val="en-US"/>
              </w:rPr>
              <w:t xml:space="preserve">; </w:t>
            </w:r>
            <w:r w:rsidRPr="0009425D">
              <w:rPr>
                <w:rFonts w:ascii="Calibri" w:eastAsia="Aptos" w:hAnsi="Calibri" w:cs="Calibri"/>
                <w:b/>
                <w:bCs/>
                <w:sz w:val="20"/>
                <w:szCs w:val="20"/>
                <w:lang w:val="en-US"/>
              </w:rPr>
              <w:t>SDG 12 – Responsible Consumption and Production</w:t>
            </w:r>
            <w:r w:rsidRPr="0009425D">
              <w:rPr>
                <w:rFonts w:ascii="Calibri" w:eastAsia="Aptos" w:hAnsi="Calibri" w:cs="Calibri"/>
                <w:sz w:val="20"/>
                <w:szCs w:val="20"/>
                <w:lang w:val="en-US"/>
              </w:rPr>
              <w:t xml:space="preserve">; </w:t>
            </w:r>
            <w:r w:rsidRPr="0009425D">
              <w:rPr>
                <w:rFonts w:ascii="Calibri" w:eastAsia="Aptos" w:hAnsi="Calibri" w:cs="Calibri"/>
                <w:b/>
                <w:bCs/>
                <w:sz w:val="20"/>
                <w:szCs w:val="20"/>
                <w:lang w:val="en-US"/>
              </w:rPr>
              <w:t>SDG 13 – Climate Action</w:t>
            </w:r>
            <w:r w:rsidRPr="0009425D">
              <w:rPr>
                <w:rFonts w:ascii="Calibri" w:eastAsia="Aptos" w:hAnsi="Calibri" w:cs="Calibri"/>
                <w:sz w:val="20"/>
                <w:szCs w:val="20"/>
                <w:lang w:val="en-US"/>
              </w:rPr>
              <w:t xml:space="preserve">; </w:t>
            </w:r>
            <w:r w:rsidRPr="0009425D">
              <w:rPr>
                <w:rFonts w:ascii="Calibri" w:eastAsia="Aptos" w:hAnsi="Calibri" w:cs="Calibri"/>
                <w:b/>
                <w:bCs/>
                <w:sz w:val="20"/>
                <w:szCs w:val="20"/>
                <w:lang w:val="en-US"/>
              </w:rPr>
              <w:t>SDG 11 – Sustainable Cities and Communities</w:t>
            </w:r>
          </w:p>
        </w:tc>
        <w:tc>
          <w:tcPr>
            <w:tcW w:w="1954" w:type="dxa"/>
            <w:tcMar>
              <w:top w:w="15" w:type="dxa"/>
              <w:left w:w="15" w:type="dxa"/>
              <w:bottom w:w="15" w:type="dxa"/>
              <w:right w:w="15" w:type="dxa"/>
            </w:tcMar>
            <w:vAlign w:val="center"/>
            <w:hideMark/>
          </w:tcPr>
          <w:p w14:paraId="24C6DADE"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b/>
                <w:bCs/>
                <w:sz w:val="20"/>
                <w:szCs w:val="20"/>
                <w:lang w:val="en-US"/>
              </w:rPr>
              <w:t>SDG 7 – Affordable and Clean Energy</w:t>
            </w:r>
            <w:r w:rsidRPr="0009425D">
              <w:rPr>
                <w:rFonts w:ascii="Calibri" w:eastAsia="Aptos" w:hAnsi="Calibri" w:cs="Calibri"/>
                <w:sz w:val="20"/>
                <w:szCs w:val="20"/>
                <w:lang w:val="en-US"/>
              </w:rPr>
              <w:t xml:space="preserve">; </w:t>
            </w:r>
            <w:r w:rsidRPr="0009425D">
              <w:rPr>
                <w:rFonts w:ascii="Calibri" w:eastAsia="Aptos" w:hAnsi="Calibri" w:cs="Calibri"/>
                <w:b/>
                <w:bCs/>
                <w:sz w:val="20"/>
                <w:szCs w:val="20"/>
                <w:lang w:val="en-US"/>
              </w:rPr>
              <w:t>SDG 8 – Decent Work and Economic Growth</w:t>
            </w:r>
          </w:p>
        </w:tc>
        <w:tc>
          <w:tcPr>
            <w:tcW w:w="3357" w:type="dxa"/>
            <w:tcMar>
              <w:top w:w="15" w:type="dxa"/>
              <w:left w:w="15" w:type="dxa"/>
              <w:bottom w:w="15" w:type="dxa"/>
              <w:right w:w="15" w:type="dxa"/>
            </w:tcMar>
            <w:vAlign w:val="center"/>
            <w:hideMark/>
          </w:tcPr>
          <w:p w14:paraId="7BC748B1" w14:textId="77777777" w:rsidR="0009425D" w:rsidRPr="0009425D" w:rsidRDefault="0009425D" w:rsidP="0009425D">
            <w:pPr>
              <w:spacing w:line="256" w:lineRule="auto"/>
              <w:jc w:val="both"/>
              <w:rPr>
                <w:rFonts w:ascii="Calibri" w:eastAsia="Aptos" w:hAnsi="Calibri" w:cs="Calibri"/>
                <w:sz w:val="20"/>
                <w:szCs w:val="20"/>
                <w:lang w:val="en-US"/>
              </w:rPr>
            </w:pPr>
            <w:r w:rsidRPr="0009425D">
              <w:rPr>
                <w:rFonts w:ascii="Calibri" w:eastAsia="Aptos" w:hAnsi="Calibri" w:cs="Calibri"/>
                <w:sz w:val="20"/>
                <w:szCs w:val="20"/>
                <w:lang w:val="en-US"/>
              </w:rPr>
              <w:t>The project supports innovation in construction through additive manufacturing, low-carbon materials, material efficiency, and Net Zero design strategies. It is strongly connected to sustainable production methods, reduced waste, lower embodied carbon, and improved building performance. It may also contribute to clean energy goals through envelope optimization and renewable integration, and to economic development through industrial innovation, new skills, and technology-oriented growth in the construction sector.</w:t>
            </w:r>
          </w:p>
        </w:tc>
      </w:tr>
    </w:tbl>
    <w:p w14:paraId="5D67038A" w14:textId="77777777" w:rsidR="0009425D" w:rsidRPr="0009425D" w:rsidRDefault="0009425D" w:rsidP="0009425D">
      <w:pPr>
        <w:spacing w:line="256" w:lineRule="auto"/>
        <w:jc w:val="both"/>
        <w:rPr>
          <w:rFonts w:ascii="Calibri" w:eastAsia="Aptos" w:hAnsi="Calibri" w:cs="Calibri"/>
          <w:lang w:val="en-US"/>
        </w:rPr>
      </w:pPr>
    </w:p>
    <w:p w14:paraId="53FFA0B2" w14:textId="77777777" w:rsidR="0009425D" w:rsidRPr="0009425D" w:rsidRDefault="0009425D" w:rsidP="0009425D">
      <w:pPr>
        <w:spacing w:line="256" w:lineRule="auto"/>
        <w:jc w:val="both"/>
        <w:rPr>
          <w:rFonts w:ascii="Calibri" w:eastAsia="Aptos" w:hAnsi="Calibri" w:cs="Calibri"/>
          <w:lang w:val="en-US"/>
        </w:rPr>
      </w:pPr>
      <w:r w:rsidRPr="0009425D">
        <w:rPr>
          <w:rFonts w:ascii="Calibri" w:eastAsia="Aptos" w:hAnsi="Calibri" w:cs="Calibri"/>
          <w:lang w:val="en-US"/>
        </w:rPr>
        <w:t>Taken together, the three projects show strong alignment with the SDGs most relevant to climate adaptation, sustainable urban development, responsible construction, technological innovation, and the transition towards low-carbon and resilient built environments.</w:t>
      </w:r>
    </w:p>
    <w:p w14:paraId="455CEAE9" w14:textId="77777777" w:rsidR="0009425D" w:rsidRDefault="0009425D" w:rsidP="0009425D">
      <w:pPr>
        <w:shd w:val="clear" w:color="auto" w:fill="FFFFFF"/>
        <w:spacing w:after="0" w:line="240" w:lineRule="auto"/>
        <w:jc w:val="both"/>
        <w:textAlignment w:val="baseline"/>
        <w:rPr>
          <w:rFonts w:ascii="Aptos" w:eastAsia="Times New Roman" w:hAnsi="Aptos" w:cs="Times New Roman"/>
          <w:b/>
          <w:bCs/>
          <w:color w:val="000000"/>
          <w:kern w:val="0"/>
          <w:lang w:eastAsia="en-AE"/>
          <w14:ligatures w14:val="none"/>
        </w:rPr>
      </w:pPr>
    </w:p>
    <w:p w14:paraId="5BF0BF36" w14:textId="6477127E" w:rsidR="0009425D" w:rsidRDefault="00A83CAE" w:rsidP="0009425D">
      <w:pPr>
        <w:shd w:val="clear" w:color="auto" w:fill="FFFFFF"/>
        <w:spacing w:after="0" w:line="240" w:lineRule="auto"/>
        <w:jc w:val="both"/>
        <w:textAlignment w:val="baseline"/>
        <w:rPr>
          <w:rFonts w:ascii="Aptos" w:eastAsia="Times New Roman" w:hAnsi="Aptos" w:cs="Times New Roman"/>
          <w:b/>
          <w:bCs/>
          <w:color w:val="000000"/>
          <w:kern w:val="0"/>
          <w:sz w:val="32"/>
          <w:szCs w:val="32"/>
          <w:lang w:eastAsia="en-AE"/>
          <w14:ligatures w14:val="none"/>
        </w:rPr>
      </w:pPr>
      <w:r w:rsidRPr="00A83CAE">
        <w:rPr>
          <w:rFonts w:ascii="Aptos" w:eastAsia="Times New Roman" w:hAnsi="Aptos" w:cs="Times New Roman"/>
          <w:b/>
          <w:bCs/>
          <w:color w:val="000000"/>
          <w:kern w:val="0"/>
          <w:sz w:val="32"/>
          <w:szCs w:val="32"/>
          <w:lang w:eastAsia="en-AE"/>
          <w14:ligatures w14:val="none"/>
        </w:rPr>
        <w:t>Part II Climate Change</w:t>
      </w:r>
    </w:p>
    <w:p w14:paraId="22FEE325" w14:textId="77777777" w:rsidR="00A83CAE" w:rsidRPr="00A83CAE" w:rsidRDefault="00A83CAE" w:rsidP="0009425D">
      <w:pPr>
        <w:shd w:val="clear" w:color="auto" w:fill="FFFFFF"/>
        <w:spacing w:after="0" w:line="240" w:lineRule="auto"/>
        <w:jc w:val="both"/>
        <w:textAlignment w:val="baseline"/>
        <w:rPr>
          <w:rFonts w:ascii="Aptos" w:eastAsia="Times New Roman" w:hAnsi="Aptos" w:cs="Times New Roman"/>
          <w:b/>
          <w:bCs/>
          <w:color w:val="000000"/>
          <w:kern w:val="0"/>
          <w:sz w:val="32"/>
          <w:szCs w:val="32"/>
          <w:lang w:eastAsia="en-AE"/>
          <w14:ligatures w14:val="none"/>
        </w:rPr>
      </w:pPr>
    </w:p>
    <w:p w14:paraId="3F1004F9" w14:textId="2D373E85"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b/>
          <w:bCs/>
          <w:color w:val="000000"/>
          <w:kern w:val="0"/>
          <w:lang w:eastAsia="en-AE"/>
          <w14:ligatures w14:val="none"/>
        </w:rPr>
        <w:t>Climate Research Lab at Canadian University Dubai</w:t>
      </w:r>
    </w:p>
    <w:p w14:paraId="649B91DB" w14:textId="77777777" w:rsid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color w:val="000000"/>
          <w:kern w:val="0"/>
          <w:lang w:eastAsia="en-AE"/>
          <w14:ligatures w14:val="none"/>
        </w:rPr>
        <w:t xml:space="preserve">The Canadian University Dubai (CUD) Climate Research Lab is a research and innovation hub dedicated to advancing climate-risk intelligence, adaptation solutions, and decarbonization pathways for the UAE and the wider MENA region. </w:t>
      </w:r>
      <w:proofErr w:type="spellStart"/>
      <w:r w:rsidRPr="0009425D">
        <w:rPr>
          <w:rFonts w:ascii="Aptos" w:eastAsia="Times New Roman" w:hAnsi="Aptos" w:cs="Times New Roman"/>
          <w:color w:val="000000"/>
          <w:kern w:val="0"/>
          <w:lang w:eastAsia="en-AE"/>
          <w14:ligatures w14:val="none"/>
        </w:rPr>
        <w:t>Modeled</w:t>
      </w:r>
      <w:proofErr w:type="spellEnd"/>
      <w:r w:rsidRPr="0009425D">
        <w:rPr>
          <w:rFonts w:ascii="Aptos" w:eastAsia="Times New Roman" w:hAnsi="Aptos" w:cs="Times New Roman"/>
          <w:color w:val="000000"/>
          <w:kern w:val="0"/>
          <w:lang w:eastAsia="en-AE"/>
          <w14:ligatures w14:val="none"/>
        </w:rPr>
        <w:t xml:space="preserve"> on leading applied climate labs that integrate research, training, monitoring, and knowledge mobilization, the Lab will generate Dubai- and UAE-specific evidence on climate hazards (extreme heat, flooding, drought, air quality, coastal risk), translate findings into decision-ready tools for government and industry, and develop the next generation of climate talent through experiential learning and applied research partnerships. The Lab’s </w:t>
      </w:r>
      <w:r w:rsidRPr="0009425D">
        <w:rPr>
          <w:rFonts w:ascii="Aptos" w:eastAsia="Times New Roman" w:hAnsi="Aptos" w:cs="Times New Roman"/>
          <w:color w:val="000000"/>
          <w:kern w:val="0"/>
          <w:lang w:eastAsia="en-AE"/>
          <w14:ligatures w14:val="none"/>
        </w:rPr>
        <w:lastRenderedPageBreak/>
        <w:t>approach emphasizes high-resolution climate analytics, real-world pilots, and strong stakeholder engagement so that scientific outputs directly support resilient infrastructure, public health, water and food security, and clean-energy transition planning.</w:t>
      </w:r>
    </w:p>
    <w:p w14:paraId="306445C6"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p>
    <w:p w14:paraId="3F3770C0" w14:textId="77777777" w:rsid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color w:val="000000"/>
          <w:kern w:val="0"/>
          <w:lang w:eastAsia="en-AE"/>
          <w14:ligatures w14:val="none"/>
        </w:rPr>
        <w:t>The CUD Climate Research Lab includes internationally-renowned researchers led by Dr. Adam Fenech of the Canadian University Dubai, Dr. Daniel Scott, University of Waterloo, Canada, Dr. Xander Wang, University of Prince Edward Island, Canada, and Dr. Ross Gordon, University of Technology Sydney, Australia.</w:t>
      </w:r>
    </w:p>
    <w:p w14:paraId="18609D14" w14:textId="77777777" w:rsidR="00CD4796" w:rsidRPr="0009425D" w:rsidRDefault="00CD4796"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p>
    <w:p w14:paraId="18A2C0A1" w14:textId="77777777" w:rsidR="0009425D" w:rsidRDefault="0009425D" w:rsidP="0009425D">
      <w:pPr>
        <w:shd w:val="clear" w:color="auto" w:fill="FFFFFF"/>
        <w:spacing w:after="0" w:line="240" w:lineRule="auto"/>
        <w:jc w:val="both"/>
        <w:textAlignment w:val="baseline"/>
        <w:rPr>
          <w:rFonts w:ascii="Aptos" w:eastAsia="Times New Roman" w:hAnsi="Aptos" w:cs="Times New Roman"/>
          <w:b/>
          <w:bCs/>
          <w:color w:val="000000"/>
          <w:kern w:val="0"/>
          <w:lang w:eastAsia="en-AE"/>
          <w14:ligatures w14:val="none"/>
        </w:rPr>
      </w:pPr>
    </w:p>
    <w:p w14:paraId="4CED48B2" w14:textId="1CE1AC7C"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b/>
          <w:bCs/>
          <w:color w:val="000000"/>
          <w:kern w:val="0"/>
          <w:lang w:eastAsia="en-AE"/>
          <w14:ligatures w14:val="none"/>
        </w:rPr>
        <w:t>Objectives</w:t>
      </w:r>
    </w:p>
    <w:p w14:paraId="460AB16D" w14:textId="77777777" w:rsidR="0009425D" w:rsidRPr="0009425D" w:rsidRDefault="0009425D" w:rsidP="0009425D">
      <w:pPr>
        <w:numPr>
          <w:ilvl w:val="0"/>
          <w:numId w:val="1"/>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Produce UAE-relevant climate intelligence</w:t>
      </w:r>
      <w:r w:rsidRPr="0009425D">
        <w:rPr>
          <w:rFonts w:ascii="Aptos" w:eastAsia="Times New Roman" w:hAnsi="Aptos" w:cs="Segoe UI"/>
          <w:color w:val="000000"/>
          <w:kern w:val="0"/>
          <w:lang w:eastAsia="en-AE"/>
          <w14:ligatures w14:val="none"/>
        </w:rPr>
        <w:br/>
        <w:t>Build a Dubai/UAE climate evidence base using observations, remote sensing, and model projections to quantify trends, extremes, and compound hazards (heat + humidity, intense rainfall + drainage capacity, coastal surge + sea-level rise).</w:t>
      </w:r>
    </w:p>
    <w:p w14:paraId="2345777E" w14:textId="77777777" w:rsidR="0009425D" w:rsidRPr="0009425D" w:rsidRDefault="0009425D" w:rsidP="0009425D">
      <w:pPr>
        <w:numPr>
          <w:ilvl w:val="0"/>
          <w:numId w:val="1"/>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Deliver actionable adaptation tools</w:t>
      </w:r>
      <w:r w:rsidRPr="0009425D">
        <w:rPr>
          <w:rFonts w:ascii="Aptos" w:eastAsia="Times New Roman" w:hAnsi="Aptos" w:cs="Segoe UI"/>
          <w:color w:val="000000"/>
          <w:kern w:val="0"/>
          <w:lang w:eastAsia="en-AE"/>
          <w14:ligatures w14:val="none"/>
        </w:rPr>
        <w:br/>
        <w:t>Develop localized risk maps, sector vulnerability profiles, and adaptation option appraisals that help agencies and organizations prioritize investments in resilient infrastructure, health protection, and climate-ready urban services.</w:t>
      </w:r>
    </w:p>
    <w:p w14:paraId="3B05EEE5" w14:textId="77777777" w:rsidR="0009425D" w:rsidRPr="0009425D" w:rsidRDefault="0009425D" w:rsidP="0009425D">
      <w:pPr>
        <w:numPr>
          <w:ilvl w:val="0"/>
          <w:numId w:val="1"/>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Accelerate decarbonisation and net-zero readiness</w:t>
      </w:r>
      <w:r w:rsidRPr="0009425D">
        <w:rPr>
          <w:rFonts w:ascii="Aptos" w:eastAsia="Times New Roman" w:hAnsi="Aptos" w:cs="Segoe UI"/>
          <w:color w:val="000000"/>
          <w:kern w:val="0"/>
          <w:lang w:eastAsia="en-AE"/>
          <w14:ligatures w14:val="none"/>
        </w:rPr>
        <w:br/>
        <w:t>Support mitigation planning through emissions analytics and scenario work aligned with the UAE’s Net Zero 2050 direction and sectoral programs (power, industry, transport, buildings, waste, agriculture).</w:t>
      </w:r>
    </w:p>
    <w:p w14:paraId="6DAAA406" w14:textId="77777777" w:rsidR="0009425D" w:rsidRPr="0009425D" w:rsidRDefault="0009425D" w:rsidP="0009425D">
      <w:pPr>
        <w:numPr>
          <w:ilvl w:val="0"/>
          <w:numId w:val="1"/>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Build capacity and workforce readiness</w:t>
      </w:r>
      <w:r w:rsidRPr="0009425D">
        <w:rPr>
          <w:rFonts w:ascii="Aptos" w:eastAsia="Times New Roman" w:hAnsi="Aptos" w:cs="Segoe UI"/>
          <w:color w:val="000000"/>
          <w:kern w:val="0"/>
          <w:lang w:eastAsia="en-AE"/>
          <w14:ligatures w14:val="none"/>
        </w:rPr>
        <w:br/>
        <w:t>Provide training in climate data analysis, downscaling, impact assessment, and decision support for students and professionals—positioning CUD as a pipeline for climate and sustainability talent in Dubai.</w:t>
      </w:r>
    </w:p>
    <w:p w14:paraId="46637C68" w14:textId="77777777" w:rsidR="0009425D" w:rsidRPr="0009425D" w:rsidRDefault="0009425D" w:rsidP="0009425D">
      <w:pPr>
        <w:numPr>
          <w:ilvl w:val="0"/>
          <w:numId w:val="1"/>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Enable partnerships and applied research translation</w:t>
      </w:r>
      <w:r w:rsidRPr="0009425D">
        <w:rPr>
          <w:rFonts w:ascii="Aptos" w:eastAsia="Times New Roman" w:hAnsi="Aptos" w:cs="Segoe UI"/>
          <w:color w:val="000000"/>
          <w:kern w:val="0"/>
          <w:lang w:eastAsia="en-AE"/>
          <w14:ligatures w14:val="none"/>
        </w:rPr>
        <w:br/>
        <w:t>Convene government, business, and community partners to co-design pilots, share data responsibly, and rapidly translate research into policy briefs, standards guidance, and public-facing risk communication.</w:t>
      </w:r>
    </w:p>
    <w:p w14:paraId="71A86FEE"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b/>
          <w:bCs/>
          <w:color w:val="000000"/>
          <w:kern w:val="0"/>
          <w:lang w:eastAsia="en-AE"/>
          <w14:ligatures w14:val="none"/>
        </w:rPr>
        <w:t>Sustainability Focus</w:t>
      </w:r>
    </w:p>
    <w:p w14:paraId="65DAE89B"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color w:val="000000"/>
          <w:kern w:val="0"/>
          <w:lang w:eastAsia="en-AE"/>
          <w14:ligatures w14:val="none"/>
        </w:rPr>
        <w:t>The Lab’s sustainability agenda is built around measurable, implementable outcomes, with particular emphasis on:</w:t>
      </w:r>
    </w:p>
    <w:p w14:paraId="1A1A78EC" w14:textId="77777777" w:rsidR="0009425D" w:rsidRPr="0009425D" w:rsidRDefault="0009425D" w:rsidP="0009425D">
      <w:pPr>
        <w:numPr>
          <w:ilvl w:val="0"/>
          <w:numId w:val="2"/>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 xml:space="preserve">Urban heat resilience and sustainable cooling: heat-risk mapping, vulnerable-population protection, </w:t>
      </w:r>
      <w:proofErr w:type="spellStart"/>
      <w:r w:rsidRPr="0009425D">
        <w:rPr>
          <w:rFonts w:ascii="Aptos" w:eastAsia="Times New Roman" w:hAnsi="Aptos" w:cs="Segoe UI"/>
          <w:color w:val="000000"/>
          <w:kern w:val="0"/>
          <w:lang w:eastAsia="en-AE"/>
          <w14:ligatures w14:val="none"/>
        </w:rPr>
        <w:t>neighborhood</w:t>
      </w:r>
      <w:proofErr w:type="spellEnd"/>
      <w:r w:rsidRPr="0009425D">
        <w:rPr>
          <w:rFonts w:ascii="Aptos" w:eastAsia="Times New Roman" w:hAnsi="Aptos" w:cs="Segoe UI"/>
          <w:color w:val="000000"/>
          <w:kern w:val="0"/>
          <w:lang w:eastAsia="en-AE"/>
          <w14:ligatures w14:val="none"/>
        </w:rPr>
        <w:t>-scale interventions, and evaluation of cooling efficiency pathways.</w:t>
      </w:r>
    </w:p>
    <w:p w14:paraId="049DBDD2" w14:textId="77777777" w:rsidR="0009425D" w:rsidRPr="0009425D" w:rsidRDefault="0009425D" w:rsidP="0009425D">
      <w:pPr>
        <w:numPr>
          <w:ilvl w:val="0"/>
          <w:numId w:val="2"/>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Climate-resilient cities and infrastructure: flood-risk diagnostics (extreme rainfall), drainage and transport vulnerability studies, and resilience-by-design guidance for built assets.</w:t>
      </w:r>
    </w:p>
    <w:p w14:paraId="3287CABA" w14:textId="77777777" w:rsidR="0009425D" w:rsidRPr="0009425D" w:rsidRDefault="0009425D" w:rsidP="0009425D">
      <w:pPr>
        <w:numPr>
          <w:ilvl w:val="0"/>
          <w:numId w:val="2"/>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Clean energy transition and efficiency: research support for Dubai’s clean energy trajectory (including long-term targets) and evidence for demand-side efficiency strategies.</w:t>
      </w:r>
    </w:p>
    <w:p w14:paraId="1E790635" w14:textId="77777777" w:rsidR="0009425D" w:rsidRPr="0009425D" w:rsidRDefault="0009425D" w:rsidP="0009425D">
      <w:pPr>
        <w:numPr>
          <w:ilvl w:val="0"/>
          <w:numId w:val="2"/>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lastRenderedPageBreak/>
        <w:t>Water security and drought risk: climate pressures on water systems, demand management, and adaptation options tied to urban growth and climate extremes.</w:t>
      </w:r>
    </w:p>
    <w:p w14:paraId="23EFE16B" w14:textId="77777777" w:rsidR="0009425D" w:rsidRPr="0009425D" w:rsidRDefault="0009425D" w:rsidP="0009425D">
      <w:pPr>
        <w:numPr>
          <w:ilvl w:val="0"/>
          <w:numId w:val="2"/>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Coastal and marine resilience: sea-level and coastal hazard analytics relevant to critical infrastructure, tourism zones, and ecological assets.</w:t>
      </w:r>
    </w:p>
    <w:p w14:paraId="44A78842" w14:textId="77777777" w:rsidR="0009425D" w:rsidRPr="0009425D" w:rsidRDefault="0009425D" w:rsidP="0009425D">
      <w:pPr>
        <w:numPr>
          <w:ilvl w:val="0"/>
          <w:numId w:val="2"/>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Climate-health linkages: heat illness risk, air-quality co-stressors, and preparedness frameworks that connect climate signals to public-health action.</w:t>
      </w:r>
    </w:p>
    <w:p w14:paraId="6A232344"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b/>
          <w:bCs/>
          <w:color w:val="000000"/>
          <w:kern w:val="0"/>
          <w:lang w:eastAsia="en-AE"/>
          <w14:ligatures w14:val="none"/>
        </w:rPr>
        <w:t>Alignment with UAE Priorities</w:t>
      </w:r>
    </w:p>
    <w:p w14:paraId="610CD8FE"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color w:val="000000"/>
          <w:kern w:val="0"/>
          <w:lang w:eastAsia="en-AE"/>
          <w14:ligatures w14:val="none"/>
        </w:rPr>
        <w:t>The CUD Climate Research Lab is directly aligned with national and emirate-level strategies that call for both mitigation and adaptation:</w:t>
      </w:r>
    </w:p>
    <w:p w14:paraId="44ED7AB0" w14:textId="77777777" w:rsidR="0009425D" w:rsidRPr="0009425D" w:rsidRDefault="0009425D" w:rsidP="0009425D">
      <w:pPr>
        <w:numPr>
          <w:ilvl w:val="0"/>
          <w:numId w:val="3"/>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UAE Net Zero 2050 Strategy: the Lab supports the national direction toward net-zero emissions by generating evidence and tools that inform efficiency, renewable integration, and sectoral transition planning.</w:t>
      </w:r>
    </w:p>
    <w:p w14:paraId="658899C9" w14:textId="77777777" w:rsidR="0009425D" w:rsidRPr="0009425D" w:rsidRDefault="0009425D" w:rsidP="0009425D">
      <w:pPr>
        <w:numPr>
          <w:ilvl w:val="0"/>
          <w:numId w:val="3"/>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National Climate Change Plan 2017–2050: the Lab advances the Plan’s emphasis on minimising climate risks and strengthening adaptation capacity, while enabling a resilient, green economy through research, innovation, and partnerships.</w:t>
      </w:r>
    </w:p>
    <w:p w14:paraId="4480AAC8" w14:textId="77777777" w:rsidR="0009425D" w:rsidRPr="0009425D" w:rsidRDefault="0009425D" w:rsidP="0009425D">
      <w:pPr>
        <w:numPr>
          <w:ilvl w:val="0"/>
          <w:numId w:val="3"/>
        </w:numPr>
        <w:shd w:val="clear" w:color="auto" w:fill="FFFFFF"/>
        <w:spacing w:before="100" w:beforeAutospacing="1" w:after="100" w:afterAutospacing="1" w:line="240" w:lineRule="auto"/>
        <w:jc w:val="both"/>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Dubai Clean Energy Strategy 2050: the Lab’s mitigation research and analytics can support Dubai’s clean-energy ambitions (including long-term clean-energy targets) and related efficiency priorities.</w:t>
      </w:r>
    </w:p>
    <w:p w14:paraId="172490AD" w14:textId="77777777" w:rsidR="0009425D" w:rsidRPr="0009425D" w:rsidRDefault="0009425D" w:rsidP="0009425D">
      <w:pPr>
        <w:numPr>
          <w:ilvl w:val="0"/>
          <w:numId w:val="3"/>
        </w:numPr>
        <w:shd w:val="clear" w:color="auto" w:fill="FFFFFF"/>
        <w:spacing w:before="100" w:beforeAutospacing="1" w:after="100" w:afterAutospacing="1" w:line="240" w:lineRule="auto"/>
        <w:jc w:val="both"/>
        <w:textAlignment w:val="baseline"/>
        <w:rPr>
          <w:rFonts w:ascii="Aptos" w:eastAsia="Times New Roman" w:hAnsi="Aptos" w:cs="Segoe UI"/>
          <w:color w:val="000000"/>
          <w:kern w:val="0"/>
          <w:lang w:eastAsia="en-AE"/>
          <w14:ligatures w14:val="none"/>
        </w:rPr>
      </w:pPr>
      <w:r w:rsidRPr="0009425D">
        <w:rPr>
          <w:rFonts w:ascii="Aptos" w:eastAsia="Times New Roman" w:hAnsi="Aptos" w:cs="Segoe UI"/>
          <w:color w:val="000000"/>
          <w:kern w:val="0"/>
          <w:lang w:eastAsia="en-AE"/>
          <w14:ligatures w14:val="none"/>
        </w:rPr>
        <w:t>Emirate-level adaptation and resilience planning: the Lab’s risk-mapping and sector resilience work fits the region’s focus on strengthening resilience across critical sectors such as infrastructure, health, and environment.</w:t>
      </w:r>
    </w:p>
    <w:p w14:paraId="70CF0467"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b/>
          <w:bCs/>
          <w:color w:val="000000"/>
          <w:kern w:val="0"/>
          <w:lang w:eastAsia="en-AE"/>
          <w14:ligatures w14:val="none"/>
        </w:rPr>
        <w:t>Publications</w:t>
      </w:r>
    </w:p>
    <w:p w14:paraId="50E8CF2A"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p>
    <w:p w14:paraId="0E605FE5"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color w:val="000000"/>
          <w:kern w:val="0"/>
          <w:lang w:eastAsia="en-AE"/>
          <w14:ligatures w14:val="none"/>
        </w:rPr>
        <w:t>Fenech, A., D. Scott, X. Wand R. Gordon. In preparation. Artificial Intelligence for Climate Action: Advances, Methodologies, Governance, and Policy Pathways for Global and National Climate Strategies.</w:t>
      </w:r>
    </w:p>
    <w:p w14:paraId="224B7B4E"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p>
    <w:p w14:paraId="435D9703"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b/>
          <w:bCs/>
          <w:color w:val="000000"/>
          <w:kern w:val="0"/>
          <w:lang w:eastAsia="en-AE"/>
          <w14:ligatures w14:val="none"/>
        </w:rPr>
        <w:t>Research Projects</w:t>
      </w:r>
    </w:p>
    <w:p w14:paraId="78771F3C"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p>
    <w:p w14:paraId="0CF63623" w14:textId="77777777" w:rsidR="0009425D" w:rsidRPr="0009425D" w:rsidRDefault="0009425D" w:rsidP="0009425D">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9425D">
        <w:rPr>
          <w:rFonts w:ascii="Aptos" w:eastAsia="Times New Roman" w:hAnsi="Aptos" w:cs="Times New Roman"/>
          <w:color w:val="000000"/>
          <w:kern w:val="0"/>
          <w:lang w:eastAsia="en-AE"/>
          <w14:ligatures w14:val="none"/>
        </w:rPr>
        <w:t>A 3-year Dubai Future Foundation-funded project titled </w:t>
      </w:r>
      <w:r w:rsidRPr="0009425D">
        <w:rPr>
          <w:rFonts w:ascii="Aptos" w:eastAsia="Times New Roman" w:hAnsi="Aptos" w:cs="Times New Roman"/>
          <w:b/>
          <w:bCs/>
          <w:color w:val="000000"/>
          <w:kern w:val="0"/>
          <w:lang w:eastAsia="en-AE"/>
          <w14:ligatures w14:val="none"/>
        </w:rPr>
        <w:t>Strengthening the Resilience of Dubai Households to Climate Change Through Risk Assessment and Behaviour Change Adaptation Measures</w:t>
      </w:r>
      <w:r w:rsidRPr="0009425D">
        <w:rPr>
          <w:rFonts w:ascii="Aptos" w:eastAsia="Times New Roman" w:hAnsi="Aptos" w:cs="Times New Roman"/>
          <w:color w:val="000000"/>
          <w:kern w:val="0"/>
          <w:lang w:eastAsia="en-AE"/>
          <w14:ligatures w14:val="none"/>
        </w:rPr>
        <w:t> has begun. The project's primary goal is to develop and deploy an AI-driven high-resolution climate prediction, socio-economic impact assessment, and behaviour change program tailored to the UAE’s hyper-arid, rapidly urbanizing environment. Using advanced climate models, AI, vulnerability analysis, and behavioural sciences, it will deliver actionable insights to Dubai households, policymakers, and industries. This goal is specific to the climate and geographic context, measurable via defined metrics, achievable given the project team's expertise, relevant to national climate resilience priorities, and time-bound within the grant period.</w:t>
      </w:r>
    </w:p>
    <w:p w14:paraId="2BD9C114" w14:textId="77777777" w:rsidR="008813AF" w:rsidRDefault="008813AF" w:rsidP="0009425D">
      <w:pPr>
        <w:jc w:val="both"/>
      </w:pPr>
    </w:p>
    <w:p w14:paraId="6102EC8B" w14:textId="53096596" w:rsidR="00723FEE" w:rsidRDefault="00A83CAE" w:rsidP="00723FEE">
      <w:pPr>
        <w:shd w:val="clear" w:color="auto" w:fill="FFFFFF"/>
        <w:spacing w:after="0" w:line="240" w:lineRule="auto"/>
        <w:jc w:val="both"/>
        <w:textAlignment w:val="baseline"/>
        <w:rPr>
          <w:rFonts w:ascii="Aptos" w:eastAsia="Times New Roman" w:hAnsi="Aptos" w:cs="Times New Roman"/>
          <w:b/>
          <w:bCs/>
          <w:color w:val="000000"/>
          <w:kern w:val="0"/>
          <w:sz w:val="32"/>
          <w:szCs w:val="32"/>
          <w:lang w:eastAsia="en-AE"/>
          <w14:ligatures w14:val="none"/>
        </w:rPr>
      </w:pPr>
      <w:r w:rsidRPr="00A83CAE">
        <w:rPr>
          <w:rFonts w:ascii="Aptos" w:eastAsia="Times New Roman" w:hAnsi="Aptos" w:cs="Times New Roman"/>
          <w:b/>
          <w:bCs/>
          <w:color w:val="000000"/>
          <w:kern w:val="0"/>
          <w:sz w:val="32"/>
          <w:szCs w:val="32"/>
          <w:lang w:eastAsia="en-AE"/>
          <w14:ligatures w14:val="none"/>
        </w:rPr>
        <w:t>Part II</w:t>
      </w:r>
      <w:r w:rsidR="00A32B12">
        <w:rPr>
          <w:rFonts w:ascii="Aptos" w:eastAsia="Times New Roman" w:hAnsi="Aptos" w:cs="Times New Roman"/>
          <w:b/>
          <w:bCs/>
          <w:color w:val="000000"/>
          <w:kern w:val="0"/>
          <w:sz w:val="32"/>
          <w:szCs w:val="32"/>
          <w:lang w:eastAsia="en-AE"/>
          <w14:ligatures w14:val="none"/>
        </w:rPr>
        <w:t>I Social Justice</w:t>
      </w:r>
    </w:p>
    <w:p w14:paraId="32192266" w14:textId="77777777" w:rsidR="00723FEE" w:rsidRDefault="00723FEE" w:rsidP="00723FEE">
      <w:pPr>
        <w:shd w:val="clear" w:color="auto" w:fill="FFFFFF"/>
        <w:spacing w:after="0" w:line="240" w:lineRule="auto"/>
        <w:jc w:val="both"/>
        <w:textAlignment w:val="baseline"/>
        <w:rPr>
          <w:noProof/>
          <w:sz w:val="22"/>
          <w:szCs w:val="22"/>
        </w:rPr>
      </w:pPr>
    </w:p>
    <w:p w14:paraId="06E66FF2" w14:textId="7727527D" w:rsidR="00723FEE" w:rsidRDefault="00723FEE" w:rsidP="00A32B12">
      <w:pPr>
        <w:shd w:val="clear" w:color="auto" w:fill="FFFFFF"/>
        <w:spacing w:after="0" w:line="240" w:lineRule="auto"/>
        <w:jc w:val="both"/>
        <w:rPr>
          <w:rFonts w:ascii="Aptos" w:eastAsia="Times New Roman" w:hAnsi="Aptos" w:cs="Times New Roman"/>
          <w:b/>
          <w:bCs/>
          <w:color w:val="000000"/>
          <w:kern w:val="0"/>
          <w:lang w:eastAsia="en-AE"/>
          <w14:ligatures w14:val="none"/>
        </w:rPr>
      </w:pPr>
      <w:r>
        <w:rPr>
          <w:rFonts w:ascii="Aptos" w:eastAsia="Times New Roman" w:hAnsi="Aptos" w:cs="Times New Roman"/>
          <w:b/>
          <w:bCs/>
          <w:noProof/>
          <w:color w:val="000000"/>
          <w:kern w:val="0"/>
          <w:lang w:eastAsia="en-AE"/>
          <w14:ligatures w14:val="none"/>
        </w:rPr>
        <w:lastRenderedPageBreak/>
        <w:drawing>
          <wp:inline distT="0" distB="0" distL="0" distR="0" wp14:anchorId="1F86E8CE" wp14:editId="1F79413B">
            <wp:extent cx="1981200" cy="548640"/>
            <wp:effectExtent l="0" t="0" r="0" b="3810"/>
            <wp:docPr id="120654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81200" cy="548640"/>
                    </a:xfrm>
                    <a:prstGeom prst="rect">
                      <a:avLst/>
                    </a:prstGeom>
                    <a:noFill/>
                  </pic:spPr>
                </pic:pic>
              </a:graphicData>
            </a:graphic>
          </wp:inline>
        </w:drawing>
      </w:r>
      <w:r w:rsidRPr="00F71791">
        <w:rPr>
          <w:noProof/>
          <w:sz w:val="22"/>
          <w:szCs w:val="22"/>
        </w:rPr>
        <w:drawing>
          <wp:inline distT="0" distB="0" distL="0" distR="0" wp14:anchorId="3A9489CF" wp14:editId="6F77A289">
            <wp:extent cx="1339850" cy="1143000"/>
            <wp:effectExtent l="0" t="0" r="0" b="0"/>
            <wp:docPr id="8" name="Picture 5" descr="Image result for yunus center 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yunus center ai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39850" cy="1143000"/>
                    </a:xfrm>
                    <a:prstGeom prst="rect">
                      <a:avLst/>
                    </a:prstGeom>
                    <a:noFill/>
                    <a:ln>
                      <a:noFill/>
                    </a:ln>
                  </pic:spPr>
                </pic:pic>
              </a:graphicData>
            </a:graphic>
          </wp:inline>
        </w:drawing>
      </w:r>
    </w:p>
    <w:p w14:paraId="6203E51F" w14:textId="77777777" w:rsidR="00723FEE" w:rsidRDefault="00723FEE" w:rsidP="00A32B12">
      <w:pPr>
        <w:shd w:val="clear" w:color="auto" w:fill="FFFFFF"/>
        <w:spacing w:after="0" w:line="240" w:lineRule="auto"/>
        <w:jc w:val="both"/>
        <w:rPr>
          <w:rFonts w:ascii="Aptos" w:eastAsia="Times New Roman" w:hAnsi="Aptos" w:cs="Times New Roman"/>
          <w:b/>
          <w:bCs/>
          <w:color w:val="000000"/>
          <w:kern w:val="0"/>
          <w:lang w:eastAsia="en-AE"/>
          <w14:ligatures w14:val="none"/>
        </w:rPr>
      </w:pPr>
    </w:p>
    <w:p w14:paraId="4FF62721" w14:textId="77777777" w:rsidR="00C6553E" w:rsidRDefault="00C6553E" w:rsidP="00A32B12">
      <w:pPr>
        <w:shd w:val="clear" w:color="auto" w:fill="FFFFFF"/>
        <w:spacing w:after="0" w:line="240" w:lineRule="auto"/>
        <w:jc w:val="both"/>
        <w:rPr>
          <w:rFonts w:ascii="Aptos" w:eastAsia="Times New Roman" w:hAnsi="Aptos" w:cs="Times New Roman"/>
          <w:b/>
          <w:bCs/>
          <w:color w:val="000000"/>
          <w:kern w:val="0"/>
          <w:lang w:eastAsia="en-AE"/>
          <w14:ligatures w14:val="none"/>
        </w:rPr>
      </w:pPr>
    </w:p>
    <w:p w14:paraId="37FF6810" w14:textId="6C1977B5" w:rsidR="00A83CAE" w:rsidRPr="00A83CAE" w:rsidRDefault="00A83CAE" w:rsidP="00A32B12">
      <w:pPr>
        <w:shd w:val="clear" w:color="auto" w:fill="FFFFFF"/>
        <w:spacing w:after="0" w:line="240" w:lineRule="auto"/>
        <w:jc w:val="both"/>
        <w:rPr>
          <w:rFonts w:ascii="Aptos" w:eastAsia="Times New Roman" w:hAnsi="Aptos" w:cs="Times New Roman"/>
          <w:color w:val="000000"/>
          <w:kern w:val="0"/>
          <w:lang w:eastAsia="en-AE"/>
          <w14:ligatures w14:val="none"/>
        </w:rPr>
      </w:pPr>
      <w:r w:rsidRPr="00A83CAE">
        <w:rPr>
          <w:rFonts w:ascii="Aptos" w:eastAsia="Times New Roman" w:hAnsi="Aptos" w:cs="Times New Roman"/>
          <w:b/>
          <w:bCs/>
          <w:color w:val="000000"/>
          <w:kern w:val="0"/>
          <w:lang w:eastAsia="en-AE"/>
          <w14:ligatures w14:val="none"/>
        </w:rPr>
        <w:t>The Social Business Group</w:t>
      </w:r>
    </w:p>
    <w:p w14:paraId="2B4B50E8" w14:textId="77777777" w:rsidR="00C6553E" w:rsidRDefault="00C6553E" w:rsidP="00A32B12">
      <w:pPr>
        <w:shd w:val="clear" w:color="auto" w:fill="FFFFFF"/>
        <w:spacing w:after="0" w:line="240" w:lineRule="auto"/>
        <w:jc w:val="both"/>
        <w:rPr>
          <w:rFonts w:ascii="Aptos" w:eastAsia="Times New Roman" w:hAnsi="Aptos" w:cs="Times New Roman"/>
          <w:color w:val="000000"/>
          <w:kern w:val="0"/>
          <w:lang w:eastAsia="en-AE"/>
          <w14:ligatures w14:val="none"/>
        </w:rPr>
      </w:pPr>
    </w:p>
    <w:p w14:paraId="5C4803AE" w14:textId="4AA4B1F1" w:rsidR="00A83CAE" w:rsidRDefault="00A83CAE" w:rsidP="00A32B12">
      <w:pPr>
        <w:shd w:val="clear" w:color="auto" w:fill="FFFFFF"/>
        <w:spacing w:after="0" w:line="240" w:lineRule="auto"/>
        <w:jc w:val="both"/>
        <w:rPr>
          <w:rFonts w:ascii="Aptos" w:eastAsia="Times New Roman" w:hAnsi="Aptos" w:cs="Times New Roman"/>
          <w:color w:val="000000"/>
          <w:kern w:val="0"/>
          <w:lang w:eastAsia="en-AE"/>
          <w14:ligatures w14:val="none"/>
        </w:rPr>
      </w:pPr>
      <w:r w:rsidRPr="00A83CAE">
        <w:rPr>
          <w:rFonts w:ascii="Aptos" w:eastAsia="Times New Roman" w:hAnsi="Aptos" w:cs="Times New Roman"/>
          <w:color w:val="000000"/>
          <w:kern w:val="0"/>
          <w:lang w:eastAsia="en-AE"/>
          <w14:ligatures w14:val="none"/>
        </w:rPr>
        <w:t>Th</w:t>
      </w:r>
      <w:r w:rsidR="0078094C">
        <w:rPr>
          <w:rFonts w:ascii="Aptos" w:eastAsia="Times New Roman" w:hAnsi="Aptos" w:cs="Times New Roman"/>
          <w:color w:val="000000"/>
          <w:kern w:val="0"/>
          <w:lang w:eastAsia="en-AE"/>
          <w14:ligatures w14:val="none"/>
        </w:rPr>
        <w:t>is international research</w:t>
      </w:r>
      <w:r w:rsidRPr="00A83CAE">
        <w:rPr>
          <w:rFonts w:ascii="Aptos" w:eastAsia="Times New Roman" w:hAnsi="Aptos" w:cs="Times New Roman"/>
          <w:color w:val="000000"/>
          <w:kern w:val="0"/>
          <w:lang w:eastAsia="en-AE"/>
          <w14:ligatures w14:val="none"/>
        </w:rPr>
        <w:t xml:space="preserve"> group is a collaboration between the </w:t>
      </w:r>
      <w:proofErr w:type="spellStart"/>
      <w:r w:rsidRPr="00A83CAE">
        <w:rPr>
          <w:rFonts w:ascii="Aptos" w:eastAsia="Times New Roman" w:hAnsi="Aptos" w:cs="Times New Roman"/>
          <w:color w:val="000000"/>
          <w:kern w:val="0"/>
          <w:lang w:eastAsia="en-AE"/>
          <w14:ligatures w14:val="none"/>
        </w:rPr>
        <w:t>Center</w:t>
      </w:r>
      <w:proofErr w:type="spellEnd"/>
      <w:r w:rsidRPr="00A83CAE">
        <w:rPr>
          <w:rFonts w:ascii="Aptos" w:eastAsia="Times New Roman" w:hAnsi="Aptos" w:cs="Times New Roman"/>
          <w:color w:val="000000"/>
          <w:kern w:val="0"/>
          <w:lang w:eastAsia="en-AE"/>
          <w14:ligatures w14:val="none"/>
        </w:rPr>
        <w:t xml:space="preserve"> for Sustainability and Innovation at Canadian University Dubai in the UAE</w:t>
      </w:r>
      <w:r w:rsidR="00E77172">
        <w:rPr>
          <w:rFonts w:ascii="Aptos" w:eastAsia="Times New Roman" w:hAnsi="Aptos" w:cs="Times New Roman"/>
          <w:color w:val="000000"/>
          <w:kern w:val="0"/>
          <w:lang w:eastAsia="en-AE"/>
          <w14:ligatures w14:val="none"/>
        </w:rPr>
        <w:t xml:space="preserve"> an</w:t>
      </w:r>
      <w:r w:rsidR="00A32B12">
        <w:rPr>
          <w:rFonts w:ascii="Aptos" w:eastAsia="Times New Roman" w:hAnsi="Aptos" w:cs="Times New Roman"/>
          <w:color w:val="000000"/>
          <w:kern w:val="0"/>
          <w:lang w:eastAsia="en-AE"/>
          <w14:ligatures w14:val="none"/>
        </w:rPr>
        <w:t xml:space="preserve">d </w:t>
      </w:r>
      <w:r w:rsidRPr="00A83CAE">
        <w:rPr>
          <w:rFonts w:ascii="Aptos" w:eastAsia="Times New Roman" w:hAnsi="Aptos" w:cs="Times New Roman"/>
          <w:color w:val="000000"/>
          <w:kern w:val="0"/>
          <w:lang w:eastAsia="en-AE"/>
          <w14:ligatures w14:val="none"/>
        </w:rPr>
        <w:t xml:space="preserve">Yunus </w:t>
      </w:r>
      <w:proofErr w:type="spellStart"/>
      <w:r w:rsidRPr="00A83CAE">
        <w:rPr>
          <w:rFonts w:ascii="Aptos" w:eastAsia="Times New Roman" w:hAnsi="Aptos" w:cs="Times New Roman"/>
          <w:color w:val="000000"/>
          <w:kern w:val="0"/>
          <w:lang w:eastAsia="en-AE"/>
          <w14:ligatures w14:val="none"/>
        </w:rPr>
        <w:t>Center</w:t>
      </w:r>
      <w:proofErr w:type="spellEnd"/>
      <w:r w:rsidRPr="00A83CAE">
        <w:rPr>
          <w:rFonts w:ascii="Aptos" w:eastAsia="Times New Roman" w:hAnsi="Aptos" w:cs="Times New Roman"/>
          <w:color w:val="000000"/>
          <w:kern w:val="0"/>
          <w:lang w:eastAsia="en-AE"/>
          <w14:ligatures w14:val="none"/>
        </w:rPr>
        <w:t xml:space="preserve"> at Asian Institute of Technology in Thailand</w:t>
      </w:r>
      <w:r w:rsidR="00E77172">
        <w:rPr>
          <w:rFonts w:ascii="Aptos" w:eastAsia="Times New Roman" w:hAnsi="Aptos" w:cs="Times New Roman"/>
          <w:color w:val="000000"/>
          <w:kern w:val="0"/>
          <w:lang w:eastAsia="en-AE"/>
          <w14:ligatures w14:val="none"/>
        </w:rPr>
        <w:t>.</w:t>
      </w:r>
      <w:r w:rsidR="0078094C" w:rsidRPr="0078094C">
        <w:rPr>
          <w:rFonts w:ascii="Aptos" w:eastAsia="Times New Roman" w:hAnsi="Aptos" w:cs="Times New Roman"/>
          <w:color w:val="000000"/>
          <w:kern w:val="0"/>
          <w:lang w:eastAsia="en-AE"/>
          <w14:ligatures w14:val="none"/>
        </w:rPr>
        <w:t xml:space="preserve"> </w:t>
      </w:r>
      <w:r w:rsidR="0078094C" w:rsidRPr="00A83CAE">
        <w:rPr>
          <w:rFonts w:ascii="Aptos" w:eastAsia="Times New Roman" w:hAnsi="Aptos" w:cs="Times New Roman"/>
          <w:color w:val="000000"/>
          <w:kern w:val="0"/>
          <w:lang w:eastAsia="en-AE"/>
          <w14:ligatures w14:val="none"/>
        </w:rPr>
        <w:t>Th</w:t>
      </w:r>
      <w:r w:rsidR="0078094C">
        <w:rPr>
          <w:rFonts w:ascii="Aptos" w:eastAsia="Times New Roman" w:hAnsi="Aptos" w:cs="Times New Roman"/>
          <w:color w:val="000000"/>
          <w:kern w:val="0"/>
          <w:lang w:eastAsia="en-AE"/>
          <w14:ligatures w14:val="none"/>
        </w:rPr>
        <w:t xml:space="preserve">e </w:t>
      </w:r>
      <w:r w:rsidR="0078094C" w:rsidRPr="00A83CAE">
        <w:rPr>
          <w:rFonts w:ascii="Aptos" w:eastAsia="Times New Roman" w:hAnsi="Aptos" w:cs="Times New Roman"/>
          <w:color w:val="000000"/>
          <w:kern w:val="0"/>
          <w:lang w:eastAsia="en-AE"/>
          <w14:ligatures w14:val="none"/>
        </w:rPr>
        <w:t>group is dedicated to advancing sustainable businesses that promote both economic growth and social inclusion. It serves as a collaborative platform bringing together researchers and practitioners to develop innovative, impact-driven solutions.</w:t>
      </w:r>
    </w:p>
    <w:p w14:paraId="4620EA20" w14:textId="77777777" w:rsidR="00DE68CD" w:rsidRDefault="00DE68CD" w:rsidP="003647EA">
      <w:pPr>
        <w:jc w:val="both"/>
        <w:rPr>
          <w:b/>
          <w:bCs/>
          <w:sz w:val="22"/>
          <w:szCs w:val="22"/>
        </w:rPr>
      </w:pPr>
    </w:p>
    <w:p w14:paraId="77720DC6" w14:textId="77777777" w:rsidR="0078094C" w:rsidRDefault="00DE68CD" w:rsidP="00DE68CD">
      <w:pPr>
        <w:shd w:val="clear" w:color="auto" w:fill="FFFFFF"/>
        <w:spacing w:after="0" w:line="240" w:lineRule="auto"/>
        <w:jc w:val="both"/>
        <w:rPr>
          <w:rFonts w:ascii="Aptos" w:eastAsia="Times New Roman" w:hAnsi="Aptos" w:cs="Times New Roman"/>
          <w:color w:val="000000"/>
          <w:kern w:val="0"/>
          <w:lang w:eastAsia="en-AE"/>
          <w14:ligatures w14:val="none"/>
        </w:rPr>
      </w:pPr>
      <w:r>
        <w:rPr>
          <w:rFonts w:ascii="Aptos" w:eastAsia="Times New Roman" w:hAnsi="Aptos" w:cs="Times New Roman"/>
          <w:color w:val="000000"/>
          <w:kern w:val="0"/>
          <w:lang w:eastAsia="en-AE"/>
          <w14:ligatures w14:val="none"/>
        </w:rPr>
        <w:t xml:space="preserve">Yunus </w:t>
      </w:r>
      <w:proofErr w:type="spellStart"/>
      <w:r>
        <w:rPr>
          <w:rFonts w:ascii="Aptos" w:eastAsia="Times New Roman" w:hAnsi="Aptos" w:cs="Times New Roman"/>
          <w:color w:val="000000"/>
          <w:kern w:val="0"/>
          <w:lang w:eastAsia="en-AE"/>
          <w14:ligatures w14:val="none"/>
        </w:rPr>
        <w:t>Center</w:t>
      </w:r>
      <w:proofErr w:type="spellEnd"/>
      <w:r>
        <w:rPr>
          <w:rFonts w:ascii="Aptos" w:eastAsia="Times New Roman" w:hAnsi="Aptos" w:cs="Times New Roman"/>
          <w:color w:val="000000"/>
          <w:kern w:val="0"/>
          <w:lang w:eastAsia="en-AE"/>
          <w14:ligatures w14:val="none"/>
        </w:rPr>
        <w:t xml:space="preserve"> AIT (YCA), based at the Asian Institute of Technology (AIT) in Bangkok, Thailand, a leading research university in the region, represents the first collaboration of its kind between Nobel Laureate Professor Muhammad Yunus and an academic institution. It functions as an independent platform dedicated to harnessing the potential of social business to tackle development challenges. </w:t>
      </w:r>
    </w:p>
    <w:p w14:paraId="3E9E24FC" w14:textId="77777777" w:rsidR="0078094C" w:rsidRDefault="0078094C" w:rsidP="00DE68CD">
      <w:pPr>
        <w:shd w:val="clear" w:color="auto" w:fill="FFFFFF"/>
        <w:spacing w:after="0" w:line="240" w:lineRule="auto"/>
        <w:jc w:val="both"/>
        <w:rPr>
          <w:rFonts w:ascii="Aptos" w:eastAsia="Times New Roman" w:hAnsi="Aptos" w:cs="Times New Roman"/>
          <w:color w:val="000000"/>
          <w:kern w:val="0"/>
          <w:lang w:eastAsia="en-AE"/>
          <w14:ligatures w14:val="none"/>
        </w:rPr>
      </w:pPr>
    </w:p>
    <w:p w14:paraId="4478F7A9" w14:textId="0F77730D" w:rsidR="00DE68CD" w:rsidRPr="00DE68CD" w:rsidRDefault="00DE68CD" w:rsidP="00DE68CD">
      <w:pPr>
        <w:shd w:val="clear" w:color="auto" w:fill="FFFFFF"/>
        <w:spacing w:after="0" w:line="240" w:lineRule="auto"/>
        <w:jc w:val="both"/>
        <w:rPr>
          <w:rFonts w:ascii="Aptos" w:eastAsia="Times New Roman" w:hAnsi="Aptos" w:cs="Times New Roman"/>
          <w:color w:val="000000"/>
          <w:kern w:val="0"/>
          <w:lang w:eastAsia="en-AE"/>
          <w14:ligatures w14:val="none"/>
        </w:rPr>
      </w:pPr>
      <w:r>
        <w:rPr>
          <w:rFonts w:ascii="Aptos" w:eastAsia="Times New Roman" w:hAnsi="Aptos" w:cs="Times New Roman"/>
          <w:color w:val="000000"/>
          <w:kern w:val="0"/>
          <w:lang w:eastAsia="en-AE"/>
          <w14:ligatures w14:val="none"/>
        </w:rPr>
        <w:t>Positioned within AIT, YCA</w:t>
      </w:r>
      <w:r w:rsidR="0078094C">
        <w:rPr>
          <w:rFonts w:ascii="Aptos" w:eastAsia="Times New Roman" w:hAnsi="Aptos" w:cs="Times New Roman"/>
          <w:color w:val="000000"/>
          <w:kern w:val="0"/>
          <w:lang w:eastAsia="en-AE"/>
          <w14:ligatures w14:val="none"/>
        </w:rPr>
        <w:t xml:space="preserve"> draws on the institute’s academic and research strengths, as well as its extensive network of partnerships spanning 117 universities worldwide, to support enterprise-driven solutions to social issues. These solutions are developed and implemented as social business initiatives. Since its establishment in 2009, YCA has built substantial experience in fostering partnerships that promote entrepreneurship and social innovation, contributing to both economic advancement and social empowerment.</w:t>
      </w:r>
    </w:p>
    <w:p w14:paraId="1EA96C98" w14:textId="77777777" w:rsidR="003647EA" w:rsidRDefault="003647EA" w:rsidP="00A32B12">
      <w:pPr>
        <w:shd w:val="clear" w:color="auto" w:fill="FFFFFF"/>
        <w:spacing w:after="0" w:line="240" w:lineRule="auto"/>
        <w:jc w:val="both"/>
        <w:rPr>
          <w:rFonts w:ascii="Aptos" w:eastAsia="Times New Roman" w:hAnsi="Aptos" w:cs="Times New Roman"/>
          <w:color w:val="000000"/>
          <w:kern w:val="0"/>
          <w:lang w:eastAsia="en-AE"/>
          <w14:ligatures w14:val="none"/>
        </w:rPr>
      </w:pPr>
    </w:p>
    <w:p w14:paraId="51C20A31" w14:textId="77777777" w:rsidR="00A83CAE" w:rsidRDefault="00A83CAE" w:rsidP="00A32B12">
      <w:pPr>
        <w:shd w:val="clear" w:color="auto" w:fill="FFFFFF"/>
        <w:spacing w:after="0" w:line="240" w:lineRule="auto"/>
        <w:jc w:val="both"/>
        <w:rPr>
          <w:rFonts w:ascii="Aptos" w:eastAsia="Times New Roman" w:hAnsi="Aptos" w:cs="Times New Roman"/>
          <w:color w:val="000000"/>
          <w:kern w:val="0"/>
          <w:lang w:eastAsia="en-AE"/>
          <w14:ligatures w14:val="none"/>
        </w:rPr>
      </w:pPr>
      <w:r w:rsidRPr="00A83CAE">
        <w:rPr>
          <w:rFonts w:ascii="Aptos" w:eastAsia="Times New Roman" w:hAnsi="Aptos" w:cs="Times New Roman"/>
          <w:b/>
          <w:bCs/>
          <w:color w:val="000000"/>
          <w:kern w:val="0"/>
          <w:lang w:eastAsia="en-AE"/>
          <w14:ligatures w14:val="none"/>
        </w:rPr>
        <w:t>Core Objectives:</w:t>
      </w:r>
      <w:r w:rsidRPr="00A83CAE">
        <w:rPr>
          <w:rFonts w:ascii="Aptos" w:eastAsia="Times New Roman" w:hAnsi="Aptos" w:cs="Times New Roman"/>
          <w:color w:val="000000"/>
          <w:kern w:val="0"/>
          <w:lang w:eastAsia="en-AE"/>
          <w14:ligatures w14:val="none"/>
        </w:rPr>
        <w:t> To generate research that supports the development of inclusive and sustainable enterprises. It seeks to bridge the gap between theory and practice by fostering partnerships with industry and communities. Additionally, the group is committed to promote ethical business practices, and build capacity through knowledge sharing, training, and interdisciplinary collaboration.</w:t>
      </w:r>
    </w:p>
    <w:p w14:paraId="0160B13F" w14:textId="77777777" w:rsidR="00A83CAE" w:rsidRPr="00A83CAE" w:rsidRDefault="00A83CAE" w:rsidP="00A32B12">
      <w:pPr>
        <w:shd w:val="clear" w:color="auto" w:fill="FFFFFF"/>
        <w:spacing w:after="0" w:line="240" w:lineRule="auto"/>
        <w:jc w:val="both"/>
        <w:rPr>
          <w:rFonts w:ascii="Aptos" w:eastAsia="Times New Roman" w:hAnsi="Aptos" w:cs="Times New Roman"/>
          <w:color w:val="000000"/>
          <w:kern w:val="0"/>
          <w:lang w:eastAsia="en-AE"/>
          <w14:ligatures w14:val="none"/>
        </w:rPr>
      </w:pPr>
    </w:p>
    <w:p w14:paraId="3E81E033" w14:textId="77777777" w:rsidR="003647EA" w:rsidRDefault="003647EA" w:rsidP="003647EA">
      <w:pPr>
        <w:shd w:val="clear" w:color="auto" w:fill="FFFFFF"/>
        <w:spacing w:after="0" w:line="240" w:lineRule="auto"/>
        <w:jc w:val="both"/>
        <w:textAlignment w:val="baseline"/>
        <w:rPr>
          <w:rFonts w:ascii="Aptos" w:eastAsia="Times New Roman" w:hAnsi="Aptos" w:cs="Times New Roman"/>
          <w:color w:val="000000"/>
          <w:kern w:val="0"/>
          <w:lang w:eastAsia="en-AE"/>
          <w14:ligatures w14:val="none"/>
        </w:rPr>
      </w:pPr>
      <w:r w:rsidRPr="00012817">
        <w:rPr>
          <w:rFonts w:ascii="Aptos" w:eastAsia="Times New Roman" w:hAnsi="Aptos" w:cs="Times New Roman"/>
          <w:b/>
          <w:bCs/>
          <w:color w:val="000000"/>
          <w:kern w:val="0"/>
          <w:lang w:eastAsia="en-AE"/>
          <w14:ligatures w14:val="none"/>
        </w:rPr>
        <w:t>Sustainability Focus:</w:t>
      </w:r>
      <w:r w:rsidRPr="00012817">
        <w:rPr>
          <w:rFonts w:ascii="Aptos" w:eastAsia="Times New Roman" w:hAnsi="Aptos" w:cs="Times New Roman"/>
          <w:color w:val="000000"/>
          <w:kern w:val="0"/>
          <w:lang w:eastAsia="en-AE"/>
          <w14:ligatures w14:val="none"/>
        </w:rPr>
        <w:t> </w:t>
      </w:r>
      <w:r>
        <w:rPr>
          <w:rFonts w:ascii="Aptos" w:eastAsia="Times New Roman" w:hAnsi="Aptos" w:cs="Times New Roman"/>
          <w:color w:val="000000"/>
          <w:kern w:val="0"/>
          <w:lang w:eastAsia="en-AE"/>
          <w14:ligatures w14:val="none"/>
        </w:rPr>
        <w:t xml:space="preserve">The group focuses on No Poverty (SDG 1) and Zero Hunger (SDG 2) through food security initiatives and partnerships that support vulnerable populations. A strong commitment to Gender Equality (SDG 5) is reflected in woman leadership and workforce collaboration. Through social business research and co-create activities, the group enhances sustainability and digital literacy for Quality Education (SDG 4), Decent Work and Economic Growth (SDG 8), and Reduced Inequalities (SDG 10), particularly among the underrepresented groups. Through stakeholder engagement and research, the group emphasizes Peace, Justice, and Strong Institutions (SDG 16), reenforcing trust and </w:t>
      </w:r>
      <w:proofErr w:type="gramStart"/>
      <w:r>
        <w:rPr>
          <w:rFonts w:ascii="Aptos" w:eastAsia="Times New Roman" w:hAnsi="Aptos" w:cs="Times New Roman"/>
          <w:color w:val="000000"/>
          <w:kern w:val="0"/>
          <w:lang w:eastAsia="en-AE"/>
          <w14:ligatures w14:val="none"/>
        </w:rPr>
        <w:t>long term</w:t>
      </w:r>
      <w:proofErr w:type="gramEnd"/>
      <w:r>
        <w:rPr>
          <w:rFonts w:ascii="Aptos" w:eastAsia="Times New Roman" w:hAnsi="Aptos" w:cs="Times New Roman"/>
          <w:color w:val="000000"/>
          <w:kern w:val="0"/>
          <w:lang w:eastAsia="en-AE"/>
          <w14:ligatures w14:val="none"/>
        </w:rPr>
        <w:t xml:space="preserve"> societal impact and Partnerships for the Goals (SDG 17).</w:t>
      </w:r>
    </w:p>
    <w:p w14:paraId="1782E57D" w14:textId="77777777" w:rsidR="003647EA" w:rsidRDefault="003647EA" w:rsidP="003647EA">
      <w:pPr>
        <w:shd w:val="clear" w:color="auto" w:fill="FFFFFF"/>
        <w:spacing w:after="0" w:line="240" w:lineRule="auto"/>
        <w:textAlignment w:val="baseline"/>
        <w:rPr>
          <w:rFonts w:ascii="Aptos" w:eastAsia="Times New Roman" w:hAnsi="Aptos" w:cs="Times New Roman"/>
          <w:color w:val="000000"/>
          <w:kern w:val="0"/>
          <w:lang w:eastAsia="en-AE"/>
          <w14:ligatures w14:val="none"/>
        </w:rPr>
      </w:pPr>
    </w:p>
    <w:p w14:paraId="6DCD05D0" w14:textId="77777777" w:rsidR="00AD1414" w:rsidRPr="00012817" w:rsidRDefault="00AD1414" w:rsidP="00AD1414">
      <w:pPr>
        <w:shd w:val="clear" w:color="auto" w:fill="FFFFFF"/>
        <w:spacing w:after="0" w:line="240" w:lineRule="auto"/>
        <w:textAlignment w:val="baseline"/>
        <w:rPr>
          <w:rFonts w:ascii="Aptos" w:eastAsia="Times New Roman" w:hAnsi="Aptos" w:cs="Times New Roman"/>
          <w:color w:val="000000"/>
          <w:kern w:val="0"/>
          <w:lang w:eastAsia="en-AE"/>
          <w14:ligatures w14:val="none"/>
        </w:rPr>
      </w:pPr>
      <w:r w:rsidRPr="00012817">
        <w:rPr>
          <w:rFonts w:ascii="Aptos" w:eastAsia="Times New Roman" w:hAnsi="Aptos" w:cs="Times New Roman"/>
          <w:b/>
          <w:bCs/>
          <w:color w:val="000000"/>
          <w:kern w:val="0"/>
          <w:lang w:eastAsia="en-AE"/>
          <w14:ligatures w14:val="none"/>
        </w:rPr>
        <w:t>UAE Priorities</w:t>
      </w:r>
      <w:r w:rsidRPr="00012817">
        <w:rPr>
          <w:rFonts w:ascii="Aptos" w:eastAsia="Times New Roman" w:hAnsi="Aptos" w:cs="Times New Roman"/>
          <w:color w:val="000000"/>
          <w:kern w:val="0"/>
          <w:lang w:eastAsia="en-AE"/>
          <w14:ligatures w14:val="none"/>
        </w:rPr>
        <w:t>: UAE Vision 2031, UAE Centennial 2071, We the UAE 2031</w:t>
      </w:r>
    </w:p>
    <w:p w14:paraId="523CAB3F" w14:textId="77777777" w:rsidR="00AD1414" w:rsidRDefault="00AD1414" w:rsidP="00A32B12">
      <w:pPr>
        <w:shd w:val="clear" w:color="auto" w:fill="FFFFFF"/>
        <w:spacing w:after="0" w:line="240" w:lineRule="auto"/>
        <w:jc w:val="both"/>
        <w:rPr>
          <w:rFonts w:ascii="Aptos" w:eastAsia="Times New Roman" w:hAnsi="Aptos" w:cs="Times New Roman"/>
          <w:b/>
          <w:bCs/>
          <w:color w:val="000000"/>
          <w:kern w:val="0"/>
          <w:lang w:eastAsia="en-AE"/>
          <w14:ligatures w14:val="none"/>
        </w:rPr>
      </w:pPr>
    </w:p>
    <w:p w14:paraId="367D59FC" w14:textId="64B33006" w:rsidR="00751968" w:rsidRDefault="00A83CAE" w:rsidP="00751968">
      <w:pPr>
        <w:shd w:val="clear" w:color="auto" w:fill="FFFFFF"/>
        <w:spacing w:after="0" w:line="240" w:lineRule="auto"/>
        <w:jc w:val="both"/>
        <w:rPr>
          <w:rFonts w:ascii="Aptos" w:eastAsia="Times New Roman" w:hAnsi="Aptos" w:cs="Times New Roman"/>
          <w:color w:val="000000"/>
          <w:kern w:val="0"/>
          <w:lang w:eastAsia="en-AE"/>
          <w14:ligatures w14:val="none"/>
        </w:rPr>
      </w:pPr>
      <w:r w:rsidRPr="00A83CAE">
        <w:rPr>
          <w:rFonts w:ascii="Aptos" w:eastAsia="Times New Roman" w:hAnsi="Aptos" w:cs="Times New Roman"/>
          <w:b/>
          <w:bCs/>
          <w:color w:val="000000"/>
          <w:kern w:val="0"/>
          <w:lang w:eastAsia="en-AE"/>
          <w14:ligatures w14:val="none"/>
        </w:rPr>
        <w:t xml:space="preserve">Ongoing Research Projects: </w:t>
      </w:r>
      <w:r w:rsidR="00751968">
        <w:rPr>
          <w:rFonts w:ascii="Aptos" w:eastAsia="Times New Roman" w:hAnsi="Aptos" w:cs="Times New Roman"/>
          <w:color w:val="000000"/>
          <w:kern w:val="0"/>
          <w:lang w:eastAsia="en-AE"/>
          <w14:ligatures w14:val="none"/>
        </w:rPr>
        <w:t xml:space="preserve">The research group is actively engaged in a portfolio of collaborative initiatives </w:t>
      </w:r>
      <w:proofErr w:type="spellStart"/>
      <w:r w:rsidR="00751968">
        <w:rPr>
          <w:rFonts w:ascii="Aptos" w:eastAsia="Times New Roman" w:hAnsi="Aptos" w:cs="Times New Roman"/>
          <w:color w:val="000000"/>
          <w:kern w:val="0"/>
          <w:lang w:eastAsia="en-AE"/>
          <w14:ligatures w14:val="none"/>
        </w:rPr>
        <w:t>centered</w:t>
      </w:r>
      <w:proofErr w:type="spellEnd"/>
      <w:r w:rsidR="00751968">
        <w:rPr>
          <w:rFonts w:ascii="Aptos" w:eastAsia="Times New Roman" w:hAnsi="Aptos" w:cs="Times New Roman"/>
          <w:color w:val="000000"/>
          <w:kern w:val="0"/>
          <w:lang w:eastAsia="en-AE"/>
          <w14:ligatures w14:val="none"/>
        </w:rPr>
        <w:t xml:space="preserve"> on sustainability </w:t>
      </w:r>
      <w:r w:rsidR="00C6553E">
        <w:rPr>
          <w:rFonts w:ascii="Aptos" w:eastAsia="Times New Roman" w:hAnsi="Aptos" w:cs="Times New Roman"/>
          <w:color w:val="000000"/>
          <w:kern w:val="0"/>
          <w:lang w:eastAsia="en-AE"/>
          <w14:ligatures w14:val="none"/>
        </w:rPr>
        <w:t xml:space="preserve">and social business </w:t>
      </w:r>
      <w:r w:rsidR="00751968">
        <w:rPr>
          <w:rFonts w:ascii="Aptos" w:eastAsia="Times New Roman" w:hAnsi="Aptos" w:cs="Times New Roman"/>
          <w:color w:val="000000"/>
          <w:kern w:val="0"/>
          <w:lang w:eastAsia="en-AE"/>
          <w14:ligatures w14:val="none"/>
        </w:rPr>
        <w:t xml:space="preserve">education as a pathway to inclusive development. These projects explore how educational frameworks, curricula, and institutional practices can be designed to equip diverse communities with the knowledge, skills, and agency required to participate in and benefit from sustainable development processes. </w:t>
      </w:r>
      <w:r w:rsidR="00C6553E">
        <w:rPr>
          <w:rFonts w:ascii="Aptos" w:eastAsia="Times New Roman" w:hAnsi="Aptos" w:cs="Times New Roman"/>
          <w:color w:val="000000"/>
          <w:kern w:val="0"/>
          <w:lang w:eastAsia="en-AE"/>
          <w14:ligatures w14:val="none"/>
        </w:rPr>
        <w:t>Emphasis</w:t>
      </w:r>
      <w:r w:rsidR="00751968">
        <w:rPr>
          <w:rFonts w:ascii="Aptos" w:eastAsia="Times New Roman" w:hAnsi="Aptos" w:cs="Times New Roman"/>
          <w:color w:val="000000"/>
          <w:kern w:val="0"/>
          <w:lang w:eastAsia="en-AE"/>
          <w14:ligatures w14:val="none"/>
        </w:rPr>
        <w:t xml:space="preserve"> is placed on interdisciplinary approaches that integrate social, economic, and environmental dimensions, as well as on partnerships with academic institutions, practitioners, and community stakeholders.</w:t>
      </w:r>
    </w:p>
    <w:p w14:paraId="1B41D6D3" w14:textId="77777777" w:rsidR="00751968" w:rsidRPr="00012817" w:rsidRDefault="00751968" w:rsidP="00012817">
      <w:pPr>
        <w:shd w:val="clear" w:color="auto" w:fill="FFFFFF"/>
        <w:spacing w:after="0" w:line="240" w:lineRule="auto"/>
        <w:textAlignment w:val="baseline"/>
        <w:rPr>
          <w:rFonts w:ascii="Aptos" w:eastAsia="Times New Roman" w:hAnsi="Aptos" w:cs="Times New Roman"/>
          <w:color w:val="000000"/>
          <w:kern w:val="0"/>
          <w:lang w:eastAsia="en-AE"/>
          <w14:ligatures w14:val="none"/>
        </w:rPr>
      </w:pPr>
    </w:p>
    <w:p w14:paraId="0789A199" w14:textId="49EFE40D" w:rsidR="00012817" w:rsidRDefault="00751968" w:rsidP="00A32B12">
      <w:pPr>
        <w:jc w:val="both"/>
      </w:pPr>
      <w:r>
        <w:t>In parallel, the group is advancing a series of research papers targeted for submission to leading peer-reviewed journals in the fields of sustainability and social enterprises. These publications aim to contribute to both theoretical and applied scholarship by generating evidence-based insights, developing innovative models, and critically examining emerging practices. Collectively th</w:t>
      </w:r>
      <w:r w:rsidR="00C6553E">
        <w:t>e</w:t>
      </w:r>
      <w:r>
        <w:t xml:space="preserve"> </w:t>
      </w:r>
      <w:r w:rsidR="00C6553E">
        <w:t>group</w:t>
      </w:r>
      <w:r>
        <w:t xml:space="preserve"> seeks to strengthen academic discourse, and support the design of scalable, impact-driven solutions for inclusive and sustainable development.</w:t>
      </w:r>
    </w:p>
    <w:sectPr w:rsidR="00012817">
      <w:footerReference w:type="default" r:id="rId3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fik Belarbi" w:date="2026-04-08T14:51:00Z" w:initials="RB">
    <w:p w14:paraId="5E858393" w14:textId="33CA0735" w:rsidR="00BE4B42" w:rsidRPr="00BE4B42" w:rsidRDefault="00BE4B42">
      <w:pPr>
        <w:pStyle w:val="CommentText"/>
      </w:pPr>
      <w:r>
        <w:rPr>
          <w:rStyle w:val="CommentReference"/>
        </w:rPr>
        <w:annotationRef/>
      </w:r>
      <w:r>
        <w:t>The same then the paper 14</w:t>
      </w:r>
    </w:p>
  </w:comment>
  <w:comment w:id="1" w:author="Rafik Belarbi" w:date="2026-04-08T14:03:00Z" w:initials="RB">
    <w:p w14:paraId="642FD437" w14:textId="3BF34B60" w:rsidR="000549BF" w:rsidRPr="000549BF" w:rsidRDefault="000549BF">
      <w:pPr>
        <w:pStyle w:val="CommentText"/>
        <w:rPr>
          <w:strike/>
        </w:rPr>
      </w:pPr>
      <w:r>
        <w:rPr>
          <w:rStyle w:val="CommentReference"/>
        </w:rPr>
        <w:annotationRef/>
      </w:r>
      <w:r>
        <w:t>The same of paper 27. Here the title is not correct</w:t>
      </w:r>
    </w:p>
  </w:comment>
  <w:comment w:id="2" w:author="Rafik Belarbi" w:date="2026-04-08T13:52:00Z" w:initials="RB">
    <w:p w14:paraId="35C9178B" w14:textId="4CE38262" w:rsidR="00746059" w:rsidRPr="000549BF" w:rsidRDefault="00746059" w:rsidP="00746059">
      <w:pPr>
        <w:pStyle w:val="CommentText"/>
        <w:rPr>
          <w:lang w:val="en-US"/>
        </w:rPr>
      </w:pPr>
      <w:r>
        <w:rPr>
          <w:rStyle w:val="CommentReference"/>
        </w:rPr>
        <w:annotationRef/>
      </w:r>
      <w:r w:rsidRPr="000549BF">
        <w:rPr>
          <w:lang w:val="en-US"/>
        </w:rPr>
        <w:t>Identical to document number 4.</w:t>
      </w:r>
    </w:p>
    <w:p w14:paraId="348363F7" w14:textId="7E9909EE" w:rsidR="00746059" w:rsidRDefault="00746059">
      <w:pPr>
        <w:pStyle w:val="CommentText"/>
      </w:pPr>
      <w:r>
        <w:t xml:space="preserve"> </w:t>
      </w:r>
    </w:p>
  </w:comment>
  <w:comment w:id="3" w:author="Rafik Belarbi" w:date="2026-04-08T14:27:00Z" w:initials="RB">
    <w:p w14:paraId="15882E1F" w14:textId="4299CDBA" w:rsidR="006068BD" w:rsidRDefault="006068BD">
      <w:pPr>
        <w:pStyle w:val="CommentText"/>
      </w:pPr>
      <w:r>
        <w:rPr>
          <w:rStyle w:val="CommentReference"/>
        </w:rPr>
        <w:annotationRef/>
      </w:r>
      <w:r>
        <w:t>This paper was accepted for publication yesterday 07/04/26 (it was put upon paper 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858393" w15:done="0"/>
  <w15:commentEx w15:paraId="642FD437" w15:done="0"/>
  <w15:commentEx w15:paraId="348363F7" w15:done="0"/>
  <w15:commentEx w15:paraId="15882E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36F79F" w16cex:dateUtc="2026-04-08T12:51:00Z"/>
  <w16cex:commentExtensible w16cex:durableId="6E70BF72" w16cex:dateUtc="2026-04-08T12:03:00Z"/>
  <w16cex:commentExtensible w16cex:durableId="4BE9EABB" w16cex:dateUtc="2026-04-08T11:52:00Z"/>
  <w16cex:commentExtensible w16cex:durableId="753A066A" w16cex:dateUtc="2026-04-08T1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858393" w16cid:durableId="3236F79F"/>
  <w16cid:commentId w16cid:paraId="642FD437" w16cid:durableId="6E70BF72"/>
  <w16cid:commentId w16cid:paraId="348363F7" w16cid:durableId="4BE9EABB"/>
  <w16cid:commentId w16cid:paraId="15882E1F" w16cid:durableId="753A0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5D0E5" w14:textId="77777777" w:rsidR="00FD7AEA" w:rsidRDefault="00FD7AEA" w:rsidP="00C6553E">
      <w:pPr>
        <w:spacing w:after="0" w:line="240" w:lineRule="auto"/>
      </w:pPr>
      <w:r>
        <w:separator/>
      </w:r>
    </w:p>
  </w:endnote>
  <w:endnote w:type="continuationSeparator" w:id="0">
    <w:p w14:paraId="7C35FEF5" w14:textId="77777777" w:rsidR="00FD7AEA" w:rsidRDefault="00FD7AEA" w:rsidP="00C65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UnicodeMS">
    <w:altName w:val="Klee One"/>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668833"/>
      <w:docPartObj>
        <w:docPartGallery w:val="Page Numbers (Bottom of Page)"/>
        <w:docPartUnique/>
      </w:docPartObj>
    </w:sdtPr>
    <w:sdtEndPr>
      <w:rPr>
        <w:noProof/>
      </w:rPr>
    </w:sdtEndPr>
    <w:sdtContent>
      <w:p w14:paraId="5F79419A" w14:textId="3394D57D" w:rsidR="00C6553E" w:rsidRDefault="00C655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055764" w14:textId="77777777" w:rsidR="00C6553E" w:rsidRDefault="00C65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2DE74" w14:textId="77777777" w:rsidR="00FD7AEA" w:rsidRDefault="00FD7AEA" w:rsidP="00C6553E">
      <w:pPr>
        <w:spacing w:after="0" w:line="240" w:lineRule="auto"/>
      </w:pPr>
      <w:r>
        <w:separator/>
      </w:r>
    </w:p>
  </w:footnote>
  <w:footnote w:type="continuationSeparator" w:id="0">
    <w:p w14:paraId="040DC850" w14:textId="77777777" w:rsidR="00FD7AEA" w:rsidRDefault="00FD7AEA" w:rsidP="00C655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A9F"/>
    <w:multiLevelType w:val="multilevel"/>
    <w:tmpl w:val="478055B0"/>
    <w:lvl w:ilvl="0">
      <w:start w:val="2"/>
      <w:numFmt w:val="decimal"/>
      <w:lvlText w:val="%1."/>
      <w:lvlJc w:val="left"/>
      <w:pPr>
        <w:tabs>
          <w:tab w:val="num" w:pos="4046"/>
        </w:tabs>
        <w:ind w:left="4046"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24C127E"/>
    <w:multiLevelType w:val="multilevel"/>
    <w:tmpl w:val="23B6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C54AB"/>
    <w:multiLevelType w:val="hybridMultilevel"/>
    <w:tmpl w:val="FEB4D342"/>
    <w:lvl w:ilvl="0" w:tplc="4C09000F">
      <w:start w:val="2"/>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3F6670C2"/>
    <w:multiLevelType w:val="multilevel"/>
    <w:tmpl w:val="376C7F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CC2792F"/>
    <w:multiLevelType w:val="hybridMultilevel"/>
    <w:tmpl w:val="3ADA36F2"/>
    <w:lvl w:ilvl="0" w:tplc="37D66056">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5" w15:restartNumberingAfterBreak="0">
    <w:nsid w:val="5C8950B9"/>
    <w:multiLevelType w:val="multilevel"/>
    <w:tmpl w:val="FD0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461A6"/>
    <w:multiLevelType w:val="multilevel"/>
    <w:tmpl w:val="D7C2B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36627">
    <w:abstractNumId w:val="6"/>
  </w:num>
  <w:num w:numId="2" w16cid:durableId="1727677319">
    <w:abstractNumId w:val="1"/>
  </w:num>
  <w:num w:numId="3" w16cid:durableId="1376270105">
    <w:abstractNumId w:val="5"/>
  </w:num>
  <w:num w:numId="4" w16cid:durableId="14782572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984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07740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68519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ik Belarbi">
    <w15:presenceInfo w15:providerId="AD" w15:userId="S::rbelarbi@univ-lr.fr::319b243d-e0e7-4bed-8c0f-3750abfc63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5D"/>
    <w:rsid w:val="00012817"/>
    <w:rsid w:val="00033523"/>
    <w:rsid w:val="000549BF"/>
    <w:rsid w:val="0009425D"/>
    <w:rsid w:val="000B2A55"/>
    <w:rsid w:val="000D2C7F"/>
    <w:rsid w:val="000E6830"/>
    <w:rsid w:val="000E7148"/>
    <w:rsid w:val="0012349F"/>
    <w:rsid w:val="001350E1"/>
    <w:rsid w:val="00135F15"/>
    <w:rsid w:val="001C7A48"/>
    <w:rsid w:val="00245FE6"/>
    <w:rsid w:val="002562EE"/>
    <w:rsid w:val="0033668C"/>
    <w:rsid w:val="00354CFC"/>
    <w:rsid w:val="003647EA"/>
    <w:rsid w:val="003D3B00"/>
    <w:rsid w:val="004369DA"/>
    <w:rsid w:val="0046433F"/>
    <w:rsid w:val="004C3924"/>
    <w:rsid w:val="004E5427"/>
    <w:rsid w:val="005262F7"/>
    <w:rsid w:val="00590979"/>
    <w:rsid w:val="006068BD"/>
    <w:rsid w:val="006B0BB5"/>
    <w:rsid w:val="006D58F9"/>
    <w:rsid w:val="00723FEE"/>
    <w:rsid w:val="00746059"/>
    <w:rsid w:val="00751968"/>
    <w:rsid w:val="00756D32"/>
    <w:rsid w:val="0078094C"/>
    <w:rsid w:val="007B15C9"/>
    <w:rsid w:val="008448F1"/>
    <w:rsid w:val="008813AF"/>
    <w:rsid w:val="00884389"/>
    <w:rsid w:val="0088657A"/>
    <w:rsid w:val="00887F11"/>
    <w:rsid w:val="008D3564"/>
    <w:rsid w:val="00924A26"/>
    <w:rsid w:val="009A6702"/>
    <w:rsid w:val="009B3CE0"/>
    <w:rsid w:val="00A32B12"/>
    <w:rsid w:val="00A83CAE"/>
    <w:rsid w:val="00AD1414"/>
    <w:rsid w:val="00B263D6"/>
    <w:rsid w:val="00BE4B42"/>
    <w:rsid w:val="00C1645A"/>
    <w:rsid w:val="00C31E4E"/>
    <w:rsid w:val="00C34935"/>
    <w:rsid w:val="00C40F82"/>
    <w:rsid w:val="00C52E43"/>
    <w:rsid w:val="00C6553E"/>
    <w:rsid w:val="00C861C4"/>
    <w:rsid w:val="00CA075E"/>
    <w:rsid w:val="00CD4796"/>
    <w:rsid w:val="00CE2E54"/>
    <w:rsid w:val="00D017D7"/>
    <w:rsid w:val="00DE68CD"/>
    <w:rsid w:val="00E02094"/>
    <w:rsid w:val="00E77172"/>
    <w:rsid w:val="00F01A7F"/>
    <w:rsid w:val="00FC6D24"/>
    <w:rsid w:val="00FD3988"/>
    <w:rsid w:val="00FD7AEA"/>
    <w:rsid w:val="00FF5556"/>
  </w:rsids>
  <m:mathPr>
    <m:mathFont m:val="Cambria Math"/>
    <m:brkBin m:val="before"/>
    <m:brkBinSub m:val="--"/>
    <m:smallFrac m:val="0"/>
    <m:dispDef/>
    <m:lMargin m:val="0"/>
    <m:rMargin m:val="0"/>
    <m:defJc m:val="centerGroup"/>
    <m:wrapIndent m:val="1440"/>
    <m:intLim m:val="subSup"/>
    <m:naryLim m:val="undOvr"/>
  </m:mathPr>
  <w:themeFontLang w:val="en-A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ECA2"/>
  <w15:chartTrackingRefBased/>
  <w15:docId w15:val="{D456B613-E8CA-4659-A00D-57750B25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25D"/>
    <w:rPr>
      <w:rFonts w:eastAsiaTheme="majorEastAsia" w:cstheme="majorBidi"/>
      <w:color w:val="272727" w:themeColor="text1" w:themeTint="D8"/>
    </w:rPr>
  </w:style>
  <w:style w:type="paragraph" w:styleId="Title">
    <w:name w:val="Title"/>
    <w:basedOn w:val="Normal"/>
    <w:next w:val="Normal"/>
    <w:link w:val="TitleChar"/>
    <w:uiPriority w:val="10"/>
    <w:qFormat/>
    <w:rsid w:val="00094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25D"/>
    <w:pPr>
      <w:spacing w:before="160"/>
      <w:jc w:val="center"/>
    </w:pPr>
    <w:rPr>
      <w:i/>
      <w:iCs/>
      <w:color w:val="404040" w:themeColor="text1" w:themeTint="BF"/>
    </w:rPr>
  </w:style>
  <w:style w:type="character" w:customStyle="1" w:styleId="QuoteChar">
    <w:name w:val="Quote Char"/>
    <w:basedOn w:val="DefaultParagraphFont"/>
    <w:link w:val="Quote"/>
    <w:uiPriority w:val="29"/>
    <w:rsid w:val="0009425D"/>
    <w:rPr>
      <w:i/>
      <w:iCs/>
      <w:color w:val="404040" w:themeColor="text1" w:themeTint="BF"/>
    </w:rPr>
  </w:style>
  <w:style w:type="paragraph" w:styleId="ListParagraph">
    <w:name w:val="List Paragraph"/>
    <w:basedOn w:val="Normal"/>
    <w:uiPriority w:val="99"/>
    <w:qFormat/>
    <w:rsid w:val="0009425D"/>
    <w:pPr>
      <w:ind w:left="720"/>
      <w:contextualSpacing/>
    </w:pPr>
  </w:style>
  <w:style w:type="character" w:styleId="IntenseEmphasis">
    <w:name w:val="Intense Emphasis"/>
    <w:basedOn w:val="DefaultParagraphFont"/>
    <w:uiPriority w:val="21"/>
    <w:qFormat/>
    <w:rsid w:val="0009425D"/>
    <w:rPr>
      <w:i/>
      <w:iCs/>
      <w:color w:val="0F4761" w:themeColor="accent1" w:themeShade="BF"/>
    </w:rPr>
  </w:style>
  <w:style w:type="paragraph" w:styleId="IntenseQuote">
    <w:name w:val="Intense Quote"/>
    <w:basedOn w:val="Normal"/>
    <w:next w:val="Normal"/>
    <w:link w:val="IntenseQuoteChar"/>
    <w:uiPriority w:val="30"/>
    <w:qFormat/>
    <w:rsid w:val="00094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25D"/>
    <w:rPr>
      <w:i/>
      <w:iCs/>
      <w:color w:val="0F4761" w:themeColor="accent1" w:themeShade="BF"/>
    </w:rPr>
  </w:style>
  <w:style w:type="character" w:styleId="IntenseReference">
    <w:name w:val="Intense Reference"/>
    <w:basedOn w:val="DefaultParagraphFont"/>
    <w:uiPriority w:val="32"/>
    <w:qFormat/>
    <w:rsid w:val="0009425D"/>
    <w:rPr>
      <w:b/>
      <w:bCs/>
      <w:smallCaps/>
      <w:color w:val="0F4761" w:themeColor="accent1" w:themeShade="BF"/>
      <w:spacing w:val="5"/>
    </w:rPr>
  </w:style>
  <w:style w:type="paragraph" w:styleId="Header">
    <w:name w:val="header"/>
    <w:basedOn w:val="Normal"/>
    <w:link w:val="HeaderChar"/>
    <w:uiPriority w:val="99"/>
    <w:unhideWhenUsed/>
    <w:rsid w:val="00C655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53E"/>
  </w:style>
  <w:style w:type="paragraph" w:styleId="Footer">
    <w:name w:val="footer"/>
    <w:basedOn w:val="Normal"/>
    <w:link w:val="FooterChar"/>
    <w:uiPriority w:val="99"/>
    <w:unhideWhenUsed/>
    <w:rsid w:val="00C655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53E"/>
  </w:style>
  <w:style w:type="character" w:styleId="Hyperlink">
    <w:name w:val="Hyperlink"/>
    <w:basedOn w:val="DefaultParagraphFont"/>
    <w:uiPriority w:val="99"/>
    <w:unhideWhenUsed/>
    <w:rsid w:val="008813AF"/>
    <w:rPr>
      <w:color w:val="0000FF"/>
      <w:u w:val="single"/>
    </w:rPr>
  </w:style>
  <w:style w:type="character" w:styleId="CommentReference">
    <w:name w:val="annotation reference"/>
    <w:basedOn w:val="DefaultParagraphFont"/>
    <w:uiPriority w:val="99"/>
    <w:semiHidden/>
    <w:unhideWhenUsed/>
    <w:rsid w:val="00746059"/>
    <w:rPr>
      <w:sz w:val="16"/>
      <w:szCs w:val="16"/>
    </w:rPr>
  </w:style>
  <w:style w:type="paragraph" w:styleId="CommentText">
    <w:name w:val="annotation text"/>
    <w:basedOn w:val="Normal"/>
    <w:link w:val="CommentTextChar"/>
    <w:uiPriority w:val="99"/>
    <w:semiHidden/>
    <w:unhideWhenUsed/>
    <w:rsid w:val="00746059"/>
    <w:pPr>
      <w:spacing w:line="240" w:lineRule="auto"/>
    </w:pPr>
    <w:rPr>
      <w:sz w:val="20"/>
      <w:szCs w:val="20"/>
    </w:rPr>
  </w:style>
  <w:style w:type="character" w:customStyle="1" w:styleId="CommentTextChar">
    <w:name w:val="Comment Text Char"/>
    <w:basedOn w:val="DefaultParagraphFont"/>
    <w:link w:val="CommentText"/>
    <w:uiPriority w:val="99"/>
    <w:semiHidden/>
    <w:rsid w:val="00746059"/>
    <w:rPr>
      <w:sz w:val="20"/>
      <w:szCs w:val="20"/>
    </w:rPr>
  </w:style>
  <w:style w:type="paragraph" w:styleId="CommentSubject">
    <w:name w:val="annotation subject"/>
    <w:basedOn w:val="CommentText"/>
    <w:next w:val="CommentText"/>
    <w:link w:val="CommentSubjectChar"/>
    <w:uiPriority w:val="99"/>
    <w:semiHidden/>
    <w:unhideWhenUsed/>
    <w:rsid w:val="00746059"/>
    <w:rPr>
      <w:b/>
      <w:bCs/>
    </w:rPr>
  </w:style>
  <w:style w:type="character" w:customStyle="1" w:styleId="CommentSubjectChar">
    <w:name w:val="Comment Subject Char"/>
    <w:basedOn w:val="CommentTextChar"/>
    <w:link w:val="CommentSubject"/>
    <w:uiPriority w:val="99"/>
    <w:semiHidden/>
    <w:rsid w:val="00746059"/>
    <w:rPr>
      <w:b/>
      <w:bCs/>
      <w:sz w:val="20"/>
      <w:szCs w:val="20"/>
    </w:rPr>
  </w:style>
  <w:style w:type="character" w:styleId="UnresolvedMention">
    <w:name w:val="Unresolved Mention"/>
    <w:basedOn w:val="DefaultParagraphFont"/>
    <w:uiPriority w:val="99"/>
    <w:semiHidden/>
    <w:unhideWhenUsed/>
    <w:rsid w:val="00054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841631">
      <w:bodyDiv w:val="1"/>
      <w:marLeft w:val="0"/>
      <w:marRight w:val="0"/>
      <w:marTop w:val="0"/>
      <w:marBottom w:val="0"/>
      <w:divBdr>
        <w:top w:val="none" w:sz="0" w:space="0" w:color="auto"/>
        <w:left w:val="none" w:sz="0" w:space="0" w:color="auto"/>
        <w:bottom w:val="none" w:sz="0" w:space="0" w:color="auto"/>
        <w:right w:val="none" w:sz="0" w:space="0" w:color="auto"/>
      </w:divBdr>
      <w:divsChild>
        <w:div w:id="508714312">
          <w:marLeft w:val="0"/>
          <w:marRight w:val="0"/>
          <w:marTop w:val="0"/>
          <w:marBottom w:val="0"/>
          <w:divBdr>
            <w:top w:val="none" w:sz="0" w:space="0" w:color="auto"/>
            <w:left w:val="none" w:sz="0" w:space="0" w:color="auto"/>
            <w:bottom w:val="none" w:sz="0" w:space="0" w:color="auto"/>
            <w:right w:val="none" w:sz="0" w:space="0" w:color="auto"/>
          </w:divBdr>
        </w:div>
      </w:divsChild>
    </w:div>
    <w:div w:id="1119179820">
      <w:bodyDiv w:val="1"/>
      <w:marLeft w:val="0"/>
      <w:marRight w:val="0"/>
      <w:marTop w:val="0"/>
      <w:marBottom w:val="0"/>
      <w:divBdr>
        <w:top w:val="none" w:sz="0" w:space="0" w:color="auto"/>
        <w:left w:val="none" w:sz="0" w:space="0" w:color="auto"/>
        <w:bottom w:val="none" w:sz="0" w:space="0" w:color="auto"/>
        <w:right w:val="none" w:sz="0" w:space="0" w:color="auto"/>
      </w:divBdr>
      <w:divsChild>
        <w:div w:id="4534472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conbuildmat.2023.134107" TargetMode="External"/><Relationship Id="rId18" Type="http://schemas.openxmlformats.org/officeDocument/2006/relationships/comments" Target="comments.xml"/><Relationship Id="rId26" Type="http://schemas.openxmlformats.org/officeDocument/2006/relationships/hyperlink" Target="https://doi.org/10.1016/j.enbuild.2024.114630" TargetMode="External"/><Relationship Id="rId21" Type="http://schemas.microsoft.com/office/2018/08/relationships/commentsExtensible" Target="commentsExtensible.xml"/><Relationship Id="rId34" Type="http://schemas.openxmlformats.org/officeDocument/2006/relationships/image" Target="media/image2.png"/><Relationship Id="rId7" Type="http://schemas.openxmlformats.org/officeDocument/2006/relationships/hyperlink" Target="https://doi.org/10.1016/j.%20.2023.124122" TargetMode="External"/><Relationship Id="rId12" Type="http://schemas.openxmlformats.org/officeDocument/2006/relationships/hyperlink" Target="https://doi.org/10.3390/buildings16071385" TargetMode="External"/><Relationship Id="rId17" Type="http://schemas.openxmlformats.org/officeDocument/2006/relationships/hyperlink" Target="https://doi.org/10.1016/j.matdes.2026.115701" TargetMode="External"/><Relationship Id="rId25" Type="http://schemas.openxmlformats.org/officeDocument/2006/relationships/hyperlink" Target="https://doi.org/10.1016/j.jobe.2023.106287" TargetMode="External"/><Relationship Id="rId33" Type="http://schemas.openxmlformats.org/officeDocument/2006/relationships/image" Target="media/image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matdes.2026.115701" TargetMode="External"/><Relationship Id="rId20" Type="http://schemas.microsoft.com/office/2016/09/relationships/commentsIds" Target="commentsIds.xml"/><Relationship Id="rId29" Type="http://schemas.openxmlformats.org/officeDocument/2006/relationships/hyperlink" Target="https://doi.org/10.1016/j.jobe.2026.11596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17442591241299035" TargetMode="External"/><Relationship Id="rId24" Type="http://schemas.openxmlformats.org/officeDocument/2006/relationships/hyperlink" Target="https://doi.org/10.1016/j.powtec.2023.118561" TargetMode="External"/><Relationship Id="rId32" Type="http://schemas.openxmlformats.org/officeDocument/2006/relationships/hyperlink" Target="https://doi.org/10.1016/j.rineng.2026.109773" TargetMode="External"/><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3390/buildings16071385" TargetMode="External"/><Relationship Id="rId23" Type="http://schemas.openxmlformats.org/officeDocument/2006/relationships/hyperlink" Target="https://doi.org/10.1016/j.buildenv.2023.110841" TargetMode="External"/><Relationship Id="rId28" Type="http://schemas.openxmlformats.org/officeDocument/2006/relationships/hyperlink" Target="https://doi.org//10.1016/j.enbuild.2025.115850" TargetMode="External"/><Relationship Id="rId36" Type="http://schemas.openxmlformats.org/officeDocument/2006/relationships/fontTable" Target="fontTable.xml"/><Relationship Id="rId10" Type="http://schemas.openxmlformats.org/officeDocument/2006/relationships/hyperlink" Target="https://doi.org/10.3390/buildings14123915" TargetMode="External"/><Relationship Id="rId19" Type="http://schemas.microsoft.com/office/2011/relationships/commentsExtended" Target="commentsExtended.xml"/><Relationship Id="rId31" Type="http://schemas.openxmlformats.org/officeDocument/2006/relationships/hyperlink" Target="https://doi.org/10.3390/en17205160" TargetMode="External"/><Relationship Id="rId4" Type="http://schemas.openxmlformats.org/officeDocument/2006/relationships/webSettings" Target="webSettings.xml"/><Relationship Id="rId9" Type="http://schemas.openxmlformats.org/officeDocument/2006/relationships/hyperlink" Target="https://doi.org/10.3390/buildings13071783" TargetMode="External"/><Relationship Id="rId14" Type="http://schemas.openxmlformats.org/officeDocument/2006/relationships/hyperlink" Target="https://doi.org/10.1007/s11831-025-10284-" TargetMode="External"/><Relationship Id="rId22" Type="http://schemas.openxmlformats.org/officeDocument/2006/relationships/hyperlink" Target="https://doi.org/10.1016/j.clay.2025.107727" TargetMode="External"/><Relationship Id="rId27" Type="http://schemas.openxmlformats.org/officeDocument/2006/relationships/hyperlink" Target="https://doi.org/10.1016/j.enbuild.2025.115850" TargetMode="External"/><Relationship Id="rId30" Type="http://schemas.openxmlformats.org/officeDocument/2006/relationships/hyperlink" Target="https://doi.org/10.1007/s40243-023-00234-7" TargetMode="External"/><Relationship Id="rId35" Type="http://schemas.openxmlformats.org/officeDocument/2006/relationships/footer" Target="footer1.xml"/><Relationship Id="rId8" Type="http://schemas.openxmlformats.org/officeDocument/2006/relationships/hyperlink" Target="https://doi.org/10.1016/j.rineng.2026.10977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5063</Words>
  <Characters>34232</Characters>
  <Application>Microsoft Office Word</Application>
  <DocSecurity>0</DocSecurity>
  <Lines>633</Lines>
  <Paragraphs>172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Chureerat Haq</dc:creator>
  <cp:keywords/>
  <dc:description/>
  <cp:lastModifiedBy>Caden Puah</cp:lastModifiedBy>
  <cp:revision>3</cp:revision>
  <dcterms:created xsi:type="dcterms:W3CDTF">2026-04-09T11:51:00Z</dcterms:created>
  <dcterms:modified xsi:type="dcterms:W3CDTF">2026-04-09T13:13:00Z</dcterms:modified>
</cp:coreProperties>
</file>