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236C1" w14:textId="77777777" w:rsidR="00C22C6B" w:rsidRDefault="00CF28BA" w:rsidP="00CF28BA">
      <w:pPr>
        <w:jc w:val="center"/>
      </w:pPr>
      <w:r>
        <w:t>AVALIAÇÃO ESTATÍSTICA</w:t>
      </w:r>
    </w:p>
    <w:p w14:paraId="7F9B5975" w14:textId="77777777" w:rsidR="00CF28BA" w:rsidRDefault="00CF28BA" w:rsidP="00CF28BA"/>
    <w:p w14:paraId="05C3EB6C" w14:textId="77777777" w:rsidR="00CF28BA" w:rsidRDefault="00CF28BA" w:rsidP="00CF28BA">
      <w:r>
        <w:t>1ª fase – Validação questionário</w:t>
      </w:r>
    </w:p>
    <w:p w14:paraId="482B42E9" w14:textId="77777777" w:rsidR="00CF28BA" w:rsidRDefault="00CF28BA" w:rsidP="00CF28BA"/>
    <w:p w14:paraId="3EB2B2B8" w14:textId="77777777" w:rsidR="00BF5A87" w:rsidRDefault="00BF5A87" w:rsidP="00694256">
      <w:pPr>
        <w:spacing w:line="36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BF5A87">
        <w:rPr>
          <w:rFonts w:ascii="Times New Roman" w:eastAsia="Times New Roman" w:hAnsi="Times New Roman" w:cs="Times New Roman"/>
          <w:lang w:eastAsia="pt-BR"/>
        </w:rPr>
        <w:t xml:space="preserve">Apresentação dos resultados da análise dos juízes A clareza de linguagem, diz respeito aos termos e a linguagem utilizada em cada um dos itens. Analisa se a forma de escrita e a redação apresentada são de fácil compreensão (HERNANDEZ-NIETO, 2002). Para avaliação da primeira versão da escala, no que se refere a clareza de linguagem, perguntou-se para os juízes o quanto o item se apresenta claro e compreensível para a gestantes. A relevância teórica considera o grau de associação entre o item e o construto que pretende ser mensurado (HERNANDEZ-NIETO, 2002). Com relação a esse critério 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perguntouse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para os juízes o quanto o conteúdo do item é relevante para a escala. Para os critérios de clareza de linguagem e relevância teórica foi utilizada escala tipo 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Likert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, variando de 1 a 4 pontos, assim cada um dos 10 juízes deu uma nota conforme o nível de adequação do item. Os dados obtidos a partir da avaliação dos juízes foram tabulados e analisados a fim de identificar itens que não estejam adequados aos objetivos do instrumento por meio do Coeficiente de Validade de Conteúdo (HERNANDEZ-NIETO, 2002). Alguns autores têm chamado atenção para baixa precisão de análises estatísticas baseadas em médias simples ou ponderadas com amostra pequena de juízes, visto que nesses casos o intervalo de confiança será alargado. Dessa forma esses tipos de análises apresentam valores superestimados (LOPES et al., 2012; BECKSTEAD et al., 2009). Outro aspecto que tem sido questionado é que cálculos rotineiramente utilizados para analisar respostas tipo 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likert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necessitam de agrupamento de respostas positivas e negativas a fim de tornar a escala dicotômica. Essa prática altera fundamentalmente o significado da proporção resultante, já não reflete exatamente o que os especialistas responderam, nem quanto eles concordaram (BECKSTEAD et al., 2009). A escala deve ser pensada como tendo uma certa capacidade para transmitir o julgamento sobre os itens do especialista para o pesquisador. Essa capacidade está relacionada ao número de categorias de resposta na escala, a amostra de especialistas que fornecem as avaliações e a amostra de itens sendo avaliado (BECKSTEAD et al., 2009). Assim, como proposto por Hernández-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Nieto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(2002) a validade de conteúdo relacionada à clareza de linguagem e a relevância teórica, foi analisada por meio da Coeficiente de Validade de Conteúdo para cada item do instrumento (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CVCc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>) e para o instrumento como um todo (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CVCt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>), como descrito a seguir:</w:t>
      </w:r>
    </w:p>
    <w:p w14:paraId="687F2105" w14:textId="77777777" w:rsidR="00BF5A87" w:rsidRDefault="00BF5A87" w:rsidP="00694256">
      <w:pPr>
        <w:spacing w:line="360" w:lineRule="auto"/>
        <w:jc w:val="both"/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br w:type="page"/>
      </w:r>
    </w:p>
    <w:p w14:paraId="7022B765" w14:textId="77777777" w:rsidR="00BF5A87" w:rsidRPr="00BF5A87" w:rsidRDefault="00BF5A87" w:rsidP="00BF5A87">
      <w:pPr>
        <w:rPr>
          <w:rFonts w:ascii="Times New Roman" w:eastAsia="Times New Roman" w:hAnsi="Times New Roman" w:cs="Times New Roman"/>
          <w:lang w:eastAsia="pt-BR"/>
        </w:rPr>
      </w:pPr>
      <w:r w:rsidRPr="00BF5A87">
        <w:rPr>
          <w:rFonts w:ascii="Times New Roman" w:eastAsia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224C1E42" wp14:editId="5D318EAF">
            <wp:extent cx="5396230" cy="668210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A42F" w14:textId="77777777" w:rsidR="00BF5A87" w:rsidRDefault="00BF5A87">
      <w:pPr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br w:type="page"/>
      </w:r>
    </w:p>
    <w:p w14:paraId="57C1A113" w14:textId="77777777" w:rsidR="00BF5A87" w:rsidRDefault="00BF5A87" w:rsidP="00694256">
      <w:pPr>
        <w:spacing w:line="360" w:lineRule="auto"/>
        <w:jc w:val="both"/>
        <w:rPr>
          <w:rFonts w:ascii="Times New Roman" w:eastAsia="Times New Roman" w:hAnsi="Times New Roman" w:cs="Times New Roman"/>
          <w:lang w:eastAsia="pt-BR"/>
        </w:rPr>
      </w:pPr>
      <w:r w:rsidRPr="00BF5A87">
        <w:rPr>
          <w:rFonts w:ascii="Times New Roman" w:eastAsia="Times New Roman" w:hAnsi="Times New Roman" w:cs="Times New Roman"/>
          <w:lang w:eastAsia="pt-BR"/>
        </w:rPr>
        <w:lastRenderedPageBreak/>
        <w:t xml:space="preserve">Como visto, o cálculo do CVC, não realiza agrupamento de respostas, pois considera para análise as respostas reais dos especialistas. Outro ponto que o torna um teste rigoroso é o cálculo do erro, e em vista de termos alcançado um </w:t>
      </w:r>
      <w:r w:rsidRPr="00BF5A87">
        <w:rPr>
          <w:rFonts w:ascii="Cambria Math" w:eastAsia="Times New Roman" w:hAnsi="Cambria Math" w:cs="Cambria Math"/>
          <w:lang w:eastAsia="pt-BR"/>
        </w:rPr>
        <w:t>𝑃𝑒𝑖</w:t>
      </w:r>
      <w:r w:rsidRPr="00BF5A87">
        <w:rPr>
          <w:rFonts w:ascii="Times New Roman" w:eastAsia="Times New Roman" w:hAnsi="Times New Roman" w:cs="Times New Roman"/>
          <w:lang w:eastAsia="pt-BR"/>
        </w:rPr>
        <w:t>=0,1 para esse estudo o valor máximo possível a ser alcançado no CVC será de 0,9. Hernández-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Nieto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(2002) recomenda que sejam considerados aceitos os itens que obtiverem um valor de 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CVCc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&gt; 0,8 no quesito relevância teórica. Para o quesito clareza da linguagem, os itens que não alcançarem 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CVCc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&gt; 0,8 devem ser reformulados e reencaminhados para nova avaliação dos juízes. Ainda foi investigada a dimensão teórica para cada um dos 23 itens, isto é, se esses representam as dimensões do conhecimento, da atitude ou da prática. Para isso, os juízes responderam a qual dimensão o item se refere indicando uma das opções de resposta: conhecimento, atitude ou prática. A concordância dos juízes entre as opções de resposta foi analisada a partir do Coeficiente de 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Kappa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de Cohen. A interpretação do nível de concordância foi realizada conforme classificação sugerida por </w:t>
      </w:r>
      <w:proofErr w:type="spellStart"/>
      <w:r w:rsidRPr="00BF5A87">
        <w:rPr>
          <w:rFonts w:ascii="Times New Roman" w:eastAsia="Times New Roman" w:hAnsi="Times New Roman" w:cs="Times New Roman"/>
          <w:lang w:eastAsia="pt-BR"/>
        </w:rPr>
        <w:t>Fleiss</w:t>
      </w:r>
      <w:proofErr w:type="spellEnd"/>
      <w:r w:rsidRPr="00BF5A87">
        <w:rPr>
          <w:rFonts w:ascii="Times New Roman" w:eastAsia="Times New Roman" w:hAnsi="Times New Roman" w:cs="Times New Roman"/>
          <w:lang w:eastAsia="pt-BR"/>
        </w:rPr>
        <w:t xml:space="preserve"> (1981), em que valores entre 0,01 a 0,39 apresentam concordância pobre; entre 0,40-0,75 satisfatória a bom; entre 0,76 e 1,0 excelente. Conforme orienta a técnica Delphi, ao final de cada ciclo de avaliação as análises estatísticas e as recomendações dos juízes foram confrontadas com a literatura científica atualizada, de forma que as adequações realizadas na escala mantivessem sustentação teórica (Scarparo et al., 2012).</w:t>
      </w:r>
    </w:p>
    <w:p w14:paraId="3A4D3570" w14:textId="77777777" w:rsidR="00694256" w:rsidRDefault="00694256" w:rsidP="00694256">
      <w:pPr>
        <w:spacing w:line="360" w:lineRule="auto"/>
        <w:jc w:val="both"/>
        <w:rPr>
          <w:rFonts w:ascii="Times New Roman" w:eastAsia="Times New Roman" w:hAnsi="Times New Roman" w:cs="Times New Roman"/>
          <w:lang w:eastAsia="pt-BR"/>
        </w:rPr>
      </w:pPr>
    </w:p>
    <w:p w14:paraId="3F07D3DE" w14:textId="77777777" w:rsidR="00694256" w:rsidRDefault="00694256" w:rsidP="00BF5A87">
      <w:pPr>
        <w:jc w:val="both"/>
        <w:rPr>
          <w:rFonts w:ascii="Times New Roman" w:eastAsia="Times New Roman" w:hAnsi="Times New Roman" w:cs="Times New Roman"/>
          <w:lang w:eastAsia="pt-BR"/>
        </w:rPr>
      </w:pPr>
    </w:p>
    <w:p w14:paraId="2A57BEBF" w14:textId="77777777" w:rsidR="00694256" w:rsidRDefault="00694256">
      <w:pPr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br w:type="page"/>
      </w:r>
    </w:p>
    <w:p w14:paraId="033D69BA" w14:textId="77777777" w:rsidR="00694256" w:rsidRDefault="00694256" w:rsidP="00BF5A87">
      <w:pPr>
        <w:jc w:val="both"/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lastRenderedPageBreak/>
        <w:t>CRIAÇÃO DAS SEGUINTES TABELAS COM OS DADOS DO EXCEL</w:t>
      </w:r>
    </w:p>
    <w:p w14:paraId="660DAADB" w14:textId="77777777" w:rsidR="00694256" w:rsidRDefault="00694256" w:rsidP="00BF5A87">
      <w:pPr>
        <w:jc w:val="both"/>
        <w:rPr>
          <w:rFonts w:ascii="Times New Roman" w:eastAsia="Times New Roman" w:hAnsi="Times New Roman" w:cs="Times New Roman"/>
          <w:lang w:eastAsia="pt-BR"/>
        </w:rPr>
      </w:pPr>
    </w:p>
    <w:p w14:paraId="35608CCC" w14:textId="06F7BFB5" w:rsidR="00694256" w:rsidRDefault="00694256" w:rsidP="00BF5A87">
      <w:pPr>
        <w:jc w:val="both"/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410C259E" wp14:editId="698245AA">
            <wp:extent cx="5396230" cy="1635125"/>
            <wp:effectExtent l="0" t="0" r="127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1-02-03 às 12.09.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096440A5" wp14:editId="6610AE9D">
            <wp:extent cx="5396230" cy="257873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21-02-03 às 12.08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2907B17A" wp14:editId="27305323">
            <wp:extent cx="5396230" cy="2891155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1-02-03 às 12.08.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03F239F0" wp14:editId="7EA565F4">
            <wp:extent cx="5396230" cy="3077845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1-02-03 às 12.07.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348B" w14:textId="77777777" w:rsidR="00694256" w:rsidRDefault="00694256" w:rsidP="00BF5A87">
      <w:pPr>
        <w:jc w:val="both"/>
        <w:rPr>
          <w:rFonts w:ascii="Times New Roman" w:eastAsia="Times New Roman" w:hAnsi="Times New Roman" w:cs="Times New Roman"/>
          <w:lang w:eastAsia="pt-BR"/>
        </w:rPr>
      </w:pPr>
    </w:p>
    <w:p w14:paraId="0D1A8873" w14:textId="77777777" w:rsidR="00694256" w:rsidRPr="00BF5A87" w:rsidRDefault="00694256" w:rsidP="00BF5A87">
      <w:pPr>
        <w:jc w:val="both"/>
        <w:rPr>
          <w:rFonts w:ascii="Times New Roman" w:eastAsia="Times New Roman" w:hAnsi="Times New Roman" w:cs="Times New Roman"/>
          <w:lang w:eastAsia="pt-BR"/>
        </w:rPr>
      </w:pPr>
    </w:p>
    <w:p w14:paraId="4DF14FFC" w14:textId="77777777" w:rsidR="00BF5A87" w:rsidRPr="00BF5A87" w:rsidRDefault="00BF5A87" w:rsidP="00BF5A87">
      <w:pPr>
        <w:jc w:val="both"/>
        <w:rPr>
          <w:rFonts w:ascii="Times New Roman" w:eastAsia="Times New Roman" w:hAnsi="Times New Roman" w:cs="Times New Roman"/>
          <w:lang w:eastAsia="pt-BR"/>
        </w:rPr>
      </w:pPr>
    </w:p>
    <w:p w14:paraId="3D9656D5" w14:textId="77777777" w:rsidR="00BF5A87" w:rsidRDefault="00BF5A87" w:rsidP="00BF5A87">
      <w:pPr>
        <w:jc w:val="both"/>
      </w:pPr>
    </w:p>
    <w:p w14:paraId="4B8DEC84" w14:textId="77777777" w:rsidR="00CF28BA" w:rsidRDefault="00CF28BA" w:rsidP="00BF5A87">
      <w:pPr>
        <w:jc w:val="both"/>
      </w:pPr>
    </w:p>
    <w:p w14:paraId="1EB75434" w14:textId="77777777" w:rsidR="00CF28BA" w:rsidRDefault="00CF28BA" w:rsidP="00BF5A87">
      <w:pPr>
        <w:jc w:val="both"/>
      </w:pPr>
    </w:p>
    <w:p w14:paraId="7A2616F8" w14:textId="77777777" w:rsidR="00CF28BA" w:rsidRPr="00CF28BA" w:rsidRDefault="00CF28BA" w:rsidP="00BF5A87">
      <w:pPr>
        <w:jc w:val="both"/>
      </w:pPr>
    </w:p>
    <w:sectPr w:rsidR="00CF28BA" w:rsidRPr="00CF28BA" w:rsidSect="004C1A1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BA"/>
    <w:rsid w:val="00207A4A"/>
    <w:rsid w:val="004C1A17"/>
    <w:rsid w:val="004E1995"/>
    <w:rsid w:val="00694256"/>
    <w:rsid w:val="00BF5A87"/>
    <w:rsid w:val="00C22C6B"/>
    <w:rsid w:val="00CF28BA"/>
    <w:rsid w:val="00D6157B"/>
    <w:rsid w:val="00F502F3"/>
    <w:rsid w:val="00FF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3DEA51"/>
  <w15:chartTrackingRefBased/>
  <w15:docId w15:val="{8464E705-0140-1E4C-B572-0BD4F614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7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647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de Assis Pereira</dc:creator>
  <cp:keywords/>
  <dc:description/>
  <cp:lastModifiedBy>Danilo de Assis Pereira</cp:lastModifiedBy>
  <cp:revision>2</cp:revision>
  <dcterms:created xsi:type="dcterms:W3CDTF">2021-02-03T13:32:00Z</dcterms:created>
  <dcterms:modified xsi:type="dcterms:W3CDTF">2021-04-24T01:34:00Z</dcterms:modified>
</cp:coreProperties>
</file>