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boxplot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pontos exteriores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mediana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assimetria mchoice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coeficiente de bowley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pseudo sigma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pseudo variance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trimedia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Valores de letra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pontos exteriores mchoice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mediana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assimetria mchoice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coeficiente de bowley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pseudo sigma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pseudo variance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trimedia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