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both"/>
        <w:rPr>
          <w:rStyle w:val="Strong"/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jc w:val="both"/>
        <w:rPr>
          <w:rStyle w:val="Strong"/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jc w:val="both"/>
        <w:rPr>
          <w:rStyle w:val="Strong"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73605" cy="2173605"/>
            <wp:effectExtent l="0" t="0" r="0" b="0"/>
            <wp:wrapSquare wrapText="largest"/>
            <wp:docPr id="1" name="Immagin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2173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140" w:after="120"/>
        <w:jc w:val="center"/>
        <w:rPr>
          <w:rStyle w:val="Strong"/>
          <w:b/>
          <w:bCs/>
          <w:i/>
          <w:iCs/>
          <w:sz w:val="72"/>
          <w:szCs w:val="72"/>
        </w:rPr>
      </w:pPr>
      <w:r>
        <w:rPr>
          <w:b/>
          <w:bCs/>
          <w:i/>
          <w:iCs/>
          <w:sz w:val="72"/>
          <w:szCs w:val="72"/>
        </w:rPr>
      </w:r>
    </w:p>
    <w:p>
      <w:pPr>
        <w:pStyle w:val="BodyText"/>
        <w:bidi w:val="0"/>
        <w:spacing w:before="140" w:after="120"/>
        <w:jc w:val="center"/>
        <w:rPr>
          <w:rStyle w:val="Strong"/>
          <w:b/>
          <w:bCs/>
          <w:i/>
          <w:iCs/>
          <w:sz w:val="72"/>
          <w:szCs w:val="72"/>
        </w:rPr>
      </w:pPr>
      <w:r>
        <w:rPr>
          <w:b/>
          <w:bCs/>
          <w:i/>
          <w:iCs/>
          <w:sz w:val="72"/>
          <w:szCs w:val="72"/>
        </w:rPr>
      </w:r>
    </w:p>
    <w:p>
      <w:pPr>
        <w:pStyle w:val="BodyText"/>
        <w:bidi w:val="0"/>
        <w:spacing w:before="140" w:after="120"/>
        <w:jc w:val="center"/>
        <w:rPr>
          <w:rStyle w:val="Strong"/>
          <w:b/>
          <w:bCs/>
          <w:i/>
          <w:iCs/>
          <w:sz w:val="72"/>
          <w:szCs w:val="72"/>
        </w:rPr>
      </w:pPr>
      <w:r>
        <w:rPr>
          <w:b/>
          <w:bCs/>
          <w:i/>
          <w:iCs/>
          <w:sz w:val="72"/>
          <w:szCs w:val="72"/>
        </w:rPr>
      </w:r>
    </w:p>
    <w:p>
      <w:pPr>
        <w:pStyle w:val="BodyText"/>
        <w:bidi w:val="0"/>
        <w:spacing w:before="140" w:after="120"/>
        <w:jc w:val="center"/>
        <w:rPr/>
      </w:pPr>
      <w:r>
        <w:rPr>
          <w:rStyle w:val="Strong"/>
          <w:b/>
          <w:bCs/>
          <w:i/>
          <w:iCs/>
          <w:sz w:val="96"/>
          <w:szCs w:val="96"/>
        </w:rPr>
        <w:t>Flux Scanner</w:t>
      </w:r>
    </w:p>
    <w:p>
      <w:pPr>
        <w:pStyle w:val="BodyText"/>
        <w:bidi w:val="0"/>
        <w:spacing w:before="140" w:after="120"/>
        <w:jc w:val="center"/>
        <w:rPr>
          <w:rStyle w:val="Strong"/>
          <w:b/>
          <w:bCs/>
          <w:i/>
          <w:iCs/>
          <w:sz w:val="80"/>
          <w:szCs w:val="80"/>
        </w:rPr>
      </w:pPr>
      <w:r>
        <w:rPr>
          <w:b/>
          <w:bCs/>
          <w:i/>
          <w:iCs/>
          <w:sz w:val="80"/>
          <w:szCs w:val="80"/>
        </w:rPr>
      </w:r>
    </w:p>
    <w:p>
      <w:pPr>
        <w:pStyle w:val="BodyText"/>
        <w:bidi w:val="0"/>
        <w:spacing w:before="140" w:after="120"/>
        <w:jc w:val="center"/>
        <w:rPr/>
      </w:pPr>
      <w:r>
        <w:rPr>
          <w:rStyle w:val="Strong"/>
          <w:b w:val="false"/>
          <w:bCs w:val="false"/>
          <w:i w:val="false"/>
          <w:iCs w:val="false"/>
          <w:sz w:val="52"/>
          <w:szCs w:val="52"/>
        </w:rPr>
        <w:t>MANUALE UTENTE</w:t>
      </w:r>
    </w:p>
    <w:p>
      <w:pPr>
        <w:pStyle w:val="BodyText"/>
        <w:bidi w:val="0"/>
        <w:spacing w:before="140" w:after="120"/>
        <w:jc w:val="center"/>
        <w:rPr>
          <w:rStyle w:val="Strong"/>
          <w:b w:val="false"/>
          <w:bCs w:val="false"/>
          <w:i w:val="false"/>
          <w:iCs w:val="false"/>
          <w:sz w:val="40"/>
          <w:szCs w:val="40"/>
        </w:rPr>
      </w:pPr>
      <w:r>
        <w:rPr>
          <w:b w:val="false"/>
          <w:bCs w:val="false"/>
          <w:i w:val="false"/>
          <w:iCs w:val="false"/>
          <w:sz w:val="40"/>
          <w:szCs w:val="40"/>
        </w:rPr>
      </w:r>
    </w:p>
    <w:p>
      <w:pPr>
        <w:pStyle w:val="BodyText"/>
        <w:bidi w:val="0"/>
        <w:spacing w:before="140" w:after="120"/>
        <w:jc w:val="center"/>
        <w:rPr/>
      </w:pPr>
      <w:r>
        <w:rPr>
          <w:rStyle w:val="Strong"/>
          <w:b w:val="false"/>
          <w:bCs w:val="false"/>
          <w:i w:val="false"/>
          <w:iCs w:val="false"/>
          <w:sz w:val="40"/>
          <w:szCs w:val="40"/>
        </w:rPr>
        <w:t>Rev. 1.0</w:t>
      </w:r>
    </w:p>
    <w:p>
      <w:pPr>
        <w:pStyle w:val="BodyText"/>
        <w:bidi w:val="0"/>
        <w:spacing w:before="140" w:after="120"/>
        <w:jc w:val="center"/>
        <w:rPr>
          <w:rStyle w:val="Strong"/>
          <w:b w:val="false"/>
          <w:bCs w:val="false"/>
          <w:i w:val="false"/>
          <w:iCs w:val="false"/>
          <w:sz w:val="40"/>
          <w:szCs w:val="40"/>
        </w:rPr>
      </w:pPr>
      <w:r>
        <w:rPr>
          <w:b w:val="false"/>
          <w:bCs w:val="false"/>
          <w:i w:val="false"/>
          <w:iCs w:val="false"/>
          <w:sz w:val="40"/>
          <w:szCs w:val="40"/>
        </w:rPr>
      </w:r>
    </w:p>
    <w:p>
      <w:pPr>
        <w:pStyle w:val="BodyText"/>
        <w:bidi w:val="0"/>
        <w:spacing w:before="140" w:after="120"/>
        <w:jc w:val="center"/>
        <w:rPr>
          <w:rStyle w:val="Strong"/>
          <w:b w:val="false"/>
          <w:bCs w:val="false"/>
          <w:i w:val="false"/>
          <w:iCs w:val="false"/>
          <w:sz w:val="40"/>
          <w:szCs w:val="40"/>
        </w:rPr>
      </w:pPr>
      <w:r>
        <w:rPr>
          <w:b w:val="false"/>
          <w:bCs w:val="false"/>
          <w:i w:val="false"/>
          <w:iCs w:val="false"/>
          <w:sz w:val="40"/>
          <w:szCs w:val="40"/>
        </w:rPr>
      </w:r>
    </w:p>
    <w:p>
      <w:pPr>
        <w:pStyle w:val="BodyText"/>
        <w:bidi w:val="0"/>
        <w:spacing w:before="140" w:after="120"/>
        <w:jc w:val="cent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2637155</wp:posOffset>
            </wp:positionH>
            <wp:positionV relativeFrom="paragraph">
              <wp:posOffset>-52070</wp:posOffset>
            </wp:positionV>
            <wp:extent cx="926465" cy="716280"/>
            <wp:effectExtent l="0" t="0" r="0" b="0"/>
            <wp:wrapSquare wrapText="largest"/>
            <wp:docPr id="2" name="Immagin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465" cy="71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140" w:after="120"/>
        <w:jc w:val="center"/>
        <w:rPr/>
      </w:pPr>
      <w:r>
        <w:rPr/>
      </w:r>
    </w:p>
    <w:p>
      <w:pPr>
        <w:pStyle w:val="BodyText"/>
        <w:bidi w:val="0"/>
        <w:spacing w:before="140" w:after="120"/>
        <w:jc w:val="center"/>
        <w:rPr/>
      </w:pPr>
      <w:r>
        <w:rPr/>
      </w:r>
    </w:p>
    <w:p>
      <w:pPr>
        <w:pStyle w:val="BodyText"/>
        <w:bidi w:val="0"/>
        <w:spacing w:before="140" w:after="120"/>
        <w:jc w:val="center"/>
        <w:rPr/>
      </w:pPr>
      <w:r>
        <w:rPr>
          <w:rStyle w:val="Strong"/>
          <w:b w:val="false"/>
          <w:bCs w:val="false"/>
          <w:i w:val="false"/>
          <w:iCs w:val="false"/>
          <w:sz w:val="36"/>
          <w:szCs w:val="36"/>
        </w:rPr>
        <w:t>Istituto Istruzione Superiore</w:t>
      </w:r>
    </w:p>
    <w:p>
      <w:pPr>
        <w:pStyle w:val="BodyText"/>
        <w:bidi w:val="0"/>
        <w:spacing w:before="140" w:after="120"/>
        <w:jc w:val="center"/>
        <w:rPr/>
      </w:pPr>
      <w:r>
        <w:rPr>
          <w:rStyle w:val="Strong"/>
          <w:b w:val="false"/>
          <w:bCs w:val="false"/>
          <w:i w:val="false"/>
          <w:iCs w:val="false"/>
          <w:sz w:val="36"/>
          <w:szCs w:val="36"/>
        </w:rPr>
        <w:t>“</w:t>
      </w:r>
      <w:r>
        <w:rPr>
          <w:rStyle w:val="Strong"/>
          <w:b w:val="false"/>
          <w:bCs w:val="false"/>
          <w:i w:val="false"/>
          <w:iCs w:val="false"/>
          <w:sz w:val="36"/>
          <w:szCs w:val="36"/>
        </w:rPr>
        <w:t>Alessandro Volta”</w:t>
      </w:r>
    </w:p>
    <w:p>
      <w:pPr>
        <w:pStyle w:val="BodyText"/>
        <w:bidi w:val="0"/>
        <w:spacing w:before="140" w:after="120"/>
        <w:jc w:val="center"/>
        <w:rPr/>
      </w:pPr>
      <w:r>
        <w:rPr>
          <w:rStyle w:val="Strong"/>
          <w:b w:val="false"/>
          <w:bCs w:val="false"/>
          <w:i w:val="false"/>
          <w:iCs w:val="false"/>
          <w:sz w:val="36"/>
          <w:szCs w:val="36"/>
        </w:rPr>
        <w:t>Frosinone</w:t>
      </w:r>
      <w:r>
        <w:br w:type="page"/>
      </w:r>
    </w:p>
    <w:p>
      <w:pPr>
        <w:pStyle w:val="BodyText"/>
        <w:bidi w:val="0"/>
        <w:spacing w:before="0" w:after="120"/>
        <w:jc w:val="both"/>
        <w:rPr>
          <w:rStyle w:val="Strong"/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jc w:val="both"/>
        <w:rPr>
          <w:rStyle w:val="Strong"/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jc w:val="both"/>
        <w:rPr>
          <w:rStyle w:val="Strong"/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jc w:val="both"/>
        <w:rPr>
          <w:rStyle w:val="Strong"/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jc w:val="both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740015" cy="3959860"/>
            <wp:effectExtent l="0" t="0" r="0" b="0"/>
            <wp:wrapSquare wrapText="largest"/>
            <wp:docPr id="3" name="Immagin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015" cy="395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b w:val="false"/>
          <w:bCs w:val="false"/>
        </w:rPr>
        <w:t>1 – Viti di regolazione orizzontale supporti</w:t>
      </w:r>
    </w:p>
    <w:p>
      <w:pPr>
        <w:pStyle w:val="BodyText"/>
        <w:bidi w:val="0"/>
        <w:spacing w:before="140" w:after="120"/>
        <w:jc w:val="both"/>
        <w:rPr/>
      </w:pPr>
      <w:r>
        <w:rPr>
          <w:rStyle w:val="Strong"/>
          <w:b w:val="false"/>
          <w:bCs w:val="false"/>
        </w:rPr>
        <w:t>2 – Culle di alloggio solenoide</w:t>
      </w:r>
    </w:p>
    <w:p>
      <w:pPr>
        <w:pStyle w:val="BodyText"/>
        <w:bidi w:val="0"/>
        <w:spacing w:before="140" w:after="120"/>
        <w:jc w:val="both"/>
        <w:rPr/>
      </w:pPr>
      <w:r>
        <w:rPr>
          <w:rStyle w:val="Strong"/>
          <w:b w:val="false"/>
          <w:bCs w:val="false"/>
        </w:rPr>
        <w:t>3 – Dip-switch per configurazione microstepping</w:t>
      </w:r>
    </w:p>
    <w:p>
      <w:pPr>
        <w:pStyle w:val="BodyText"/>
        <w:bidi w:val="0"/>
        <w:spacing w:before="140" w:after="120"/>
        <w:jc w:val="both"/>
        <w:rPr/>
      </w:pPr>
      <w:r>
        <w:rPr>
          <w:rStyle w:val="Strong"/>
          <w:b w:val="false"/>
          <w:bCs w:val="false"/>
        </w:rPr>
        <w:t>4 – Porta USB per collegamento al PC</w:t>
      </w:r>
    </w:p>
    <w:p>
      <w:pPr>
        <w:pStyle w:val="BodyText"/>
        <w:bidi w:val="0"/>
        <w:spacing w:before="140" w:after="120"/>
        <w:jc w:val="both"/>
        <w:rPr/>
      </w:pPr>
      <w:r>
        <w:rPr>
          <w:rStyle w:val="Strong"/>
          <w:b w:val="false"/>
          <w:bCs w:val="false"/>
        </w:rPr>
        <w:t>5 – Ghiera di centratura</w:t>
      </w:r>
    </w:p>
    <w:p>
      <w:pPr>
        <w:pStyle w:val="BodyText"/>
        <w:bidi w:val="0"/>
        <w:spacing w:before="140" w:after="120"/>
        <w:jc w:val="both"/>
        <w:rPr/>
      </w:pPr>
      <w:r>
        <w:rPr>
          <w:rStyle w:val="Strong"/>
          <w:b w:val="false"/>
          <w:bCs w:val="false"/>
        </w:rPr>
        <w:t>6 - Vite trapezoidale</w:t>
      </w:r>
    </w:p>
    <w:p>
      <w:pPr>
        <w:pStyle w:val="BodyText"/>
        <w:bidi w:val="0"/>
        <w:spacing w:before="140" w:after="120"/>
        <w:jc w:val="both"/>
        <w:rPr/>
      </w:pPr>
      <w:r>
        <w:rPr>
          <w:rStyle w:val="Strong"/>
          <w:b w:val="false"/>
          <w:bCs w:val="false"/>
        </w:rPr>
        <w:t>7 – Viti di regolazione verticale supporti</w:t>
      </w:r>
    </w:p>
    <w:p>
      <w:pPr>
        <w:pStyle w:val="BodyText"/>
        <w:bidi w:val="0"/>
        <w:spacing w:before="140" w:after="120"/>
        <w:jc w:val="both"/>
        <w:rPr/>
      </w:pPr>
      <w:r>
        <w:rPr>
          <w:rStyle w:val="Strong"/>
          <w:b w:val="false"/>
          <w:bCs w:val="false"/>
        </w:rPr>
        <w:t>8 – Indicatore a lancetta</w:t>
      </w:r>
    </w:p>
    <w:p>
      <w:pPr>
        <w:pStyle w:val="BodyText"/>
        <w:bidi w:val="0"/>
        <w:spacing w:before="140" w:after="120"/>
        <w:jc w:val="both"/>
        <w:rPr/>
      </w:pPr>
      <w:r>
        <w:rPr>
          <w:rStyle w:val="Strong"/>
          <w:b w:val="false"/>
          <w:bCs w:val="false"/>
        </w:rPr>
        <w:t>9 – Vite di serraggio scala millimetrata</w:t>
      </w:r>
    </w:p>
    <w:p>
      <w:pPr>
        <w:pStyle w:val="BodyText"/>
        <w:bidi w:val="0"/>
        <w:spacing w:before="140" w:after="120"/>
        <w:jc w:val="both"/>
        <w:rPr/>
      </w:pPr>
      <w:r>
        <w:rPr>
          <w:rStyle w:val="Strong"/>
          <w:b w:val="false"/>
          <w:bCs w:val="false"/>
        </w:rPr>
        <w:t>10 – Pomello per regolazione scala millimetrata</w:t>
      </w:r>
    </w:p>
    <w:p>
      <w:pPr>
        <w:pStyle w:val="BodyText"/>
        <w:bidi w:val="0"/>
        <w:spacing w:before="140" w:after="120"/>
        <w:jc w:val="both"/>
        <w:rPr>
          <w:rStyle w:val="Strong"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3"/>
        <w:bidi w:val="0"/>
        <w:spacing w:before="0" w:after="120"/>
        <w:jc w:val="both"/>
        <w:rPr/>
      </w:pPr>
      <w:r>
        <w:rPr>
          <w:rStyle w:val="Strong"/>
          <w:b/>
          <w:bCs/>
        </w:rPr>
        <w:t>Indice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852" w:leader="none"/>
        </w:tabs>
        <w:suppressAutoHyphens w:val="true"/>
        <w:bidi w:val="0"/>
        <w:spacing w:lineRule="auto" w:line="276" w:before="0" w:after="140"/>
        <w:ind w:hanging="283" w:start="737" w:end="0"/>
        <w:jc w:val="both"/>
        <w:rPr/>
      </w:pPr>
      <w:r>
        <w:rPr>
          <w:rStyle w:val="Strong"/>
        </w:rPr>
        <w:t>Installazione del solenoide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792" w:leader="none"/>
        </w:tabs>
        <w:suppressAutoHyphens w:val="true"/>
        <w:bidi w:val="0"/>
        <w:spacing w:lineRule="auto" w:line="276" w:before="0" w:after="140"/>
        <w:ind w:hanging="283" w:start="737" w:end="0"/>
        <w:jc w:val="both"/>
        <w:rPr/>
      </w:pPr>
      <w:r>
        <w:rPr>
          <w:rStyle w:val="Strong"/>
        </w:rPr>
        <w:t>Impostazione microstepping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852" w:leader="none"/>
        </w:tabs>
        <w:suppressAutoHyphens w:val="true"/>
        <w:bidi w:val="0"/>
        <w:spacing w:lineRule="auto" w:line="276" w:before="0" w:after="140"/>
        <w:ind w:hanging="283" w:start="737" w:end="0"/>
        <w:jc w:val="both"/>
        <w:rPr/>
      </w:pPr>
      <w:r>
        <w:rPr>
          <w:rStyle w:val="Strong"/>
        </w:rPr>
        <w:t>Collegamento al PC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852" w:leader="none"/>
        </w:tabs>
        <w:suppressAutoHyphens w:val="true"/>
        <w:bidi w:val="0"/>
        <w:spacing w:lineRule="auto" w:line="276" w:before="0" w:after="140"/>
        <w:ind w:hanging="283" w:start="737" w:end="0"/>
        <w:jc w:val="both"/>
        <w:rPr/>
      </w:pPr>
      <w:r>
        <w:rPr>
          <w:rStyle w:val="Strong"/>
        </w:rPr>
        <w:t>Impostazione porta seriale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852" w:leader="none"/>
        </w:tabs>
        <w:suppressAutoHyphens w:val="true"/>
        <w:bidi w:val="0"/>
        <w:spacing w:lineRule="auto" w:line="276" w:before="0" w:after="140"/>
        <w:ind w:hanging="283" w:start="737" w:end="0"/>
        <w:jc w:val="both"/>
        <w:rPr/>
      </w:pPr>
      <w:r>
        <w:rPr>
          <w:rStyle w:val="Strong"/>
        </w:rPr>
        <w:t>Impostazione parametri di funzionamento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852" w:leader="none"/>
        </w:tabs>
        <w:suppressAutoHyphens w:val="true"/>
        <w:bidi w:val="0"/>
        <w:spacing w:lineRule="auto" w:line="276" w:before="0" w:after="140"/>
        <w:ind w:hanging="283" w:start="737" w:end="0"/>
        <w:jc w:val="both"/>
        <w:rPr/>
      </w:pPr>
      <w:r>
        <w:rPr>
          <w:rStyle w:val="Strong"/>
        </w:rPr>
        <w:t>Impostazione degli Intervalli High Resolution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852" w:leader="none"/>
        </w:tabs>
        <w:suppressAutoHyphens w:val="true"/>
        <w:bidi w:val="0"/>
        <w:spacing w:lineRule="auto" w:line="276" w:before="0" w:after="140"/>
        <w:ind w:hanging="283" w:start="737" w:end="0"/>
        <w:jc w:val="both"/>
        <w:rPr/>
      </w:pPr>
      <w:r>
        <w:rPr>
          <w:rStyle w:val="Strong"/>
        </w:rPr>
        <w:t>Test di funzionamento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852" w:leader="none"/>
        </w:tabs>
        <w:suppressAutoHyphens w:val="true"/>
        <w:bidi w:val="0"/>
        <w:spacing w:lineRule="auto" w:line="276" w:before="0" w:after="140"/>
        <w:ind w:hanging="283" w:start="737" w:end="0"/>
        <w:jc w:val="both"/>
        <w:rPr/>
      </w:pPr>
      <w:r>
        <w:rPr>
          <w:rStyle w:val="Strong"/>
        </w:rPr>
        <w:t>Calibrazione meccanica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852" w:leader="none"/>
        </w:tabs>
        <w:suppressAutoHyphens w:val="true"/>
        <w:bidi w:val="0"/>
        <w:spacing w:lineRule="auto" w:line="276" w:before="0" w:after="140"/>
        <w:ind w:hanging="283" w:start="737" w:end="0"/>
        <w:jc w:val="both"/>
        <w:rPr/>
      </w:pPr>
      <w:r>
        <w:rPr>
          <w:rStyle w:val="Strong"/>
        </w:rPr>
        <w:t>Allineamento della scala millimetrata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732" w:leader="none"/>
        </w:tabs>
        <w:bidi w:val="0"/>
        <w:ind w:hanging="283" w:start="709" w:end="0"/>
        <w:jc w:val="both"/>
        <w:rPr/>
      </w:pPr>
      <w:r>
        <w:rPr>
          <w:rStyle w:val="Strong"/>
        </w:rPr>
        <w:t>Determinazione e impostazione posizione iniziale e posizione finale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709" w:leader="none"/>
        </w:tabs>
        <w:suppressAutoHyphens w:val="true"/>
        <w:bidi w:val="0"/>
        <w:spacing w:lineRule="auto" w:line="276" w:before="0" w:after="140"/>
        <w:ind w:hanging="283" w:start="680" w:end="0"/>
        <w:jc w:val="both"/>
        <w:rPr/>
      </w:pPr>
      <w:r>
        <w:rPr>
          <w:rStyle w:val="Strong"/>
        </w:rPr>
        <w:t>Calibrazione sensori Hall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709" w:leader="none"/>
        </w:tabs>
        <w:suppressAutoHyphens w:val="true"/>
        <w:bidi w:val="0"/>
        <w:spacing w:lineRule="auto" w:line="276" w:before="0" w:after="140"/>
        <w:ind w:hanging="283" w:start="680" w:end="0"/>
        <w:jc w:val="both"/>
        <w:rPr/>
      </w:pPr>
      <w:r>
        <w:rPr>
          <w:rStyle w:val="Strong"/>
        </w:rPr>
        <w:t>Coordinate assolute e coordinate relative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732" w:leader="none"/>
        </w:tabs>
        <w:suppressAutoHyphens w:val="true"/>
        <w:bidi w:val="0"/>
        <w:spacing w:lineRule="auto" w:line="276" w:before="0" w:after="140"/>
        <w:ind w:hanging="283" w:start="680" w:end="0"/>
        <w:jc w:val="both"/>
        <w:rPr/>
      </w:pPr>
      <w:r>
        <w:rPr>
          <w:rStyle w:val="Strong"/>
        </w:rPr>
        <w:t>Dashboard di controllo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both"/>
        <w:rPr/>
      </w:pPr>
      <w:r>
        <w:rPr/>
        <w:tab/>
        <w:tab/>
        <w:t xml:space="preserve">13.1 </w:t>
      </w:r>
      <w:r>
        <w:rPr>
          <w:rStyle w:val="Strong"/>
        </w:rPr>
        <w:t>Pulsanti di controllo movimento e scansione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both"/>
        <w:rPr/>
      </w:pPr>
      <w:r>
        <w:rPr/>
        <w:tab/>
        <w:tab/>
        <w:t xml:space="preserve">13.2 </w:t>
      </w:r>
      <w:r>
        <w:rPr>
          <w:rStyle w:val="Strong"/>
        </w:rPr>
        <w:t>Stato e posizione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both"/>
        <w:rPr/>
      </w:pPr>
      <w:r>
        <w:rPr/>
        <w:tab/>
        <w:tab/>
        <w:t xml:space="preserve">13.3 </w:t>
      </w:r>
      <w:r>
        <w:rPr>
          <w:rStyle w:val="Strong"/>
        </w:rPr>
        <w:t>Tabella dei valori acquisiti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both"/>
        <w:rPr/>
      </w:pPr>
      <w:r>
        <w:rPr/>
        <w:tab/>
        <w:tab/>
        <w:t xml:space="preserve">13.4 </w:t>
      </w:r>
      <w:r>
        <w:rPr>
          <w:rStyle w:val="Strong"/>
        </w:rPr>
        <w:t>Grafico dei valori acquisiti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both"/>
        <w:rPr/>
      </w:pPr>
      <w:r>
        <w:rPr>
          <w:rStyle w:val="Strong"/>
          <w:b w:val="false"/>
          <w:bCs w:val="false"/>
        </w:rPr>
        <w:tab/>
        <w:tab/>
        <w:t>13.5</w:t>
      </w:r>
      <w:r>
        <w:rPr>
          <w:rStyle w:val="Strong"/>
        </w:rPr>
        <w:t xml:space="preserve"> </w:t>
      </w:r>
      <w:r>
        <w:rPr>
          <w:rStyle w:val="Strong"/>
          <w:sz w:val="24"/>
          <w:szCs w:val="24"/>
        </w:rPr>
        <w:t>Indicatori IntB e ΔIntB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732" w:leader="none"/>
        </w:tabs>
        <w:bidi w:val="0"/>
        <w:ind w:hanging="283" w:start="709" w:end="0"/>
        <w:jc w:val="both"/>
        <w:rPr/>
      </w:pPr>
      <w:r>
        <w:rPr>
          <w:rStyle w:val="Strong"/>
        </w:rPr>
        <w:t>Operazione di Scansione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both"/>
        <w:rPr/>
      </w:pPr>
      <w:r>
        <w:rPr/>
        <w:tab/>
        <w:tab/>
        <w:t xml:space="preserve">14.1 </w:t>
      </w:r>
      <w:r>
        <w:rPr>
          <w:rStyle w:val="Strong"/>
        </w:rPr>
        <w:t>Avvio della scansione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both"/>
        <w:rPr/>
      </w:pPr>
      <w:r>
        <w:rPr/>
        <w:tab/>
        <w:tab/>
        <w:t xml:space="preserve">14.2 </w:t>
      </w:r>
      <w:r>
        <w:rPr>
          <w:rStyle w:val="Strong"/>
        </w:rPr>
        <w:t>Svolgimento della scansione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both"/>
        <w:rPr/>
      </w:pPr>
      <w:r>
        <w:rPr/>
        <w:tab/>
        <w:tab/>
        <w:t xml:space="preserve">14.3 </w:t>
      </w:r>
      <w:r>
        <w:rPr>
          <w:rStyle w:val="Strong"/>
        </w:rPr>
        <w:t>Visualizzazione dei dati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both"/>
        <w:rPr/>
      </w:pPr>
      <w:r>
        <w:rPr/>
        <w:tab/>
        <w:tab/>
        <w:t xml:space="preserve">14.4 </w:t>
      </w:r>
      <w:r>
        <w:rPr>
          <w:rStyle w:val="Strong"/>
        </w:rPr>
        <w:t>Completamento della scansione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both"/>
        <w:rPr/>
      </w:pPr>
      <w:r>
        <w:rPr/>
        <w:tab/>
        <w:tab/>
        <w:t xml:space="preserve">14.5 </w:t>
      </w:r>
      <w:r>
        <w:rPr>
          <w:rStyle w:val="Strong"/>
        </w:rPr>
        <w:t>Interruzione della scansione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792" w:leader="none"/>
        </w:tabs>
        <w:suppressAutoHyphens w:val="true"/>
        <w:bidi w:val="0"/>
        <w:spacing w:lineRule="auto" w:line="276" w:before="0" w:after="140"/>
        <w:ind w:hanging="283" w:start="737" w:end="0"/>
        <w:jc w:val="both"/>
        <w:rPr/>
      </w:pPr>
      <w:r>
        <w:rPr>
          <w:rStyle w:val="Strong"/>
        </w:rPr>
        <w:t>Pulsante “Fit Gaussiano”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792" w:leader="none"/>
        </w:tabs>
        <w:suppressAutoHyphens w:val="true"/>
        <w:bidi w:val="0"/>
        <w:spacing w:lineRule="auto" w:line="276" w:before="0" w:after="140"/>
        <w:ind w:hanging="283" w:start="737" w:end="0"/>
        <w:jc w:val="both"/>
        <w:rPr/>
      </w:pPr>
      <w:r>
        <w:rPr>
          <w:rStyle w:val="Strong"/>
        </w:rPr>
        <w:t>Appendice 1 – Schema elettrico</w:t>
      </w:r>
    </w:p>
    <w:p>
      <w:pPr>
        <w:pStyle w:val="Heading1"/>
        <w:bidi w:val="0"/>
        <w:jc w:val="both"/>
        <w:rPr>
          <w:rStyle w:val="Strong"/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Heading1"/>
        <w:bidi w:val="0"/>
        <w:spacing w:before="0" w:after="120"/>
        <w:jc w:val="both"/>
        <w:rPr/>
      </w:pPr>
      <w:r>
        <w:rPr>
          <w:rStyle w:val="Strong"/>
          <w:b/>
          <w:bCs/>
        </w:rPr>
        <w:t>1. Installazione del solenoide</w:t>
      </w:r>
    </w:p>
    <w:p>
      <w:pPr>
        <w:pStyle w:val="BodyText"/>
        <w:bidi w:val="0"/>
        <w:ind w:hanging="0" w:start="0" w:end="0"/>
        <w:jc w:val="both"/>
        <w:rPr/>
      </w:pPr>
      <w:r>
        <w:rPr/>
        <w:t>L’installazione del solenoide richiede la rimozione preliminare della meccanica di scorrimento dalla base. Procedere come segue: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Rimuovere le due coppie di viti che fissano alla base il supporto lato motore e il supporto lato opposto (1).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Sollevare il supporto lato opposto (cioè il supporto non dotato di motore)</w:t>
      </w:r>
      <w:r>
        <w:rPr/>
        <w:t xml:space="preserve"> e farlo passare con cautela all’interno del solenoide. Eseguire questa operazione con la massima attenzione per evitare danneggiamenti.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Posizionare provvisoriamente i supporti</w:t>
      </w:r>
      <w:r>
        <w:rPr/>
        <w:t xml:space="preserve"> nella loro sede corretta.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Alloggiare il solenoide nelle apposite culle (2)</w:t>
      </w:r>
      <w:r>
        <w:rPr/>
        <w:t>, assicurandosi che uno dei bordi del cilindro sia in contatto con la superficie della culla lungo l’intera circonferenza.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Fissare stabilmente il solenoide</w:t>
      </w:r>
      <w:r>
        <w:rPr/>
        <w:t xml:space="preserve"> utilizzando fascette plastiche inserite negli appositi canali presenti sulle culle.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Rimontare i supporti</w:t>
      </w:r>
      <w:r>
        <w:rPr/>
        <w:t xml:space="preserve"> serrando nuovamente le viti di fissaggio.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Heading1"/>
        <w:bidi w:val="0"/>
        <w:jc w:val="both"/>
        <w:rPr/>
      </w:pPr>
      <w:r>
        <w:rPr>
          <w:rStyle w:val="Strong"/>
          <w:b/>
          <w:bCs/>
        </w:rPr>
        <w:t>2. Impostazione microstepping</w:t>
      </w:r>
    </w:p>
    <w:p>
      <w:pPr>
        <w:pStyle w:val="BodyText"/>
        <w:bidi w:val="0"/>
        <w:ind w:hanging="0" w:start="0" w:end="0"/>
        <w:jc w:val="both"/>
        <w:rPr/>
      </w:pPr>
      <w:r>
        <w:rPr>
          <w:rStyle w:val="Strong"/>
          <w:b/>
          <w:bCs/>
        </w:rPr>
        <w:t>Il microstepping del motore può essere configurato tramite i dip</w:t>
        <w:noBreakHyphen/>
        <w:t>switch</w:t>
      </w:r>
      <w:r>
        <w:rPr>
          <w:rStyle w:val="Strong"/>
          <w:b w:val="false"/>
          <w:bCs w:val="false"/>
        </w:rPr>
        <w:t xml:space="preserve"> (3) presenti sulla scheda di controllo.</w:t>
      </w:r>
      <w:r>
        <w:rPr>
          <w:rStyle w:val="Strong"/>
        </w:rPr>
        <w:t xml:space="preserve"> </w:t>
      </w:r>
      <w:r>
        <w:rPr>
          <w:rStyle w:val="Strong"/>
          <w:b w:val="false"/>
          <w:bCs w:val="false"/>
        </w:rPr>
        <w:t>La tabella seguente riporta le modalità disponibili, le corrispondenti posizioni degli switch e i valori risultanti di passi per giro e passi per millimetro:</w:t>
      </w:r>
    </w:p>
    <w:tbl>
      <w:tblPr>
        <w:tblW w:w="60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53"/>
        <w:gridCol w:w="659"/>
        <w:gridCol w:w="660"/>
        <w:gridCol w:w="659"/>
        <w:gridCol w:w="1499"/>
        <w:gridCol w:w="1537"/>
      </w:tblGrid>
      <w:tr>
        <w:trPr>
          <w:tblHeader w:val="true"/>
        </w:trPr>
        <w:tc>
          <w:tcPr>
            <w:tcW w:w="1053" w:type="dxa"/>
            <w:tcBorders/>
            <w:vAlign w:val="center"/>
          </w:tcPr>
          <w:p>
            <w:pPr>
              <w:pStyle w:val="Titolotabel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Modalità</w:t>
            </w:r>
          </w:p>
        </w:tc>
        <w:tc>
          <w:tcPr>
            <w:tcW w:w="659" w:type="dxa"/>
            <w:tcBorders/>
            <w:vAlign w:val="center"/>
          </w:tcPr>
          <w:p>
            <w:pPr>
              <w:pStyle w:val="Titolotabel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Dip 2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itolotabel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Dip 3</w:t>
            </w:r>
          </w:p>
        </w:tc>
        <w:tc>
          <w:tcPr>
            <w:tcW w:w="659" w:type="dxa"/>
            <w:tcBorders/>
            <w:vAlign w:val="center"/>
          </w:tcPr>
          <w:p>
            <w:pPr>
              <w:pStyle w:val="Titolotabel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Dip 4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Titolotabel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Passi per giro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itolotabel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Passi per mm</w:t>
            </w:r>
          </w:p>
        </w:tc>
      </w:tr>
      <w:tr>
        <w:trPr/>
        <w:tc>
          <w:tcPr>
            <w:tcW w:w="105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Full step</w:t>
            </w:r>
          </w:p>
        </w:tc>
        <w:tc>
          <w:tcPr>
            <w:tcW w:w="65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ON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ON</w:t>
            </w:r>
          </w:p>
        </w:tc>
        <w:tc>
          <w:tcPr>
            <w:tcW w:w="65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ON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200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25</w:t>
            </w:r>
          </w:p>
        </w:tc>
      </w:tr>
      <w:tr>
        <w:trPr/>
        <w:tc>
          <w:tcPr>
            <w:tcW w:w="105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1/2 step</w:t>
            </w:r>
          </w:p>
        </w:tc>
        <w:tc>
          <w:tcPr>
            <w:tcW w:w="65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ON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ON</w:t>
            </w:r>
          </w:p>
        </w:tc>
        <w:tc>
          <w:tcPr>
            <w:tcW w:w="65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OFF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400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50</w:t>
            </w:r>
          </w:p>
        </w:tc>
      </w:tr>
      <w:tr>
        <w:trPr/>
        <w:tc>
          <w:tcPr>
            <w:tcW w:w="105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1/4 step</w:t>
            </w:r>
          </w:p>
        </w:tc>
        <w:tc>
          <w:tcPr>
            <w:tcW w:w="65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ON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OFF</w:t>
            </w:r>
          </w:p>
        </w:tc>
        <w:tc>
          <w:tcPr>
            <w:tcW w:w="65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ON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800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1053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1/8 step</w:t>
            </w:r>
          </w:p>
        </w:tc>
        <w:tc>
          <w:tcPr>
            <w:tcW w:w="65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ON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OFF</w:t>
            </w:r>
          </w:p>
        </w:tc>
        <w:tc>
          <w:tcPr>
            <w:tcW w:w="65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OFF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1600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200</w:t>
            </w:r>
          </w:p>
        </w:tc>
      </w:tr>
    </w:tbl>
    <w:p>
      <w:pPr>
        <w:pStyle w:val="Normal"/>
        <w:bidi w:val="0"/>
        <w:ind w:hanging="0" w:start="0" w:end="0"/>
        <w:jc w:val="both"/>
        <w:rPr>
          <w:rStyle w:val="Emphasis"/>
        </w:rPr>
      </w:pPr>
      <w:r>
        <w:rPr/>
      </w:r>
    </w:p>
    <w:p>
      <w:pPr>
        <w:pStyle w:val="BodyText"/>
        <w:bidi w:val="0"/>
        <w:ind w:hanging="0" w:start="0" w:end="0"/>
        <w:jc w:val="both"/>
        <w:rPr/>
      </w:pPr>
      <w:r>
        <w:rPr>
          <w:b/>
          <w:bCs/>
        </w:rPr>
        <w:t>Per garantire un funzionamento ottimale</w:t>
      </w:r>
      <w:r>
        <w:rPr/>
        <w:t xml:space="preserve"> dell’apparato si consiglia di utilizzare l’impostazione </w:t>
      </w:r>
      <w:r>
        <w:rPr>
          <w:rStyle w:val="Strong"/>
        </w:rPr>
        <w:t>1/8 step</w:t>
      </w:r>
      <w:r>
        <w:rPr/>
        <w:t>, che rappresenta il miglior compromesso tra fluidità di movimento, precisione e carico computazionale.</w:t>
      </w:r>
    </w:p>
    <w:p>
      <w:pPr>
        <w:pStyle w:val="BodyText"/>
        <w:bidi w:val="0"/>
        <w:ind w:hanging="0" w:start="0" w:end="0"/>
        <w:jc w:val="both"/>
        <w:rPr>
          <w:rStyle w:val="Strong"/>
        </w:rPr>
      </w:pPr>
      <w:r>
        <w:rPr/>
      </w:r>
    </w:p>
    <w:p>
      <w:pPr>
        <w:pStyle w:val="Heading1"/>
        <w:bidi w:val="0"/>
        <w:jc w:val="both"/>
        <w:rPr/>
      </w:pPr>
      <w:r>
        <w:rPr>
          <w:rStyle w:val="Strong"/>
          <w:b/>
          <w:bCs/>
        </w:rPr>
        <w:t>3. Collegamento al PC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L’applicazione software </w:t>
      </w:r>
      <w:r>
        <w:rPr>
          <w:rStyle w:val="Emphasis"/>
        </w:rPr>
        <w:t>Flux Scanner</w:t>
      </w:r>
      <w:r>
        <w:rPr/>
        <w:t xml:space="preserve"> non richiede un’installazione dedicata. È sufficiente decomprimere il contenuto del file </w:t>
      </w:r>
      <w:r>
        <w:rPr>
          <w:rStyle w:val="Strong"/>
        </w:rPr>
        <w:t>FluxScanner.zip</w:t>
      </w:r>
      <w:r>
        <w:rPr/>
        <w:t xml:space="preserve"> in una cartella qualsiasi di un PC dotato di Windows 10 o Windows 11.</w:t>
      </w:r>
    </w:p>
    <w:p>
      <w:pPr>
        <w:pStyle w:val="BodyText"/>
        <w:bidi w:val="0"/>
        <w:ind w:hanging="0" w:start="0" w:end="0"/>
        <w:jc w:val="both"/>
        <w:rPr/>
      </w:pPr>
      <w:r>
        <w:rPr/>
        <w:t>Procedere quindi come segue: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Collegare il cavo USB</w:t>
      </w:r>
      <w:r>
        <w:rPr/>
        <w:t xml:space="preserve"> all’apparato (4) e a una porta USB del PC. Al primo collegamento, Windows potrebbe richiedere l’installazione automatica del driver della porta seriale virtuale.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Alimentare il motore</w:t>
      </w:r>
      <w:r>
        <w:rPr/>
        <w:t xml:space="preserve"> collegando l’alimentatore </w:t>
      </w:r>
      <w:r>
        <w:rPr>
          <w:rStyle w:val="Strong"/>
        </w:rPr>
        <w:t xml:space="preserve">12 V / 2 A </w:t>
      </w:r>
      <w:r>
        <w:rPr>
          <w:rStyle w:val="Strong"/>
          <w:b w:val="false"/>
          <w:bCs w:val="false"/>
        </w:rPr>
        <w:t>all’apposita presa (5)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Avviare l’applicazione Flux Scanner</w:t>
      </w:r>
      <w:r>
        <w:rPr/>
        <w:t xml:space="preserve"> eseguendo il file </w:t>
      </w:r>
      <w:r>
        <w:rPr>
          <w:rStyle w:val="Strong"/>
        </w:rPr>
        <w:t>AcmeUI.exe</w:t>
      </w:r>
      <w:r>
        <w:rPr/>
        <w:t xml:space="preserve"> presente nella cartella in cui è stato estratto il contenuto dello ZIP.</w:t>
      </w:r>
    </w:p>
    <w:p>
      <w:pPr>
        <w:pStyle w:val="BodyText"/>
        <w:bidi w:val="0"/>
        <w:ind w:hanging="0" w:start="0" w:end="0"/>
        <w:jc w:val="both"/>
        <w:rPr/>
      </w:pPr>
      <w:r>
        <w:rPr/>
      </w:r>
    </w:p>
    <w:p>
      <w:pPr>
        <w:pStyle w:val="Heading1"/>
        <w:bidi w:val="0"/>
        <w:ind w:hanging="0" w:start="0" w:end="0"/>
        <w:jc w:val="both"/>
        <w:rPr/>
      </w:pPr>
      <w:r>
        <w:rPr>
          <w:rStyle w:val="Strong"/>
          <w:b/>
          <w:bCs/>
        </w:rPr>
        <w:t>4. Impostazione porta seriale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Per configurare la comunicazione tra l’applicazione </w:t>
      </w:r>
      <w:r>
        <w:rPr>
          <w:rStyle w:val="Emphasis"/>
        </w:rPr>
        <w:t>Flux Scanner</w:t>
      </w:r>
      <w:r>
        <w:rPr/>
        <w:t xml:space="preserve"> e l’apparato, procedere come segue: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Selezionare l’opzione Impostazioni locali</w:t>
      </w:r>
      <w:r>
        <w:rPr/>
        <w:t xml:space="preserve"> dal menu </w:t>
      </w:r>
      <w:r>
        <w:rPr>
          <w:rStyle w:val="Emphasis"/>
        </w:rPr>
        <w:t>Impostazioni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Selezionare la porta COM</w:t>
      </w:r>
      <w:r>
        <w:rPr/>
        <w:t xml:space="preserve"> a cui è collegato l’apparato, scegliendola dall’elenco delle porte disponibili.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Impostare la velocità della porta seriale</w:t>
      </w:r>
      <w:r>
        <w:rPr/>
        <w:t xml:space="preserve"> al valore </w:t>
      </w:r>
      <w:r>
        <w:rPr>
          <w:rStyle w:val="Strong"/>
        </w:rPr>
        <w:t>1000000 baud</w:t>
      </w:r>
      <w:r>
        <w:rPr/>
        <w:t>, attualmente l’unico supportato dal sistema.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Cliccare sul pulsante Salva impostazioni</w:t>
      </w:r>
      <w:r>
        <w:rPr/>
        <w:t xml:space="preserve"> per confermare la configurazione.</w:t>
      </w:r>
    </w:p>
    <w:p>
      <w:pPr>
        <w:pStyle w:val="BodyText"/>
        <w:bidi w:val="0"/>
        <w:ind w:hanging="0" w:start="0" w:end="0"/>
        <w:jc w:val="both"/>
        <w:rPr/>
      </w:pPr>
      <w:r>
        <w:rPr/>
      </w:r>
    </w:p>
    <w:p>
      <w:pPr>
        <w:pStyle w:val="Heading1"/>
        <w:bidi w:val="0"/>
        <w:ind w:hanging="0" w:start="0" w:end="0"/>
        <w:jc w:val="both"/>
        <w:rPr/>
      </w:pPr>
      <w:r>
        <w:rPr>
          <w:rStyle w:val="Strong"/>
          <w:b/>
          <w:bCs/>
        </w:rPr>
        <w:t>5. Impostazione parametri di funzionamento</w:t>
      </w:r>
    </w:p>
    <w:p>
      <w:pPr>
        <w:pStyle w:val="BodyText"/>
        <w:bidi w:val="0"/>
        <w:ind w:hanging="0" w:start="0" w:end="0"/>
        <w:jc w:val="both"/>
        <w:rPr/>
      </w:pPr>
      <w:r>
        <w:rPr/>
        <w:t>Per configurare i parametri operativi dell’apparato, procedere come segue: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Selezionare l’opzione Funzionamento sistema</w:t>
      </w:r>
      <w:r>
        <w:rPr/>
        <w:t xml:space="preserve"> dal menu </w:t>
      </w:r>
      <w:r>
        <w:rPr>
          <w:rStyle w:val="Emphasis"/>
        </w:rPr>
        <w:t>Impostazioni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Impostare il valore Numero passi per mm</w:t>
      </w:r>
      <w:r>
        <w:rPr/>
        <w:t xml:space="preserve"> in base al microstepping selezionato, facendo riferimento alla tabella riportata nella sezione precedente.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Impostare il valore Passo Low Resolution</w:t>
      </w:r>
      <w:r>
        <w:rPr/>
        <w:t xml:space="preserve"> a un valore compreso tra </w:t>
      </w:r>
      <w:r>
        <w:rPr>
          <w:rStyle w:val="Strong"/>
        </w:rPr>
        <w:t>5 mm e 10 mm</w:t>
      </w:r>
      <w:r>
        <w:rPr/>
        <w:t xml:space="preserve"> (valore consigliato: </w:t>
      </w:r>
      <w:r>
        <w:rPr>
          <w:rStyle w:val="Strong"/>
        </w:rPr>
        <w:t>5 mm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Impostare il valore Passo High Resolution</w:t>
      </w:r>
      <w:r>
        <w:rPr/>
        <w:t xml:space="preserve"> a un valore compreso tra </w:t>
      </w:r>
      <w:r>
        <w:rPr>
          <w:rStyle w:val="Strong"/>
        </w:rPr>
        <w:t>1 mm e 4 mm</w:t>
      </w:r>
      <w:r>
        <w:rPr/>
        <w:t xml:space="preserve"> (valore consigliato: </w:t>
      </w:r>
      <w:r>
        <w:rPr>
          <w:rStyle w:val="Strong"/>
        </w:rPr>
        <w:t>2,5 mm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Impostare provvisoriamente il valore Posizione iniziale rispetto home</w:t>
      </w:r>
      <w:r>
        <w:rPr/>
        <w:t xml:space="preserve"> a </w:t>
      </w:r>
      <w:r>
        <w:rPr>
          <w:rStyle w:val="Strong"/>
        </w:rPr>
        <w:t>50 mm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Impostare provvisoriamente il valore Posizione finale rispetto home</w:t>
      </w:r>
      <w:r>
        <w:rPr/>
        <w:t xml:space="preserve"> a </w:t>
      </w:r>
      <w:r>
        <w:rPr>
          <w:rStyle w:val="Strong"/>
        </w:rPr>
        <w:t>100 mm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Impostare il valore Velocità Homing</w:t>
      </w:r>
      <w:r>
        <w:rPr/>
        <w:t xml:space="preserve"> a un valore compreso tra </w:t>
      </w:r>
      <w:r>
        <w:rPr>
          <w:rStyle w:val="Strong"/>
        </w:rPr>
        <w:t>10 mm/s e 30 mm/s</w:t>
      </w:r>
      <w:r>
        <w:rPr/>
        <w:t xml:space="preserve"> (valore consigliato: </w:t>
      </w:r>
      <w:r>
        <w:rPr>
          <w:rStyle w:val="Strong"/>
        </w:rPr>
        <w:t>20 mm/s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Impostare il valore Velocità Normale</w:t>
      </w:r>
      <w:r>
        <w:rPr/>
        <w:t xml:space="preserve"> a un valore compreso tra </w:t>
      </w:r>
      <w:r>
        <w:rPr>
          <w:rStyle w:val="Strong"/>
        </w:rPr>
        <w:t>10 mm/s e 30 mm/s</w:t>
      </w:r>
      <w:r>
        <w:rPr/>
        <w:t xml:space="preserve"> (valore consigliato: </w:t>
      </w:r>
      <w:r>
        <w:rPr>
          <w:rStyle w:val="Strong"/>
        </w:rPr>
        <w:t>20 mm/s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Impostare il valore Delay prima della singola lettura</w:t>
      </w:r>
      <w:r>
        <w:rPr/>
        <w:t xml:space="preserve"> a un valore compreso tra </w:t>
      </w:r>
      <w:r>
        <w:rPr>
          <w:rStyle w:val="Strong"/>
        </w:rPr>
        <w:t>1 ms e 2000 ms</w:t>
      </w:r>
      <w:r>
        <w:rPr/>
        <w:t xml:space="preserve"> (valore consigliato: </w:t>
      </w:r>
      <w:r>
        <w:rPr>
          <w:rStyle w:val="Strong"/>
        </w:rPr>
        <w:t>50 ms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Impostare il valore Durata ciclo singola lettura</w:t>
      </w:r>
      <w:r>
        <w:rPr/>
        <w:t xml:space="preserve"> a un valore compreso tra </w:t>
      </w:r>
      <w:r>
        <w:rPr>
          <w:rStyle w:val="Strong"/>
        </w:rPr>
        <w:t>1 ms e 500 ms</w:t>
      </w:r>
      <w:r>
        <w:rPr/>
        <w:t xml:space="preserve"> (valore consigliato: </w:t>
      </w:r>
      <w:r>
        <w:rPr>
          <w:rStyle w:val="Strong"/>
        </w:rPr>
        <w:t>100 ms</w:t>
      </w:r>
      <w:r>
        <w:rPr/>
        <w:t>).</w:t>
      </w:r>
    </w:p>
    <w:p>
      <w:pPr>
        <w:pStyle w:val="Heading1"/>
        <w:bidi w:val="0"/>
        <w:ind w:hanging="0" w:start="0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Nota tecnica sul calcolo del tempo totale di scansione</w:t>
      </w:r>
    </w:p>
    <w:p>
      <w:pPr>
        <w:pStyle w:val="BodyText"/>
        <w:bidi w:val="0"/>
        <w:ind w:hanging="0" w:start="0" w:end="0"/>
        <w:jc w:val="both"/>
        <w:rPr/>
      </w:pPr>
      <w:r>
        <w:rPr>
          <w:rStyle w:val="Strong"/>
        </w:rPr>
        <w:t>Tempo totale di scansione = tempo di movimento + tempo di lettura</w:t>
      </w:r>
      <w:r>
        <w:rPr/>
        <w:t>, dove: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il tempo di movimento</w:t>
      </w:r>
      <w:r>
        <w:rPr/>
        <w:t xml:space="preserve"> dipende dai passi LR/HR, dalla velocità impostata e dall’intervallo di scansione;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il tempo di lettura</w:t>
      </w:r>
      <w:r>
        <w:rPr/>
        <w:t xml:space="preserve"> dipende dal </w:t>
      </w:r>
      <w:r>
        <w:rPr>
          <w:rStyle w:val="Emphasis"/>
        </w:rPr>
        <w:t>delay</w:t>
      </w:r>
      <w:r>
        <w:rPr/>
        <w:t xml:space="preserve"> e dalla </w:t>
      </w:r>
      <w:r>
        <w:rPr>
          <w:rStyle w:val="Emphasis"/>
        </w:rPr>
        <w:t>durata della singola lettura</w:t>
      </w:r>
      <w:r>
        <w:rPr/>
        <w:t xml:space="preserve"> impostati.</w:t>
      </w:r>
    </w:p>
    <w:p>
      <w:pPr>
        <w:pStyle w:val="BodyText"/>
        <w:bidi w:val="0"/>
        <w:ind w:hanging="0" w:start="0" w:end="0"/>
        <w:jc w:val="both"/>
        <w:rPr/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6. </w:t>
      </w:r>
      <w:r>
        <w:rPr>
          <w:rStyle w:val="Strong"/>
          <w:b/>
          <w:bCs/>
          <w:sz w:val="44"/>
          <w:szCs w:val="44"/>
        </w:rPr>
        <w:t>Impostazione degli Intervalli High Resolution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Nella pagina di configurazione è possibile definire uno o più intervalli nei quali la scansione deve essere eseguita con un passo più fitto, determinato dal parametro </w:t>
      </w:r>
      <w:r>
        <w:rPr>
          <w:rStyle w:val="Strong"/>
        </w:rPr>
        <w:t>Passo High Resolution</w:t>
      </w:r>
      <w:r>
        <w:rPr/>
        <w:t xml:space="preserve">. Gli intervalli HR consentono di aumentare la densità dei punti di misura nelle zone di maggiore interesse. La somma delle lunghezze di tutti gli intervalli HR non deve superare il </w:t>
      </w:r>
      <w:r>
        <w:rPr>
          <w:rStyle w:val="Strong"/>
        </w:rPr>
        <w:t>10% dell’intera corsa</w:t>
      </w:r>
      <w:r>
        <w:rPr/>
        <w:t xml:space="preserve"> (Posizione finale – Posizione iniziale).</w:t>
      </w:r>
    </w:p>
    <w:p>
      <w:pPr>
        <w:pStyle w:val="BodyText"/>
        <w:bidi w:val="0"/>
        <w:ind w:hanging="0" w:start="0" w:end="0"/>
        <w:jc w:val="both"/>
        <w:rPr/>
      </w:pPr>
      <w:r>
        <w:rPr/>
        <w:t>Per configurare gli intervalli High Resolution procedere come segue: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Cliccare sul pulsante </w:t>
      </w:r>
      <w:r>
        <w:rPr>
          <w:rStyle w:val="Strong"/>
        </w:rPr>
        <w:t>Aggiungi Range</w:t>
      </w:r>
      <w:r>
        <w:rPr/>
        <w:t>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Specificare gli estremi inferiore e superiore dell’intervallo, espressi in millimetri </w:t>
      </w:r>
      <w:r>
        <w:rPr>
          <w:rStyle w:val="Strong"/>
        </w:rPr>
        <w:t>rispetto al centro del solenoide</w:t>
      </w:r>
      <w:r>
        <w:rPr/>
        <w:t xml:space="preserve"> (coordinate relative).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Utilizzare il pulsante </w:t>
      </w:r>
      <w:r>
        <w:rPr>
          <w:rStyle w:val="Strong"/>
        </w:rPr>
        <w:t>X</w:t>
      </w:r>
      <w:r>
        <w:rPr/>
        <w:t xml:space="preserve"> a destra di un intervallo per eliminarlo, se necessario.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>Salvare la configurazione per rendere effettive le modifiche.</w:t>
      </w:r>
    </w:p>
    <w:p>
      <w:pPr>
        <w:pStyle w:val="BodyText"/>
        <w:bidi w:val="0"/>
        <w:ind w:hanging="0" w:start="0" w:end="0"/>
        <w:jc w:val="both"/>
        <w:rPr/>
      </w:pPr>
      <w:r>
        <w:rPr/>
        <w:t>Gli intervalli definiti verranno utilizzati automaticamente durante la scansione per applicare il passo HR nelle zone selezionate.</w:t>
      </w:r>
    </w:p>
    <w:p>
      <w:pPr>
        <w:pStyle w:val="BodyText"/>
        <w:bidi w:val="0"/>
        <w:ind w:hanging="0" w:start="0" w:end="0"/>
        <w:jc w:val="both"/>
        <w:rPr/>
      </w:pPr>
      <w:r>
        <w:rPr/>
      </w:r>
    </w:p>
    <w:p>
      <w:pPr>
        <w:pStyle w:val="Heading1"/>
        <w:bidi w:val="0"/>
        <w:jc w:val="both"/>
        <w:rPr/>
      </w:pPr>
      <w:r>
        <w:rPr>
          <w:rStyle w:val="Strong"/>
          <w:b/>
          <w:bCs/>
        </w:rPr>
        <w:t>7. Test di funzionamento</w:t>
      </w:r>
    </w:p>
    <w:p>
      <w:pPr>
        <w:pStyle w:val="BodyText"/>
        <w:bidi w:val="0"/>
        <w:ind w:hanging="0" w:start="0" w:end="0"/>
        <w:jc w:val="both"/>
        <w:rPr/>
      </w:pPr>
      <w:r>
        <w:rPr/>
        <w:t>Dopo aver completato la configurazione dei parametri, eseguire il seguente test per verificare il corretto funzionamento dell’apparato: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Cliccare sul pulsante HOME.</w:t>
      </w:r>
      <w:r>
        <w:rPr/>
        <w:t xml:space="preserve"> L’equipaggio mobile deve raggiungere la posizione di zero</w:t>
        <w:noBreakHyphen/>
        <w:t>macchina.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Cliccare sul pulsante Posizione iniziale.</w:t>
      </w:r>
      <w:r>
        <w:rPr/>
        <w:t xml:space="preserve"> L’equipaggio mobile deve portarsi alla posizione iniziale impostata (50 mm dallo zero</w:t>
        <w:noBreakHyphen/>
        <w:t>macchina).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Cliccare sul pulsante Posizione finale.</w:t>
      </w:r>
      <w:r>
        <w:rPr/>
        <w:t xml:space="preserve"> L’equipaggio mobile deve raggiungere la posizione finale impostata (100 mm dallo zero</w:t>
        <w:noBreakHyphen/>
        <w:t>macchina).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Cliccare nuovamente sul pulsante Posizione iniziale.</w:t>
      </w:r>
      <w:r>
        <w:rPr/>
        <w:t xml:space="preserve"> Durante lo spostamento, premere il pulsante </w:t>
      </w:r>
      <w:r>
        <w:rPr>
          <w:rStyle w:val="Emphasis"/>
        </w:rPr>
        <w:t>ABORT</w:t>
      </w:r>
      <w:r>
        <w:rPr/>
        <w:t xml:space="preserve">: </w:t>
      </w:r>
      <w:r>
        <w:rPr>
          <w:rStyle w:val="Strong"/>
        </w:rPr>
        <w:t>l’equipaggio mobile deve arrestarsi immediatamente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Premere il pulsante di emergenza (19).</w:t>
      </w:r>
      <w:r>
        <w:rPr/>
        <w:t xml:space="preserve"> L’applicazione </w:t>
      </w:r>
      <w:r>
        <w:rPr>
          <w:rStyle w:val="Emphasis"/>
        </w:rPr>
        <w:t>Flux Scanner</w:t>
      </w:r>
      <w:r>
        <w:rPr/>
        <w:t xml:space="preserve"> deve aprire immediatamente un popup di allarme, segnalando la condizione di emergenza.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Heading1"/>
        <w:bidi w:val="0"/>
        <w:jc w:val="both"/>
        <w:rPr/>
      </w:pPr>
      <w:r>
        <w:rPr>
          <w:rStyle w:val="Strong"/>
          <w:b/>
          <w:bCs/>
        </w:rPr>
        <w:t>8. Calibrazione meccanica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La calibrazione meccanica serve ad allineare con precisione l’equipaggio mobile rispetto al solenoide, utilizzando l’apposita </w:t>
      </w:r>
      <w:r>
        <w:rPr>
          <w:rStyle w:val="Strong"/>
        </w:rPr>
        <w:t>ghiera di centratura</w:t>
      </w:r>
      <w:r>
        <w:rPr>
          <w:rStyle w:val="Strong"/>
          <w:b w:val="false"/>
          <w:bCs w:val="false"/>
        </w:rPr>
        <w:t xml:space="preserve"> (5)</w:t>
      </w:r>
      <w:r>
        <w:rPr/>
        <w:t xml:space="preserve">. L’operazione deve essere eseguita </w:t>
      </w:r>
      <w:r>
        <w:rPr>
          <w:rStyle w:val="Strong"/>
        </w:rPr>
        <w:t>con il motore disalimentato</w:t>
      </w:r>
      <w:r>
        <w:rPr/>
        <w:t xml:space="preserve">, spostando manualmente l’equipaggio mobile tramite la </w:t>
      </w:r>
      <w:r>
        <w:rPr>
          <w:rStyle w:val="Strong"/>
        </w:rPr>
        <w:t xml:space="preserve">rotazione della vite trapezoidale </w:t>
      </w:r>
      <w:r>
        <w:rPr>
          <w:rStyle w:val="Strong"/>
          <w:b w:val="false"/>
          <w:bCs w:val="false"/>
        </w:rPr>
        <w:t>(6)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Scollegare l’alimentatore dall’apparato</w:t>
      </w:r>
      <w:r>
        <w:rPr/>
        <w:t>, assicurandosi che il motore sia completamente disalimentato. L’equipaggio mobile deve poter essere spostato manualmente ruotando la vite trapezoidale.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Montare la ghiera di centratura sul foro di entrata del solenoide.</w:t>
      </w:r>
      <w:r>
        <w:rPr/>
        <w:t xml:space="preserve"> La ghiera riduce il diametro del foro a un valore leggermente superiore a quello dell’equipaggio mobile.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Ruotare manualmente la vite trapezoidale</w:t>
      </w:r>
      <w:r>
        <w:rPr/>
        <w:t xml:space="preserve"> per far avanzare l’equipaggio mobile fino ad accostarlo al foro della ghiera.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Regolare il supporto lato motore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/>
        <w:t>allentare leggermente le viti del supporto (1) (7);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/>
        <w:t xml:space="preserve">utilizzare le regolazioni </w:t>
      </w:r>
      <w:r>
        <w:rPr>
          <w:rStyle w:val="Strong"/>
        </w:rPr>
        <w:t>orizzontali</w:t>
      </w:r>
      <w:r>
        <w:rPr/>
        <w:t xml:space="preserve"> e </w:t>
      </w:r>
      <w:r>
        <w:rPr>
          <w:rStyle w:val="Strong"/>
        </w:rPr>
        <w:t>verticali</w:t>
      </w:r>
      <w:r>
        <w:rPr/>
        <w:t xml:space="preserve"> dei fori asolati per ottenere la centratura migliore;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/>
        <w:t>verificare che l’equipaggio mobile entri nel foro della ghiera con scorrevolezza (un leggero attrito è accettabile);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/>
        <w:t>serrare nuovamente le viti mantenendo la posizione corretta.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Rimuovere la ghiera dal foro di entrata del solenoide.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Ruotare nuovamente la vite trapezoidale</w:t>
      </w:r>
      <w:r>
        <w:rPr/>
        <w:t xml:space="preserve"> per far avanzare l’equipaggio mobile fino a farlo uscire di circa </w:t>
      </w:r>
      <w:r>
        <w:rPr>
          <w:rStyle w:val="Strong"/>
        </w:rPr>
        <w:t>10–20 mm</w:t>
      </w:r>
      <w:r>
        <w:rPr/>
        <w:t xml:space="preserve"> dal foro opposto del solenoide.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Posizionare la ghiera sul foro di uscita del solenoide.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Ruotare manualmente la vite trapezoidale</w:t>
      </w:r>
      <w:r>
        <w:rPr/>
        <w:t xml:space="preserve"> per far indietreggiare l’equipaggio mobile fino ad accostarlo al foro della ghiera.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Regolare il supporto lato opposto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/>
        <w:t>allentare le viti del supporto (1) (7);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/>
        <w:t>correggere la posizione tramite le regolazioni orizzontali e verticali per allineare l’equipaggio mobile al foro della ghiera;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/>
        <w:t>serrare le viti.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Ripetere l’intera procedura</w:t>
      </w:r>
      <w:r>
        <w:rPr/>
        <w:t xml:space="preserve"> (entrata → uscita → entrata) per ottenere una centratura più precisa.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Una volta ottenuto l’allineamento ottimale, </w:t>
      </w:r>
      <w:r>
        <w:rPr>
          <w:rStyle w:val="Strong"/>
        </w:rPr>
        <w:t>rimuovere la ghiera di centratura</w:t>
      </w:r>
      <w:r>
        <w:rPr/>
        <w:t xml:space="preserve"> e riaccendere l’apparato collegando l’alimentatore.</w:t>
      </w:r>
    </w:p>
    <w:p>
      <w:pPr>
        <w:pStyle w:val="BodyText"/>
        <w:bidi w:val="0"/>
        <w:jc w:val="both"/>
        <w:rPr>
          <w:rStyle w:val="Strong"/>
        </w:rPr>
      </w:pPr>
      <w:r>
        <w:rPr/>
      </w:r>
    </w:p>
    <w:p>
      <w:pPr>
        <w:pStyle w:val="Heading1"/>
        <w:bidi w:val="0"/>
        <w:jc w:val="both"/>
        <w:rPr/>
      </w:pPr>
      <w:r>
        <w:rPr>
          <w:rStyle w:val="Strong"/>
          <w:b/>
          <w:bCs/>
        </w:rPr>
        <w:t>9. Allineamento della scala millimetrata</w:t>
      </w:r>
    </w:p>
    <w:p>
      <w:pPr>
        <w:pStyle w:val="BodyText"/>
        <w:bidi w:val="0"/>
        <w:ind w:hanging="0" w:start="0" w:end="0"/>
        <w:jc w:val="both"/>
        <w:rPr/>
      </w:pPr>
      <w:r>
        <w:rPr/>
        <w:t>L’allineamento della scala millimetrata consente di stabilire la corretta corrispondenza tra la posizione meccanica dell’equipaggio mobile e la lettura visiva fornita dall’indicatore a lancetta. Procedere come segue: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Alimentare l’apparato</w:t>
      </w:r>
      <w:r>
        <w:rPr/>
        <w:t xml:space="preserve"> e assicurarsi che </w:t>
      </w:r>
      <w:r>
        <w:rPr>
          <w:rStyle w:val="Strong"/>
        </w:rPr>
        <w:t>l’interruttore di emergenza non sia attivato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Avviare l’applicazione Flux Scanner</w:t>
      </w:r>
      <w:r>
        <w:rPr/>
        <w:t xml:space="preserve"> e utilizzare il pulsante </w:t>
      </w:r>
      <w:r>
        <w:rPr>
          <w:rStyle w:val="Strong"/>
        </w:rPr>
        <w:t>HOME</w:t>
      </w:r>
      <w:r>
        <w:rPr/>
        <w:t xml:space="preserve"> per portare l’equipaggio mobile nella posizione di zero</w:t>
        <w:noBreakHyphen/>
        <w:t>macchina.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Ruotare l’indicatore a lancetta</w:t>
      </w:r>
      <w:r>
        <w:rPr/>
        <w:t xml:space="preserve"> (8) avvicinandolo alla scala millimetrata.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 xml:space="preserve">Allentare la vite di fissaggio della scala millimetrata </w:t>
      </w:r>
      <w:r>
        <w:rPr>
          <w:rStyle w:val="Strong"/>
          <w:b w:val="false"/>
          <w:bCs w:val="false"/>
        </w:rPr>
        <w:t>(9)</w:t>
      </w:r>
      <w:r>
        <w:rPr/>
        <w:t xml:space="preserve"> per consentirne il movimento.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Allineare lo zero della scala</w:t>
      </w:r>
      <w:r>
        <w:rPr/>
        <w:t xml:space="preserve"> con l’indicatore a lancetta, muovendo la scala tramite l’apposito </w:t>
      </w:r>
      <w:r>
        <w:rPr>
          <w:rStyle w:val="Strong"/>
        </w:rPr>
        <w:t>pomello (10)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Serrare la vite di fissaggio</w:t>
      </w:r>
      <w:r>
        <w:rPr/>
        <w:t xml:space="preserve"> della scala millimetrata per bloccare la posizione.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Ruotare l’indicatore a lancetta</w:t>
      </w:r>
      <w:r>
        <w:rPr/>
        <w:t xml:space="preserve"> riportandolo in una posizione tale da </w:t>
      </w:r>
      <w:r>
        <w:rPr>
          <w:rStyle w:val="Strong"/>
        </w:rPr>
        <w:t>non interferire</w:t>
      </w:r>
      <w:r>
        <w:rPr/>
        <w:t xml:space="preserve"> con gli spostamenti dell’equipaggio mobile all’interno del solenoide.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Heading1"/>
        <w:bidi w:val="0"/>
        <w:jc w:val="both"/>
        <w:rPr/>
      </w:pPr>
      <w:r>
        <w:rPr>
          <w:rStyle w:val="Strong"/>
          <w:b/>
          <w:bCs/>
        </w:rPr>
        <w:t>10. Determinazione e impostazione posizioni iniziale e finale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Le posizioni </w:t>
      </w:r>
      <w:r>
        <w:rPr>
          <w:rStyle w:val="Strong"/>
        </w:rPr>
        <w:t>iniziale</w:t>
      </w:r>
      <w:r>
        <w:rPr/>
        <w:t xml:space="preserve"> e </w:t>
      </w:r>
      <w:r>
        <w:rPr>
          <w:rStyle w:val="Strong"/>
        </w:rPr>
        <w:t>finale</w:t>
      </w:r>
      <w:r>
        <w:rPr/>
        <w:t xml:space="preserve"> definiscono l’intervallo entro il quale verranno effettuate le rilevazioni del campo magnetico. Esse devono essere espresse come distanza dallo </w:t>
      </w:r>
      <w:r>
        <w:rPr>
          <w:rStyle w:val="Strong"/>
        </w:rPr>
        <w:t>zero</w:t>
        <w:noBreakHyphen/>
        <w:t>macchina</w:t>
      </w:r>
      <w:r>
        <w:rPr/>
        <w:t xml:space="preserve"> ed è </w:t>
      </w:r>
      <w:r>
        <w:rPr>
          <w:rStyle w:val="Strong"/>
        </w:rPr>
        <w:t>altamente raccomandabile</w:t>
      </w:r>
      <w:r>
        <w:rPr/>
        <w:t xml:space="preserve"> che risultino </w:t>
      </w:r>
      <w:r>
        <w:rPr>
          <w:rStyle w:val="Strong"/>
        </w:rPr>
        <w:t>equidistanti dai bordi del solenoide</w:t>
      </w:r>
      <w:r>
        <w:rPr/>
        <w:t>, in modo da garantire una scansione simmetrica e ripetibile.</w:t>
      </w:r>
    </w:p>
    <w:p>
      <w:pPr>
        <w:pStyle w:val="BodyText"/>
        <w:bidi w:val="0"/>
        <w:ind w:hanging="0" w:start="0" w:end="0"/>
        <w:jc w:val="both"/>
        <w:rPr/>
      </w:pPr>
      <w:r>
        <w:rPr/>
        <w:t>Per la loro determinazione procedere come segue.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Scollegare l’alimentatore dall’apparato</w:t>
      </w:r>
      <w:r>
        <w:rPr/>
        <w:t xml:space="preserve"> o dalla presa di rete, assicurandosi che il motore sia completamente disalimentato.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Ruotare l’indicatore a lancetta</w:t>
      </w:r>
      <w:r>
        <w:rPr/>
        <w:t xml:space="preserve"> (8) per avvicinarlo alla scala millimetrata.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Accostare l’indicatore al primo bordo del solenoide (lato di entrata)</w:t>
      </w:r>
      <w:r>
        <w:rPr/>
        <w:t xml:space="preserve"> ruotando manualmente la vite trapezoidale (6) in senso </w:t>
      </w:r>
      <w:r>
        <w:rPr>
          <w:rStyle w:val="Strong"/>
        </w:rPr>
        <w:t>antiorario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Leggere il valore sulla scala millimetrata</w:t>
      </w:r>
      <w:r>
        <w:rPr/>
        <w:t xml:space="preserve"> e annotarlo come </w:t>
      </w:r>
      <w:r>
        <w:rPr>
          <w:rStyle w:val="Strong"/>
        </w:rPr>
        <w:t>Di</w:t>
      </w:r>
      <w:r>
        <w:rPr/>
        <w:t xml:space="preserve"> (distanza del bordo di entrata).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Riposizionare l’indicatore a lancetta</w:t>
      </w:r>
      <w:r>
        <w:rPr/>
        <w:t xml:space="preserve"> in una posizione di non interferenza.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Ruotare ancora la vite trapezoidale in senso antiorario</w:t>
      </w:r>
      <w:r>
        <w:rPr/>
        <w:t xml:space="preserve"> per far passare completamente l’equipaggio mobile all’interno del solenoide.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Avvicinare nuovamente l’indicatore a lancetta</w:t>
      </w:r>
      <w:r>
        <w:rPr/>
        <w:t xml:space="preserve"> alla scala millimetrata.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Accostare l’indicatore al secondo bordo del solenoide (lato di uscita)</w:t>
      </w:r>
      <w:r>
        <w:rPr/>
        <w:t xml:space="preserve"> ruotando manualmente la vite trapezoidale (6) in senso </w:t>
      </w:r>
      <w:r>
        <w:rPr>
          <w:rStyle w:val="Strong"/>
        </w:rPr>
        <w:t>orario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Leggere il valore sulla scala millimetrata</w:t>
      </w:r>
      <w:r>
        <w:rPr/>
        <w:t xml:space="preserve"> e annotarlo come </w:t>
      </w:r>
      <w:r>
        <w:rPr>
          <w:rStyle w:val="Strong"/>
        </w:rPr>
        <w:t>Du</w:t>
      </w:r>
      <w:r>
        <w:rPr/>
        <w:t xml:space="preserve"> (distanza del bordo di uscita).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Stabilire un offset O</w:t>
      </w:r>
      <w:r>
        <w:rPr/>
        <w:t xml:space="preserve"> da applicare in entrata e in uscita. L’offset deve essere scelto in modo da evitare che l’equipaggio mobile si avvicini troppo ai bordi del solenoide. </w:t>
      </w:r>
      <w:r>
        <w:rPr>
          <w:rStyle w:val="Strong"/>
        </w:rPr>
        <w:t>Il valore massimo consigliato è O = Di − 10 mm.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Calcolare le posizioni operative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>
          <w:rStyle w:val="Strong"/>
        </w:rPr>
        <w:t>Posizione iniziale:</w:t>
      </w:r>
      <w:r>
        <w:rPr/>
        <w:t> Pi = Di − O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>
          <w:rStyle w:val="Strong"/>
        </w:rPr>
        <w:t>Posizione finale:</w:t>
      </w:r>
      <w:r>
        <w:rPr/>
        <w:t> Pf = Du + O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Aprire la pagina di configurazione “Funzionamento Sistema”</w:t>
      </w:r>
      <w:r>
        <w:rPr/>
        <w:t xml:space="preserve"> nell’applicazione </w:t>
      </w:r>
      <w:r>
        <w:rPr>
          <w:rStyle w:val="Emphasis"/>
        </w:rPr>
        <w:t>Flux Scanner</w:t>
      </w:r>
      <w:r>
        <w:rPr/>
        <w:t xml:space="preserve"> e impostare i campi: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>
          <w:rStyle w:val="Emphasis"/>
        </w:rPr>
        <w:t>Posizione iniziale</w:t>
      </w:r>
      <w:r>
        <w:rPr/>
        <w:t xml:space="preserve"> = Pi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>
          <w:rStyle w:val="Emphasis"/>
        </w:rPr>
        <w:t>Posizione finale</w:t>
      </w:r>
      <w:r>
        <w:rPr/>
        <w:t xml:space="preserve"> = Pf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Salvare</w:t>
      </w:r>
      <w:r>
        <w:rPr/>
        <w:t xml:space="preserve"> ed </w:t>
      </w:r>
      <w:r>
        <w:rPr>
          <w:rStyle w:val="Strong"/>
        </w:rPr>
        <w:t>uscire</w:t>
      </w:r>
      <w:r>
        <w:rPr/>
        <w:t xml:space="preserve"> dalla pagina di configurazione.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Heading1"/>
        <w:bidi w:val="0"/>
        <w:jc w:val="both"/>
        <w:rPr/>
      </w:pPr>
      <w:r>
        <w:rPr>
          <w:rStyle w:val="Strong"/>
          <w:b/>
          <w:bCs/>
        </w:rPr>
        <w:t>11. Calibrazione sensori Hall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La calibrazione dei sensori Hall consente di determinare automaticamente la </w:t>
      </w:r>
      <w:r>
        <w:rPr>
          <w:rStyle w:val="Strong"/>
        </w:rPr>
        <w:t>tensione di offset</w:t>
      </w:r>
      <w:r>
        <w:rPr/>
        <w:t xml:space="preserve"> di ciascun sensore. L’operazione deve essere eseguita </w:t>
      </w:r>
      <w:r>
        <w:rPr>
          <w:rStyle w:val="Strong"/>
        </w:rPr>
        <w:t>con il solenoide disalimentato</w:t>
      </w:r>
      <w:r>
        <w:rPr/>
        <w:t xml:space="preserve"> e in un ambiente </w:t>
      </w:r>
      <w:r>
        <w:rPr>
          <w:rStyle w:val="Strong"/>
        </w:rPr>
        <w:t>privo di fonti magnetiche perturbanti</w:t>
      </w:r>
      <w:r>
        <w:rPr/>
        <w:t xml:space="preserve"> (magneti permanenti, utensili magnetizzati, trasformatori, motori elettrici, ecc.). In queste condizioni i sensori misurano il solo campo magnetico ambientale, permettendo al sistema di calcolare correttamente l’offset. La procedura </w:t>
      </w:r>
      <w:r>
        <w:rPr>
          <w:b/>
          <w:bCs/>
        </w:rPr>
        <w:t>non modifica la sensibilità dei sensori</w:t>
      </w:r>
      <w:r>
        <w:rPr/>
        <w:t>, che deve essere impostata separatamente.</w:t>
      </w:r>
    </w:p>
    <w:p>
      <w:pPr>
        <w:pStyle w:val="BodyText"/>
        <w:bidi w:val="0"/>
        <w:ind w:hanging="0" w:start="0" w:end="0"/>
        <w:jc w:val="both"/>
        <w:rPr/>
      </w:pPr>
      <w:r>
        <w:rPr/>
        <w:t>Per effettuare la calibrazione degli offset procedere come segue: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Alimentare l’apparato</w:t>
      </w:r>
      <w:r>
        <w:rPr/>
        <w:t xml:space="preserve"> e assicurarsi che l’interruttore di emergenza non sia attivato.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Avviare l’applicazione Flux Scanner</w:t>
      </w:r>
      <w:r>
        <w:rPr/>
        <w:t xml:space="preserve"> e accedere alla sezione </w:t>
      </w:r>
      <w:r>
        <w:rPr>
          <w:rStyle w:val="Strong"/>
        </w:rPr>
        <w:t>Impostazioni → Sensori Hall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Premere il pulsante Calibra.</w:t>
      </w:r>
      <w:r>
        <w:rPr/>
        <w:t xml:space="preserve"> L’apparato avvia automaticamente la procedura di calibrazione dell’offset.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Durante la calibrazione, il sistema esegue </w:t>
      </w:r>
      <w:r>
        <w:rPr>
          <w:rStyle w:val="Strong"/>
        </w:rPr>
        <w:t>tre letture per ciascun sensore</w:t>
      </w:r>
      <w:r>
        <w:rPr/>
        <w:t>: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/>
        <w:t xml:space="preserve">una in </w:t>
      </w:r>
      <w:r>
        <w:rPr>
          <w:rStyle w:val="Strong"/>
        </w:rPr>
        <w:t>posizione iniziale</w:t>
      </w:r>
      <w:r>
        <w:rPr/>
        <w:t>,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/>
        <w:t xml:space="preserve">una in </w:t>
      </w:r>
      <w:r>
        <w:rPr>
          <w:rStyle w:val="Strong"/>
        </w:rPr>
        <w:t>posizione centrale</w:t>
      </w:r>
      <w:r>
        <w:rPr/>
        <w:t>,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/>
        <w:t xml:space="preserve">una in </w:t>
      </w:r>
      <w:r>
        <w:rPr>
          <w:rStyle w:val="Strong"/>
        </w:rPr>
        <w:t>posizione finale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L’applicazione calcola la </w:t>
      </w:r>
      <w:r>
        <w:rPr>
          <w:rStyle w:val="Strong"/>
        </w:rPr>
        <w:t>media delle tre letture</w:t>
      </w:r>
      <w:r>
        <w:rPr/>
        <w:t xml:space="preserve"> per ogni sensore e </w:t>
      </w:r>
      <w:r>
        <w:rPr>
          <w:rStyle w:val="Strong"/>
        </w:rPr>
        <w:t>aggiorna automaticamente</w:t>
      </w:r>
      <w:r>
        <w:rPr/>
        <w:t xml:space="preserve"> i campi: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>
          <w:rStyle w:val="Emphasis"/>
        </w:rPr>
        <w:t>Tensione di offset sensore sinistro [V]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>
          <w:rStyle w:val="Emphasis"/>
        </w:rPr>
        <w:t>Tensione di offset sensore destro [V]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>
          <w:rStyle w:val="Emphasis"/>
        </w:rPr>
        <w:t>Tensione di offset sensore superiore [V]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>
          <w:rStyle w:val="Emphasis"/>
        </w:rPr>
        <w:t>Tensione di offset sensore inferiore [V]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>
          <w:rStyle w:val="Emphasis"/>
        </w:rPr>
        <w:t>Tensione di offset sensore centrale [V]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I valori precedentemente presenti nei campi vengono </w:t>
      </w:r>
      <w:r>
        <w:rPr>
          <w:rStyle w:val="Strong"/>
        </w:rPr>
        <w:t>sostituiti</w:t>
      </w:r>
      <w:r>
        <w:rPr/>
        <w:t xml:space="preserve"> con i nuovi valori medi calcolati.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Salvare le impostazioni</w:t>
      </w:r>
      <w:r>
        <w:rPr/>
        <w:t xml:space="preserve"> per rendere permanenti i nuovi valori di offset.</w:t>
      </w:r>
    </w:p>
    <w:p>
      <w:pPr>
        <w:pStyle w:val="Heading1"/>
        <w:bidi w:val="0"/>
        <w:ind w:hanging="0" w:start="0" w:end="0"/>
        <w:jc w:val="both"/>
        <w:rPr/>
      </w:pPr>
      <w:r>
        <w:rPr>
          <w:rStyle w:val="Strong"/>
          <w:b/>
          <w:bCs/>
        </w:rPr>
        <w:t>12. Coordinate assolute e coordinate relative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Nel sistema </w:t>
      </w:r>
      <w:r>
        <w:rPr>
          <w:rStyle w:val="Emphasis"/>
        </w:rPr>
        <w:t>Flux Scanner</w:t>
      </w:r>
      <w:r>
        <w:rPr/>
        <w:t xml:space="preserve"> vengono utilizzati due differenti sistemi di riferimento per descrivere la posizione dell’equipaggio mobile e dei sensori: </w:t>
      </w:r>
      <w:r>
        <w:rPr>
          <w:rStyle w:val="Strong"/>
        </w:rPr>
        <w:t>coordinate assolute</w:t>
      </w:r>
      <w:r>
        <w:rPr/>
        <w:t xml:space="preserve"> e </w:t>
      </w:r>
      <w:r>
        <w:rPr>
          <w:rStyle w:val="Strong"/>
        </w:rPr>
        <w:t>coordinate relative</w:t>
      </w:r>
      <w:r>
        <w:rPr/>
        <w:t>. In entrambi i casi gli assi cartesiani sono definiti come segue: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Asse X</w:t>
      </w:r>
      <w:r>
        <w:rPr/>
        <w:t>: direzione trasversale alla macchina, positivo verso destra;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Asse Y</w:t>
      </w:r>
      <w:r>
        <w:rPr/>
        <w:t>: direzione verticale, positivo verso l’alto;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Asse Z</w:t>
      </w:r>
      <w:r>
        <w:rPr/>
        <w:t xml:space="preserve">: direzione longitudinale, positivo verso il </w:t>
      </w:r>
      <w:r>
        <w:rPr>
          <w:rStyle w:val="Strong"/>
        </w:rPr>
        <w:t>foro di uscita</w:t>
      </w:r>
      <w:r>
        <w:rPr/>
        <w:t xml:space="preserve"> del solenoide.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Si definiscono </w:t>
      </w:r>
      <w:r>
        <w:rPr>
          <w:rStyle w:val="Emphasis"/>
          <w:b/>
          <w:bCs/>
        </w:rPr>
        <w:t>assolute</w:t>
      </w:r>
      <w:r>
        <w:rPr/>
        <w:t xml:space="preserve"> le coordinate riferite a un sistema di riferimento con </w:t>
      </w:r>
      <w:r>
        <w:rPr>
          <w:rStyle w:val="Strong"/>
        </w:rPr>
        <w:t>origine nello zero</w:t>
        <w:noBreakHyphen/>
        <w:t>macchina</w:t>
      </w:r>
      <w:r>
        <w:rPr/>
        <w:t xml:space="preserve">, cioè nel punto in cui si trova il </w:t>
      </w:r>
      <w:r>
        <w:rPr>
          <w:rStyle w:val="Strong"/>
        </w:rPr>
        <w:t>sensore centrale</w:t>
      </w:r>
      <w:r>
        <w:rPr/>
        <w:t xml:space="preserve"> quando l’equipaggio mobile è in posizione di </w:t>
      </w:r>
      <w:r>
        <w:rPr>
          <w:rStyle w:val="Strong"/>
        </w:rPr>
        <w:t>HOME</w:t>
      </w:r>
      <w:r>
        <w:rPr/>
        <w:t>.</w:t>
      </w:r>
    </w:p>
    <w:p>
      <w:pPr>
        <w:pStyle w:val="BodyText"/>
        <w:bidi w:val="0"/>
        <w:ind w:hanging="0" w:start="0" w:end="0"/>
        <w:jc w:val="both"/>
        <w:rPr/>
      </w:pPr>
      <w:r>
        <w:rPr/>
        <w:t>In questo sistema: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la posizione </w:t>
      </w:r>
      <w:r>
        <w:rPr>
          <w:rStyle w:val="Strong"/>
        </w:rPr>
        <w:t>Z = 0</w:t>
      </w:r>
      <w:r>
        <w:rPr/>
        <w:t xml:space="preserve"> corrisponde allo zero</w:t>
        <w:noBreakHyphen/>
        <w:t>macchina;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le posizioni </w:t>
      </w:r>
      <w:r>
        <w:rPr>
          <w:rStyle w:val="Strong"/>
        </w:rPr>
        <w:t>Pi</w:t>
      </w:r>
      <w:r>
        <w:rPr/>
        <w:t xml:space="preserve"> e </w:t>
      </w:r>
      <w:r>
        <w:rPr>
          <w:rStyle w:val="Strong"/>
        </w:rPr>
        <w:t>Pf</w:t>
      </w:r>
      <w:r>
        <w:rPr/>
        <w:t>, determinate nella procedura precedente, rappresentano rispettivamente la posizione iniziale e finale della scansione;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>tutte le posizioni lungo la corsa sono espresse come distanza dallo zero</w:t>
        <w:noBreakHyphen/>
        <w:t>macchina.</w:t>
      </w:r>
    </w:p>
    <w:p>
      <w:pPr>
        <w:pStyle w:val="BodyText"/>
        <w:bidi w:val="0"/>
        <w:ind w:hanging="0" w:start="0" w:end="0"/>
        <w:jc w:val="both"/>
        <w:rPr/>
      </w:pPr>
      <w:r>
        <w:rPr/>
        <w:t>Questo sistema è utilizzato internamente dall’apparato e dall’applicazione per definire i limiti di movimento e per eseguire la calibrazione dell’offset.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Si definiscono </w:t>
      </w:r>
      <w:r>
        <w:rPr>
          <w:rStyle w:val="Emphasis"/>
          <w:b/>
          <w:bCs/>
        </w:rPr>
        <w:t>relative</w:t>
      </w:r>
      <w:r>
        <w:rPr/>
        <w:t xml:space="preserve"> le coordinate riferite a un sistema di riferimento con origine posta nel </w:t>
      </w:r>
      <w:r>
        <w:rPr>
          <w:rStyle w:val="Strong"/>
        </w:rPr>
        <w:t>punto centrale del solenoide</w:t>
      </w:r>
      <w:r>
        <w:rPr/>
        <w:t>, cioè nel punto:</w:t>
      </w:r>
    </w:p>
    <w:p>
      <w:pPr>
        <w:pStyle w:val="BodyText"/>
        <w:bidi w:val="0"/>
        <w:ind w:hanging="0" w:start="0" w:end="0"/>
        <w:jc w:val="both"/>
        <w:rPr/>
      </w:pPr>
      <w:r>
        <w:rPr/>
        <w:t>Z=Pi+Pf2</w:t>
      </w:r>
    </w:p>
    <w:p>
      <w:pPr>
        <w:pStyle w:val="BodyText"/>
        <w:bidi w:val="0"/>
        <w:ind w:hanging="0" w:start="0" w:end="0"/>
        <w:jc w:val="both"/>
        <w:rPr/>
      </w:pPr>
      <w:r>
        <w:rPr/>
        <w:t>In questo sistema: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Z = 0</w:t>
      </w:r>
      <w:r>
        <w:rPr/>
        <w:t xml:space="preserve"> corrisponde al centro geometrico del solenoide;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>le posizioni lungo la corsa assumono valori negativi verso il lato di entrata e positivi verso il lato di uscita;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>l’intervallo di scansione risulta simmetrico rispetto allo zero relativo.</w:t>
      </w:r>
    </w:p>
    <w:p>
      <w:pPr>
        <w:pStyle w:val="BodyText"/>
        <w:bidi w:val="0"/>
        <w:ind w:hanging="0" w:start="0" w:end="0"/>
        <w:jc w:val="both"/>
        <w:rPr/>
      </w:pPr>
      <w:r>
        <w:rPr/>
        <w:t>Questo sistema è utile per l’analisi del profilo del campo magnetico, poiché consente di rappresentare i dati rispetto al centro del solenoide, facilitando confronti, simmetrie e valutazioni di uniformità.</w:t>
      </w:r>
    </w:p>
    <w:p>
      <w:pPr>
        <w:pStyle w:val="BodyText"/>
        <w:bidi w:val="0"/>
        <w:ind w:hanging="0" w:start="0" w:end="0"/>
        <w:jc w:val="both"/>
        <w:rPr/>
      </w:pPr>
      <w:r>
        <w:rPr>
          <w:rStyle w:val="Strong"/>
        </w:rPr>
        <w:t>In sintesi: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Le </w:t>
      </w:r>
      <w:r>
        <w:rPr>
          <w:rStyle w:val="Strong"/>
        </w:rPr>
        <w:t>coordinate assolute</w:t>
      </w:r>
      <w:r>
        <w:rPr/>
        <w:t xml:space="preserve"> sono riferite allo zero</w:t>
        <w:noBreakHyphen/>
        <w:t>macchina → utili per la movimentazione e la configurazione del sistema.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Le </w:t>
      </w:r>
      <w:r>
        <w:rPr>
          <w:rStyle w:val="Strong"/>
        </w:rPr>
        <w:t>coordinate relative</w:t>
      </w:r>
      <w:r>
        <w:rPr/>
        <w:t xml:space="preserve"> sono riferite al centro del solenoide → utili per l’analisi del campo magnetico.</w:t>
      </w:r>
    </w:p>
    <w:p>
      <w:pPr>
        <w:pStyle w:val="BodyText"/>
        <w:bidi w:val="0"/>
        <w:ind w:hanging="0" w:start="0" w:end="0"/>
        <w:jc w:val="both"/>
        <w:rPr/>
      </w:pPr>
      <w:r>
        <w:rPr/>
      </w:r>
    </w:p>
    <w:p>
      <w:pPr>
        <w:pStyle w:val="Heading1"/>
        <w:bidi w:val="0"/>
        <w:ind w:hanging="0" w:start="0" w:end="0"/>
        <w:jc w:val="both"/>
        <w:rPr/>
      </w:pPr>
      <w:r>
        <w:rPr>
          <w:rStyle w:val="Strong"/>
          <w:b/>
          <w:bCs/>
        </w:rPr>
        <w:t>13. Dashboard di controllo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La dashboard di controllo rappresenta la pagina principale dell’applicazione </w:t>
      </w:r>
      <w:r>
        <w:rPr>
          <w:rStyle w:val="Emphasis"/>
        </w:rPr>
        <w:t>Flux Scanner</w:t>
      </w:r>
      <w:r>
        <w:rPr/>
        <w:t xml:space="preserve"> e consente di gestire le operazioni di movimentazione, avviare le scansioni, monitorare in tempo reale i valori acquisiti e visualizzare i risultati finali. Gli elementi che la compongono sono descritti di seguito.</w:t>
      </w:r>
    </w:p>
    <w:p>
      <w:pPr>
        <w:pStyle w:val="Heading2"/>
        <w:bidi w:val="0"/>
        <w:spacing w:lineRule="auto" w:line="276" w:before="0" w:after="140"/>
        <w:jc w:val="both"/>
        <w:rPr/>
      </w:pPr>
      <w:r>
        <w:rPr>
          <w:rStyle w:val="Strong"/>
          <w:b/>
          <w:bCs/>
          <w:sz w:val="32"/>
          <w:szCs w:val="32"/>
        </w:rPr>
        <w:t>13.1 Pulsanti di controllo movimento e scansione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HOME</w:t>
      </w:r>
      <w:r>
        <w:rPr/>
        <w:t xml:space="preserve"> Riporta l’equipaggio mobile nella posizione di zero</w:t>
        <w:noBreakHyphen/>
        <w:t>macchina. È utilizzato per inizializzare la posizione prima di ogni operazione.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SCAN</w:t>
      </w:r>
      <w:r>
        <w:rPr/>
        <w:t xml:space="preserve"> </w:t>
      </w:r>
      <w:r>
        <w:rPr>
          <w:rStyle w:val="Emphasis"/>
        </w:rPr>
        <w:t>(pulsante verde)</w:t>
      </w:r>
      <w:r>
        <w:rPr/>
        <w:t xml:space="preserve"> Avvia la scansione del campo magnetico nell’intervallo compreso tra </w:t>
      </w:r>
      <w:r>
        <w:rPr>
          <w:rStyle w:val="Emphasis"/>
        </w:rPr>
        <w:t>Posizione iniziale</w:t>
      </w:r>
      <w:r>
        <w:rPr/>
        <w:t xml:space="preserve"> e </w:t>
      </w:r>
      <w:r>
        <w:rPr>
          <w:rStyle w:val="Emphasis"/>
        </w:rPr>
        <w:t>Posizione finale</w:t>
      </w:r>
      <w:r>
        <w:rPr/>
        <w:t>. Durante la scansione vengono acquisiti i valori dei cinque sensori Hall e aggiornati in tempo reale la tabella e il grafico.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ABORT</w:t>
      </w:r>
      <w:r>
        <w:rPr/>
        <w:t xml:space="preserve"> </w:t>
      </w:r>
      <w:r>
        <w:rPr>
          <w:rStyle w:val="Emphasis"/>
        </w:rPr>
        <w:t>(pulsante rosso)</w:t>
      </w:r>
      <w:r>
        <w:rPr/>
        <w:t xml:space="preserve"> Arresta immediatamente la scansione o qualsiasi movimento in corso.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POSIZIONE INIZIALE</w:t>
      </w:r>
      <w:r>
        <w:rPr/>
        <w:t xml:space="preserve"> Sposta l’equipaggio mobile alla posizione iniziale impostata nella configurazione del sistema.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CENTRO</w:t>
      </w:r>
      <w:r>
        <w:rPr/>
        <w:t xml:space="preserve"> Sposta l’equipaggio mobile nella posizione centrale dell’intervallo di scansione, calcolata come Pi+Pf / 2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POSIZIONE FINALE</w:t>
      </w:r>
      <w:r>
        <w:rPr/>
        <w:t xml:space="preserve"> Sposta l’equipaggio mobile alla posizione finale impostata nella configurazione del sistema.</w:t>
      </w:r>
    </w:p>
    <w:p>
      <w:pPr>
        <w:pStyle w:val="Heading2"/>
        <w:bidi w:val="0"/>
        <w:spacing w:lineRule="auto" w:line="276" w:before="0" w:after="140"/>
        <w:jc w:val="both"/>
        <w:rPr/>
      </w:pPr>
      <w:r>
        <w:rPr>
          <w:rStyle w:val="Strong"/>
          <w:b/>
          <w:bCs/>
          <w:sz w:val="32"/>
          <w:szCs w:val="32"/>
        </w:rPr>
        <w:t>13.2 Stato e posizione</w:t>
      </w:r>
    </w:p>
    <w:p>
      <w:pPr>
        <w:pStyle w:val="BodyText"/>
        <w:bidi w:val="0"/>
        <w:ind w:hanging="0" w:start="0" w:end="0"/>
        <w:jc w:val="both"/>
        <w:rPr/>
      </w:pPr>
      <w:r>
        <w:rPr/>
        <w:t>Nella parte centrale sinistra della dashboard sono presenti tre indicatori: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Stato</w:t>
      </w:r>
      <w:r>
        <w:rPr/>
        <w:t xml:space="preserve"> Mostra lo stato corrente del sistema (es. </w:t>
      </w:r>
      <w:r>
        <w:rPr>
          <w:rStyle w:val="Emphasis"/>
        </w:rPr>
        <w:t>Idle</w:t>
      </w:r>
      <w:r>
        <w:rPr/>
        <w:t xml:space="preserve">, </w:t>
      </w:r>
      <w:r>
        <w:rPr>
          <w:rStyle w:val="Emphasis"/>
        </w:rPr>
        <w:t>Spostamento</w:t>
      </w:r>
      <w:r>
        <w:rPr/>
        <w:t>, S</w:t>
      </w:r>
      <w:r>
        <w:rPr>
          <w:rStyle w:val="Emphasis"/>
        </w:rPr>
        <w:t>cansione</w:t>
      </w:r>
      <w:r>
        <w:rPr/>
        <w:t xml:space="preserve">, </w:t>
      </w:r>
      <w:r>
        <w:rPr>
          <w:rStyle w:val="Emphasis"/>
        </w:rPr>
        <w:t>Allarme</w:t>
      </w:r>
      <w:r>
        <w:rPr/>
        <w:t>).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Posizione</w:t>
      </w:r>
      <w:r>
        <w:rPr/>
        <w:t xml:space="preserve"> Indica la posizione corrente dell’equipaggio mobile espressa in </w:t>
      </w:r>
      <w:r>
        <w:rPr>
          <w:rStyle w:val="Strong"/>
        </w:rPr>
        <w:t>coordinate relative</w:t>
      </w:r>
      <w:r>
        <w:rPr/>
        <w:t>, con origine nel centro del solenoide.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Posizione assoluta</w:t>
      </w:r>
      <w:r>
        <w:rPr/>
        <w:t xml:space="preserve"> Indica la posizione corrente espressa in </w:t>
      </w:r>
      <w:r>
        <w:rPr>
          <w:rStyle w:val="Strong"/>
        </w:rPr>
        <w:t>coordinate assolute</w:t>
      </w:r>
      <w:r>
        <w:rPr/>
        <w:t>, con origine nello zero</w:t>
        <w:noBreakHyphen/>
        <w:t>macchina.</w:t>
      </w:r>
    </w:p>
    <w:p>
      <w:pPr>
        <w:pStyle w:val="Heading2"/>
        <w:bidi w:val="0"/>
        <w:spacing w:lineRule="auto" w:line="276" w:before="0" w:after="140"/>
        <w:jc w:val="both"/>
        <w:rPr/>
      </w:pPr>
      <w:r>
        <w:rPr>
          <w:rStyle w:val="Strong"/>
          <w:b/>
          <w:bCs/>
          <w:sz w:val="32"/>
          <w:szCs w:val="32"/>
        </w:rPr>
        <w:t>13.3 Tabella dei valori acquisiti</w:t>
      </w:r>
    </w:p>
    <w:p>
      <w:pPr>
        <w:pStyle w:val="BodyText"/>
        <w:bidi w:val="0"/>
        <w:ind w:hanging="0" w:start="0" w:end="0"/>
        <w:jc w:val="both"/>
        <w:rPr/>
      </w:pPr>
      <w:r>
        <w:rPr/>
        <w:t>La tabella centrale mostra, in tempo reale durante la scansione: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la </w:t>
      </w:r>
      <w:r>
        <w:rPr>
          <w:rStyle w:val="Strong"/>
        </w:rPr>
        <w:t>posizione</w:t>
      </w:r>
      <w:r>
        <w:rPr/>
        <w:t xml:space="preserve"> relativa dell’equipaggio mobile;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i valori di </w:t>
      </w:r>
      <w:r>
        <w:rPr>
          <w:rStyle w:val="Strong"/>
        </w:rPr>
        <w:t>B</w:t>
      </w:r>
      <w:r>
        <w:rPr/>
        <w:t xml:space="preserve"> (induzione magnetica) misurati dai cinque sensori Hall: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/>
        <w:t>sensore sinistro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/>
        <w:t>sensore destro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/>
        <w:t>sensore superiore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/>
        <w:t>sensore inferiore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1418" w:leader="none"/>
        </w:tabs>
        <w:bidi w:val="0"/>
        <w:ind w:hanging="283" w:start="1418" w:end="0"/>
        <w:jc w:val="both"/>
        <w:rPr/>
      </w:pPr>
      <w:r>
        <w:rPr/>
        <w:t>sensore centrale</w:t>
      </w:r>
    </w:p>
    <w:p>
      <w:pPr>
        <w:pStyle w:val="BodyText"/>
        <w:bidi w:val="0"/>
        <w:ind w:hanging="0" w:start="0" w:end="0"/>
        <w:jc w:val="both"/>
        <w:rPr/>
      </w:pPr>
      <w:r>
        <w:rPr/>
        <w:t>La tabella viene popolata progressivamente man mano che la scansione avanza.</w:t>
      </w:r>
    </w:p>
    <w:p>
      <w:pPr>
        <w:pStyle w:val="Heading2"/>
        <w:bidi w:val="0"/>
        <w:spacing w:lineRule="auto" w:line="276" w:before="0" w:after="140"/>
        <w:jc w:val="both"/>
        <w:rPr/>
      </w:pPr>
      <w:r>
        <w:rPr>
          <w:rStyle w:val="Strong"/>
          <w:b/>
          <w:bCs/>
          <w:sz w:val="32"/>
          <w:szCs w:val="32"/>
        </w:rPr>
        <w:t>13.4 Grafico dei valori acquisiti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A destra della tabella è presente un grafico che riporta le </w:t>
      </w:r>
      <w:r>
        <w:rPr>
          <w:rStyle w:val="Strong"/>
        </w:rPr>
        <w:t>cinque serie di valori di induzione magnetica</w:t>
      </w:r>
      <w:r>
        <w:rPr/>
        <w:t>, una per ciascun sensore Hall, rispetto la posizione. Il grafico si aggiorna in tempo reale durante la scansione, consentendo di visualizzare immediatamente l’andamento del campo magnetico lungo la corsa.</w:t>
      </w:r>
    </w:p>
    <w:p>
      <w:pPr>
        <w:pStyle w:val="BodyText"/>
        <w:bidi w:val="0"/>
        <w:ind w:hanging="0" w:start="0" w:end="0"/>
        <w:jc w:val="both"/>
        <w:rPr/>
      </w:pPr>
      <w:r>
        <w:rPr/>
      </w:r>
    </w:p>
    <w:p>
      <w:pPr>
        <w:pStyle w:val="BodyText"/>
        <w:bidi w:val="0"/>
        <w:ind w:hanging="0" w:start="0" w:end="0"/>
        <w:jc w:val="both"/>
        <w:rPr/>
      </w:pPr>
      <w:r>
        <w:rPr>
          <w:rStyle w:val="Strong"/>
          <w:sz w:val="32"/>
          <w:szCs w:val="32"/>
        </w:rPr>
        <w:t>13.5 Indicatori IntB e ΔIntB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Nella parte inferiore sinistra della dashboard sono presenti </w:t>
      </w:r>
      <w:r>
        <w:rPr>
          <w:rStyle w:val="Strong"/>
        </w:rPr>
        <w:t>due piccoli grafici</w:t>
      </w:r>
      <w:r>
        <w:rPr/>
        <w:t xml:space="preserve">, ciascuno composto da </w:t>
      </w:r>
      <w:r>
        <w:rPr>
          <w:rStyle w:val="Strong"/>
        </w:rPr>
        <w:t>cinque barre</w:t>
      </w:r>
      <w:r>
        <w:rPr/>
        <w:t xml:space="preserve"> (una per ogni sensore Hall):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Grafico IntB</w:t>
      </w:r>
      <w:r>
        <w:rPr/>
        <w:t xml:space="preserve"> Riporta i valori calcolati di </w:t>
      </w:r>
      <w:r>
        <w:rPr>
          <w:rStyle w:val="Strong"/>
        </w:rPr>
        <w:t>IntB</w:t>
      </w:r>
      <w:r>
        <w:rPr/>
        <w:t xml:space="preserve"> per ciascun sensore. IntB rappresenta l’</w:t>
      </w:r>
      <w:r>
        <w:rPr>
          <w:rStyle w:val="Strong"/>
        </w:rPr>
        <w:t>integrale del campo magnetico</w:t>
      </w:r>
      <w:r>
        <w:rPr/>
        <w:t xml:space="preserve"> lungo l’intervallo di scansione, calcolato come integrale dei valori di B tra </w:t>
      </w:r>
      <w:r>
        <w:rPr>
          <w:rStyle w:val="Strong"/>
        </w:rPr>
        <w:t>Pi</w:t>
      </w:r>
      <w:r>
        <w:rPr/>
        <w:t xml:space="preserve"> e </w:t>
      </w:r>
      <w:r>
        <w:rPr>
          <w:rStyle w:val="Strong"/>
        </w:rPr>
        <w:t>Pf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Grafico ΔIntB</w:t>
      </w:r>
      <w:r>
        <w:rPr/>
        <w:t xml:space="preserve"> Riporta i valori calcolati di </w:t>
      </w:r>
      <w:r>
        <w:rPr>
          <w:rStyle w:val="Strong"/>
        </w:rPr>
        <w:t>ΔIntB</w:t>
      </w:r>
      <w:r>
        <w:rPr/>
        <w:t xml:space="preserve"> per ciascun sensore. ΔIntB rappresenta lo </w:t>
      </w:r>
      <w:r>
        <w:rPr>
          <w:rStyle w:val="Strong"/>
        </w:rPr>
        <w:t>scostamento di IntB rispetto a IntB</w:t>
      </w:r>
      <w:r>
        <w:rPr>
          <w:vertAlign w:val="subscript"/>
        </w:rPr>
        <w:t>Centrale</w:t>
      </w:r>
      <w:r>
        <w:rPr/>
        <w:t>, cioè rispetto al valore dell’integrale misurato lungo la traiettoria centrale.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I valori numerici esatti associati a ciascuna barra possono essere visualizzati tramite </w:t>
      </w:r>
      <w:r>
        <w:rPr>
          <w:rStyle w:val="Strong"/>
        </w:rPr>
        <w:t>tooltip</w:t>
      </w:r>
      <w:r>
        <w:rPr/>
        <w:t>, posizionando il puntatore del mouse sulla barra corrispondente.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Questi indicatori consentono all’operatore di valutare rapidamente la </w:t>
      </w:r>
      <w:r>
        <w:rPr>
          <w:rStyle w:val="Strong"/>
        </w:rPr>
        <w:t>simmetria</w:t>
      </w:r>
      <w:r>
        <w:rPr/>
        <w:t>, l’</w:t>
      </w:r>
      <w:r>
        <w:rPr>
          <w:rStyle w:val="Strong"/>
        </w:rPr>
        <w:t>uniformità</w:t>
      </w:r>
      <w:r>
        <w:rPr/>
        <w:t xml:space="preserve"> e la </w:t>
      </w:r>
      <w:r>
        <w:rPr>
          <w:rStyle w:val="Strong"/>
        </w:rPr>
        <w:t>capacità di focalizzazione</w:t>
      </w:r>
      <w:r>
        <w:rPr/>
        <w:t xml:space="preserve"> del solenoide.</w:t>
      </w:r>
    </w:p>
    <w:p>
      <w:pPr>
        <w:pStyle w:val="Heading1"/>
        <w:bidi w:val="0"/>
        <w:ind w:hanging="0" w:start="0" w:end="0"/>
        <w:jc w:val="both"/>
        <w:rPr/>
      </w:pPr>
      <w:r>
        <w:rPr>
          <w:rStyle w:val="Strong"/>
          <w:b/>
          <w:bCs/>
        </w:rPr>
        <w:t>14. Operazione di Scansione</w:t>
      </w:r>
    </w:p>
    <w:p>
      <w:pPr>
        <w:pStyle w:val="BodyText"/>
        <w:bidi w:val="0"/>
        <w:ind w:hanging="0" w:start="0" w:end="0"/>
        <w:jc w:val="both"/>
        <w:rPr/>
      </w:pPr>
      <w:r>
        <w:rPr/>
        <w:t>La scansione consente di rilevare il profilo del campo magnetico generato dal solenoide lungo l’intera corsa dell’equipaggio mobile, così come definita nei parametri di configurazione. Prima di avviare l’operazione è necessario alimentare il solenoide con una corrente costante (max 4 A). A tal fine, impostare l’alimentatore fornito in dotazione con una tensione di 15 V e con il valore di corrente desiderato.</w:t>
      </w:r>
    </w:p>
    <w:p>
      <w:pPr>
        <w:pStyle w:val="Heading2"/>
        <w:bidi w:val="0"/>
        <w:spacing w:lineRule="auto" w:line="276" w:before="0" w:after="140"/>
        <w:jc w:val="both"/>
        <w:rPr/>
      </w:pPr>
      <w:r>
        <w:rPr>
          <w:rStyle w:val="Strong"/>
          <w:b/>
          <w:bCs/>
          <w:sz w:val="32"/>
          <w:szCs w:val="32"/>
        </w:rPr>
        <w:t>14.1 Avvio della scansione</w:t>
      </w:r>
    </w:p>
    <w:p>
      <w:pPr>
        <w:pStyle w:val="BodyText"/>
        <w:bidi w:val="0"/>
        <w:ind w:hanging="0" w:start="0" w:end="0"/>
        <w:jc w:val="both"/>
        <w:rPr/>
      </w:pPr>
      <w:r>
        <w:rPr/>
        <w:t>Per avviare la scansione: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>Alimentare l’apparato e verificare che l’interruttore di emergenza non sia attivato.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>Alimentare il solenoide con la corrente indicata.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>Avviare l’applicazione Flux Scanner.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Premere il pulsante </w:t>
      </w:r>
      <w:r>
        <w:rPr>
          <w:rStyle w:val="Strong"/>
        </w:rPr>
        <w:t>HOME</w:t>
      </w:r>
      <w:r>
        <w:rPr/>
        <w:t xml:space="preserve"> per portare l’equipaggio mobile nella posizione di zeromacchina.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Premere il pulsante </w:t>
      </w:r>
      <w:r>
        <w:rPr>
          <w:rStyle w:val="Strong"/>
        </w:rPr>
        <w:t>SCAN</w:t>
      </w:r>
      <w:r>
        <w:rPr/>
        <w:t xml:space="preserve"> (pulsante verde).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L’apparato si porta automaticamente alla </w:t>
      </w:r>
      <w:r>
        <w:rPr>
          <w:rStyle w:val="Strong"/>
        </w:rPr>
        <w:t>Posizione iniziale</w:t>
      </w:r>
      <w:r>
        <w:rPr/>
        <w:t xml:space="preserve"> impostata nelle configurazioni e dà inizio alla scansione.</w:t>
      </w:r>
    </w:p>
    <w:p>
      <w:pPr>
        <w:pStyle w:val="Heading2"/>
        <w:bidi w:val="0"/>
        <w:spacing w:lineRule="auto" w:line="276" w:before="0" w:after="140"/>
        <w:jc w:val="both"/>
        <w:rPr/>
      </w:pPr>
      <w:r>
        <w:rPr>
          <w:rStyle w:val="Strong"/>
          <w:b/>
          <w:bCs/>
          <w:sz w:val="32"/>
          <w:szCs w:val="32"/>
        </w:rPr>
        <w:t>14.2 Svolgimento della scansione</w:t>
      </w:r>
    </w:p>
    <w:p>
      <w:pPr>
        <w:pStyle w:val="BodyText"/>
        <w:bidi w:val="0"/>
        <w:ind w:hanging="0" w:start="0" w:end="0"/>
        <w:jc w:val="both"/>
        <w:rPr/>
      </w:pPr>
      <w:r>
        <w:rPr/>
        <w:t>Durante la scansione: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l’equipaggio mobile avanza dalla </w:t>
      </w:r>
      <w:r>
        <w:rPr>
          <w:rStyle w:val="Strong"/>
        </w:rPr>
        <w:t>Posizione iniziale</w:t>
      </w:r>
      <w:r>
        <w:rPr/>
        <w:t xml:space="preserve"> alla </w:t>
      </w:r>
      <w:r>
        <w:rPr>
          <w:rStyle w:val="Strong"/>
        </w:rPr>
        <w:t>Posizione finale</w:t>
      </w:r>
      <w:r>
        <w:rPr/>
        <w:t>, seguendo gli step configurati dall’utente (Passo Low Resolution e Passo High Resolution; si veda l’apposita sezione per i dettagli sulla configurazione);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>in ogni punto di misura vengono acquisiti i valori dell’induzione magnetica rilevati dai cinque sensori Hall;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>i dati vengono inviati in tempo reale all’applicazione Flux Scanner, che li inserisce progressivamente nella tabella centrale e aggiorna il grafico dei valori acquisiti.</w:t>
      </w:r>
    </w:p>
    <w:p>
      <w:pPr>
        <w:pStyle w:val="BodyText"/>
        <w:bidi w:val="0"/>
        <w:ind w:hanging="0" w:start="0" w:end="0"/>
        <w:jc w:val="both"/>
        <w:rPr/>
      </w:pPr>
      <w:r>
        <w:rPr/>
        <w:t>L’operazione prosegue automaticamente fino al raggiungimento della Posizione finale.</w:t>
      </w:r>
    </w:p>
    <w:p>
      <w:pPr>
        <w:pStyle w:val="Heading2"/>
        <w:bidi w:val="0"/>
        <w:spacing w:lineRule="auto" w:line="276" w:before="0" w:after="140"/>
        <w:jc w:val="both"/>
        <w:rPr/>
      </w:pPr>
      <w:r>
        <w:rPr>
          <w:rStyle w:val="Strong"/>
          <w:b/>
          <w:bCs/>
          <w:sz w:val="32"/>
          <w:szCs w:val="32"/>
        </w:rPr>
        <w:t>14.3 Visualizzazione dei dati</w:t>
      </w:r>
    </w:p>
    <w:p>
      <w:pPr>
        <w:pStyle w:val="BodyText"/>
        <w:bidi w:val="0"/>
        <w:ind w:hanging="0" w:start="0" w:end="0"/>
        <w:jc w:val="both"/>
        <w:rPr/>
      </w:pPr>
      <w:r>
        <w:rPr/>
        <w:t>Durante l’acquisizione, Flux Scanner mostra: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>la posizione corrente dell’equipaggio mobile (relativa e assoluta);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>i valori di induzione magnetica misurati dai cinque sensori Hall;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>l’andamento delle misure nel grafico dedicato.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Il grafico rappresenta una </w:t>
      </w:r>
      <w:r>
        <w:rPr>
          <w:rStyle w:val="Strong"/>
        </w:rPr>
        <w:t>famiglia di cinque curve gaussiane</w:t>
      </w:r>
      <w:r>
        <w:rPr/>
        <w:t>, una per ciascun sensore, che descrivono i valori dell’induzione magnetica in funzione della posizione lungo l’asse Z. Questa rappresentazione consente di valutare immediatamente l’andamento del campo magnetico e la simmetria del solenoide.</w:t>
      </w:r>
    </w:p>
    <w:p>
      <w:pPr>
        <w:pStyle w:val="Heading2"/>
        <w:bidi w:val="0"/>
        <w:spacing w:lineRule="auto" w:line="276" w:before="0" w:after="140"/>
        <w:jc w:val="both"/>
        <w:rPr/>
      </w:pPr>
      <w:r>
        <w:rPr>
          <w:rStyle w:val="Strong"/>
          <w:b/>
          <w:bCs/>
          <w:sz w:val="32"/>
          <w:szCs w:val="32"/>
        </w:rPr>
        <w:t>14.4 Completamento della scansione</w:t>
      </w:r>
    </w:p>
    <w:p>
      <w:pPr>
        <w:pStyle w:val="BodyText"/>
        <w:bidi w:val="0"/>
        <w:ind w:hanging="0" w:start="0" w:end="0"/>
        <w:jc w:val="both"/>
        <w:rPr/>
      </w:pPr>
      <w:r>
        <w:rPr/>
        <w:t>Al termine dell’operazione: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l’equipaggio mobile ritorna automaticamente alla </w:t>
      </w:r>
      <w:r>
        <w:rPr>
          <w:rStyle w:val="Strong"/>
        </w:rPr>
        <w:t>Posizione iniziale</w:t>
      </w:r>
      <w:r>
        <w:rPr/>
        <w:t>;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>i dati acquisiti restano disponibili nella tabella e nel grafico per l’analisi successiva o per il salvataggio su disco.</w:t>
      </w:r>
    </w:p>
    <w:p>
      <w:pPr>
        <w:pStyle w:val="Heading2"/>
        <w:bidi w:val="0"/>
        <w:spacing w:lineRule="auto" w:line="276" w:before="0" w:after="140"/>
        <w:jc w:val="both"/>
        <w:rPr/>
      </w:pPr>
      <w:r>
        <w:rPr>
          <w:rStyle w:val="Strong"/>
          <w:b/>
          <w:bCs/>
          <w:sz w:val="32"/>
          <w:szCs w:val="32"/>
        </w:rPr>
        <w:t>14.5 Interruzione della scansione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La scansione può essere interrotta in qualsiasi momento premendo il pulsante </w:t>
      </w:r>
      <w:r>
        <w:rPr>
          <w:rStyle w:val="Strong"/>
        </w:rPr>
        <w:t>ABORT</w:t>
      </w:r>
      <w:r>
        <w:rPr/>
        <w:t>. L’equipaggio mobile si arresta immediatamente e l’operazione viene annullata.</w:t>
      </w:r>
    </w:p>
    <w:p>
      <w:pPr>
        <w:pStyle w:val="BodyText"/>
        <w:bidi w:val="0"/>
        <w:ind w:hanging="0" w:start="0" w:end="0"/>
        <w:jc w:val="both"/>
        <w:rPr/>
      </w:pPr>
      <w:r>
        <w:rPr/>
      </w:r>
    </w:p>
    <w:p>
      <w:pPr>
        <w:pStyle w:val="Heading1"/>
        <w:bidi w:val="0"/>
        <w:ind w:hanging="0" w:start="0" w:end="0"/>
        <w:jc w:val="both"/>
        <w:rPr/>
      </w:pPr>
      <w:r>
        <w:rPr>
          <w:rStyle w:val="Strong"/>
          <w:b/>
          <w:bCs/>
        </w:rPr>
        <w:t>15. Pulsante Fit Gaussiano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Al termine della scansione, sotto la tabella dei valori acquisiti si attiva il pulsante </w:t>
      </w:r>
      <w:r>
        <w:rPr>
          <w:rStyle w:val="Strong"/>
        </w:rPr>
        <w:t>Fit Gaussiano</w:t>
      </w:r>
      <w:r>
        <w:rPr/>
        <w:t xml:space="preserve">. Questo comando esegue un’elaborazione dei dati basata sulla </w:t>
      </w:r>
      <w:r>
        <w:rPr>
          <w:rStyle w:val="Strong"/>
        </w:rPr>
        <w:t>curva gaussiana che meglio approssima i valori misurati</w:t>
      </w:r>
      <w:r>
        <w:rPr/>
        <w:t xml:space="preserve"> dai cinque sensori Hall lungo l’intervallo di scansione.</w:t>
      </w:r>
    </w:p>
    <w:p>
      <w:pPr>
        <w:pStyle w:val="BodyText"/>
        <w:bidi w:val="0"/>
        <w:ind w:hanging="0" w:start="0" w:end="0"/>
        <w:jc w:val="both"/>
        <w:rPr/>
      </w:pPr>
      <w:r>
        <w:rPr/>
        <w:t>Quando il pulsante viene premuto, il sistema: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calcola, per ciascun sensore, la </w:t>
      </w:r>
      <w:r>
        <w:rPr>
          <w:rStyle w:val="Strong"/>
        </w:rPr>
        <w:t>gaussiana di best</w:t>
        <w:noBreakHyphen/>
        <w:t>fit</w:t>
      </w:r>
      <w:r>
        <w:rPr/>
        <w:t xml:space="preserve"> rispetto ai valori presenti in tabella;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/>
        <w:t>genera una nuova serie di valori ricavati dalla curva gaussiana;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sostituisce</w:t>
      </w:r>
      <w:r>
        <w:rPr/>
        <w:t xml:space="preserve"> i valori originali della tabella con quelli ottenuti dal fit;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709" w:leader="none"/>
        </w:tabs>
        <w:bidi w:val="0"/>
        <w:ind w:hanging="283" w:start="709" w:end="0"/>
        <w:jc w:val="both"/>
        <w:rPr/>
      </w:pPr>
      <w:r>
        <w:rPr>
          <w:rStyle w:val="Strong"/>
        </w:rPr>
        <w:t>ridisegna il grafico</w:t>
      </w:r>
      <w:r>
        <w:rPr/>
        <w:t xml:space="preserve"> utilizzando esclusivamente i valori filtrati.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L’operazione ha l’effetto di </w:t>
      </w:r>
      <w:r>
        <w:rPr>
          <w:rStyle w:val="Strong"/>
        </w:rPr>
        <w:t>“pulire” il grafico</w:t>
      </w:r>
      <w:r>
        <w:rPr/>
        <w:t>, eliminando il rumore di misura e mettendo in evidenza l’andamento ideale del campo magnetico lungo la traiettoria.</w:t>
      </w:r>
    </w:p>
    <w:p>
      <w:pPr>
        <w:pStyle w:val="BodyText"/>
        <w:bidi w:val="0"/>
        <w:ind w:hanging="0" w:start="0" w:end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  <w:r>
        <w:br w:type="page"/>
      </w:r>
    </w:p>
    <w:p>
      <w:pPr>
        <w:pStyle w:val="Heading1"/>
        <w:bidi w:val="0"/>
        <w:ind w:hanging="0" w:start="0" w:end="0"/>
        <w:jc w:val="both"/>
        <w:rPr/>
      </w:pPr>
      <w:r>
        <w:rPr>
          <w:rStyle w:val="Strong"/>
          <w:b/>
          <w:bCs/>
        </w:rPr>
        <w:t>1</w:t>
      </w:r>
      <w:r>
        <w:rPr>
          <w:rStyle w:val="Strong"/>
          <w:b/>
          <w:bCs/>
        </w:rPr>
        <w:t>6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</w:rPr>
        <w:t>Appendice 1 – Schema elettrico</w:t>
      </w:r>
    </w:p>
    <w:p>
      <w:pPr>
        <w:pStyle w:val="BodyText"/>
        <w:bidi w:val="0"/>
        <w:ind w:hanging="0" w:start="0" w:end="0"/>
        <w:jc w:val="both"/>
        <w:rPr>
          <w:rStyle w:val="Strong"/>
          <w:b/>
          <w:bCs/>
        </w:rPr>
      </w:pPr>
      <w:r>
        <w:rPr/>
      </w:r>
    </w:p>
    <w:p>
      <w:pPr>
        <w:pStyle w:val="BodyText"/>
        <w:bidi w:val="0"/>
        <w:spacing w:before="0" w:after="140"/>
        <w:ind w:hanging="0" w:start="0" w:end="0"/>
        <w:jc w:val="both"/>
        <w:rPr>
          <w:rStyle w:val="Strong"/>
          <w:b/>
          <w:bCs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66585" cy="5154295"/>
            <wp:effectExtent l="0" t="0" r="0" b="0"/>
            <wp:wrapSquare wrapText="largest"/>
            <wp:docPr id="4" name="Immagin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6585" cy="515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1">
    <w:name w:val="heading 1"/>
    <w:basedOn w:val="Tito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ito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Caratteridinumerazione">
    <w:name w:val="Caratteri di numerazione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numbering" w:styleId="Numerazione123">
    <w:name w:val="Numerazione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1295</TotalTime>
  <Application>LibreOffice/26.2.0.3$Windows_X86_64 LibreOffice_project/620$Build-3</Application>
  <AppVersion>15.0000</AppVersion>
  <Pages>15</Pages>
  <Words>3308</Words>
  <Characters>19615</Characters>
  <CharactersWithSpaces>22526</CharactersWithSpaces>
  <Paragraphs>284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2026-05-03T15:31:27Z</dcterms:created>
  <dc:creator/>
  <dc:description/>
  <dc:language>it-IT</dc:language>
  <cp:lastModifiedBy/>
  <cp:lastPrinted>2026-05-13T15:40:30Z</cp:lastPrinted>
  <dcterms:modified xsi:type="dcterms:W3CDTF">2026-05-17T10:22:03Z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