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Examen · Del Genoma Crudo a la Clínica (Nutrición Molecular)</w:t>
      </w:r>
    </w:p>
    <w:p>
      <w:pPr>
        <w:spacing w:after="100"/>
      </w:pPr>
      <w:r>
        <w:rPr>
          <w:color w:val="5A6470"/>
        </w:rPr>
        <w:t xml:space="preserve">100 puntos · 120 minutos</w:t>
      </w:r>
    </w:p>
    <w:p>
      <w:pPr>
        <w:spacing w:after="200"/>
      </w:pPr>
      <w:r>
        <w:t xml:space="preserve">Nombre: ____________________________________   Código: ______________   Fecha: ____________</w:t>
      </w:r>
    </w:p>
    <w:p>
      <w:pPr>
        <w:spacing w:after="100"/>
      </w:pPr>
      <w:r>
        <w:rPr>
          <w:b/>
          <w:bCs/>
        </w:rPr>
        <w:t xml:space="preserve">Examen individual en línea · 2 horas · 100 puntos.</w:t>
      </w:r>
    </w:p>
    <w:p>
      <w:pPr>
        <w:spacing w:after="100"/>
      </w:pPr>
      <w:r>
        <w:rPr>
          <w:b/>
          <w:bCs/>
        </w:rPr>
        <w:t xml:space="preserve">No está permitido usar inteligencia artificial</w:t>
      </w:r>
      <w:r>
        <w:t xml:space="preserve"> (ChatGPT, Gemini, Copilot, Claude, traductores con IA, extensiones o apps que generen respuestas), ni consultar a otras personas. Puedes usar calculadora y una tabla del código genético.</w:t>
      </w:r>
    </w:p>
    <w:p>
      <w:pPr>
        <w:spacing w:after="100"/>
      </w:pPr>
      <w:r>
        <w:t xml:space="preserve">Las preguntas piden razonar con los datos de cada caso: una respuesta genérica, aunque suene correcta, no obtiene el puntaje.</w:t>
      </w:r>
    </w:p>
    <w:p>
      <w:pPr>
        <w:pStyle w:val="Heading2"/>
      </w:pPr>
      <w:r>
        <w:t xml:space="preserve">Instrucciones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Tiempo límite: </w:t>
      </w:r>
      <w:r>
        <w:rPr>
          <w:b/>
          <w:bCs/>
        </w:rPr>
        <w:t xml:space="preserve">120 minutos</w:t>
      </w:r>
      <w:r>
        <w:t xml:space="preserve"> y </w:t>
      </w:r>
      <w:r>
        <w:rPr>
          <w:b/>
          <w:bCs/>
        </w:rPr>
        <w:t xml:space="preserve">un solo intento</w:t>
      </w:r>
      <w:r>
        <w:t xml:space="preserve">. Canvas envía el examen automáticamente al terminar el tiempo.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Uso de inteligencia artificial prohibido.</w:t>
      </w:r>
      <w:r>
        <w:t xml:space="preserve"> Cualquier respuesta generada o reescrita con IA, o copiada de otra persona, se anula y se reporta conforme al reglamento.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Permitido: calculadora y tabla del código genético. No necesitas otras fuentes.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Cálculos: escribe solo el número, con punto decimal y sin unidades.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Selección múltiple: marca todas las correctas; se da crédito parcial y se descuentan las marcadas de más.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Casos de respuesta extendida: escribe con tus palabras y usa los datos del caso; se califica el razonamiento, no la extensión.</w:t>
      </w:r>
    </w:p>
    <w:p>
      <w:pPr>
        <w:spacing w:after="100"/>
      </w:pPr>
      <w:r>
        <w:rPr>
          <w:b/>
          <w:bCs/>
        </w:rPr>
        <w:t xml:space="preserve">Distribución sugerida del tiempo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Bloque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Minutos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 1 · Opción múltiple (10 reactivos, 30 pts)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 2 · Casos clínicos (7 reactivos, 30 pts)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 3 · Bioinformática y geles (6 reactivos, 20 pts)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 4 · Cálculo y troubleshooting (6 reactivos, 20 pts)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Revisión final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</w:tr>
    </w:tbl>
    <w:p>
      <w:pPr>
        <w:spacing w:after="60"/>
      </w:pPr>
    </w:p>
    <w:p>
      <w:pPr>
        <w:pStyle w:val="Heading3"/>
        <w:keepNext/>
      </w:pPr>
      <w:r>
        <w:t xml:space="preserve">Declaración de integridad académica</w:t>
      </w:r>
      <w:r>
        <w:rPr>
          <w:b w:val="false"/>
          <w:bCs w:val="false"/>
          <w:color w:val="5A6470"/>
          <w:sz w:val="20"/>
          <w:szCs w:val="20"/>
        </w:rPr>
        <w:t xml:space="preserve">   0 pts</w:t>
      </w:r>
    </w:p>
    <w:p>
      <w:pPr>
        <w:spacing w:after="100"/>
      </w:pPr>
      <w:r>
        <w:t xml:space="preserve">Declaro que resolveré este examen de forma individual, </w:t>
      </w:r>
      <w:r>
        <w:rPr>
          <w:b/>
          <w:bCs/>
        </w:rPr>
        <w:t xml:space="preserve">sin usar herramientas de inteligencia artificial</w:t>
      </w:r>
      <w:r>
        <w:t xml:space="preserve"> ni ayuda de otras personas, y que las respuestas escritas son de mi autoría. Entiendo que incumplir esta declaración anula el examen.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Sí, lo declaro y acepto estas condiciones.</w:t>
      </w:r>
    </w:p>
    <w:p>
      <w:pPr>
        <w:spacing w:after="160"/>
      </w:pPr>
    </w:p>
    <w:p>
      <w:pPr>
        <w:pStyle w:val="Heading1"/>
      </w:pPr>
      <w:r>
        <w:t xml:space="preserve">Bloque 1 · Fundamentos moleculares y ómicos (30 %)</w:t>
      </w:r>
    </w:p>
    <w:p>
      <w:pPr>
        <w:spacing w:after="100"/>
      </w:pPr>
      <w:r>
        <w:t xml:space="preserve">10 reactivos de opción múltiple, 3 puntos cada uno. Elige la opción mejor justificada.</w:t>
      </w:r>
    </w:p>
    <w:p>
      <w:pPr>
        <w:pStyle w:val="Heading3"/>
        <w:keepNext/>
      </w:pPr>
      <w:r>
        <w:t xml:space="preserve">E1-1 · Probar que una variante actúa en cis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Se quiere demostrar que el alelo −13910T aumenta la transcripción de </w:t>
      </w:r>
      <w:r>
        <w:rPr>
          <w:i/>
          <w:iCs/>
        </w:rPr>
        <w:t xml:space="preserve">LCT</w:t>
      </w:r>
      <w:r>
        <w:t xml:space="preserve"> en el propio cromosoma que lo porta (efecto en </w:t>
      </w:r>
      <w:r>
        <w:rPr>
          <w:i/>
          <w:iCs/>
        </w:rPr>
        <w:t xml:space="preserve">cis</w:t>
      </w:r>
      <w:r>
        <w:t xml:space="preserve">) y no por un factor general del individuo. Se dispone de biopsias intestinales de adultos heterocigotos C/T que también son heterocigotos para un SNP sinónimo dentro del exón de </w:t>
      </w:r>
      <w:r>
        <w:rPr>
          <w:i/>
          <w:iCs/>
        </w:rPr>
        <w:t xml:space="preserve">LCT</w:t>
      </w:r>
      <w:r>
        <w:t xml:space="preserve">. ¿Qué medición lo demuestra mejor?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Comparar la actividad de lactasa entre personas C/C y T/T de distintas familias.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Medir la lactasa total en heces.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Medir la expresión específica de alelo: comparar, dentro de la misma biopsia, cuánto mRNA de LCT proviene del cromosoma con T y cuánto del cromosoma con C, usando el SNP exónico como marcador.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Secuenciar el genoma completo de cada persona.</w:t>
      </w:r>
    </w:p>
    <w:p>
      <w:pPr>
        <w:spacing w:after="160"/>
      </w:pPr>
    </w:p>
    <w:p>
      <w:pPr>
        <w:pStyle w:val="Heading3"/>
        <w:keepNext/>
      </w:pPr>
      <w:r>
        <w:t xml:space="preserve">E1-2 · ¿Cuál variante preocupa más?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En el gen de una enzima metabólica se encuentran dos variantes en un paciente: (1) un missense que cambia un residuo de la superficie, poco conservado entre especies, Lys→Arg; (2) un cambio sinónimo en el último nucleótido de un exón, junto al sitio donador de splicing. ¿Cuál razonamiento es el más sólido?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Ninguna puede tener efecto porque ninguna es nonsense.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La 1 es más grave porque todo missense cambia la proteína y todo sinónimo es neutro.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Ambas son igual de graves porque las dos están en el mismo gen.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La 2 puede ser más dañina: aunque no cambia el aminoácido, puede alterar el reconocimiento del sitio de splicing y causar salto de exón; la 1 es un cambio conservador (ambos básicos) en un sitio poco conservado.</w:t>
      </w:r>
    </w:p>
    <w:p>
      <w:pPr>
        <w:spacing w:after="160"/>
      </w:pPr>
    </w:p>
    <w:p>
      <w:pPr>
        <w:pStyle w:val="Heading3"/>
        <w:keepNext/>
      </w:pPr>
      <w:r>
        <w:t xml:space="preserve">E1-3 · Una CNV que el genotipado no ve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Un estudio genotipa el SNP más cercano al locus </w:t>
      </w:r>
      <w:r>
        <w:rPr>
          <w:i/>
          <w:iCs/>
        </w:rPr>
        <w:t xml:space="preserve">AMY1</w:t>
      </w:r>
      <w:r>
        <w:t xml:space="preserve"> con una PCR de punto final y no encuentra asociación con la actividad de amilasa salival. Otro estudio en la misma población, con PCR digital, encuentra que el número de copias de </w:t>
      </w:r>
      <w:r>
        <w:rPr>
          <w:i/>
          <w:iCs/>
        </w:rPr>
        <w:t xml:space="preserve">AMY1</w:t>
      </w:r>
      <w:r>
        <w:t xml:space="preserve"> (de 2 a 14) sí se asocia. ¿Cuál es la explicación más probable?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La variación relevante es el número de copias del gen; un ensayo diseñado para leer las bases de un SNP no cuantifica cuántas copias hay, así que no captura el efecto de dosis.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La PCR de punto final siempre detecta CNV si se corre un gel.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El segundo estudio se equivocó porque usó una técnica más nueva.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La amilasa salival no depende del DNA.</w:t>
      </w:r>
    </w:p>
    <w:p>
      <w:pPr>
        <w:spacing w:after="160"/>
      </w:pPr>
    </w:p>
    <w:p>
      <w:pPr>
        <w:pStyle w:val="Heading3"/>
        <w:keepNext/>
      </w:pPr>
      <w:r>
        <w:t xml:space="preserve">E1-4 · Cómo identificar respondedores de verdad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Un grupo quiere clasificar a 40 personas como hiper o hiporrespondedoras del LDL a la grasa saturada. ¿Cuál diseño separa mejor la respuesta individual verdadera del ruido?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Preguntar a cada persona si siente que la grasa le sube el colesterol.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Comparar a las personas de LDL más alto con las de LDL más bajo en una sola toma.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Una sola medición de LDL después de 4 semanas de dieta alta en grasa saturada.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Un ensayo cruzado: cada persona pasa por dieta control y dieta alta en grasa saturada en orden aleatorio, con lavado entre fases y mediciones repetidas de LDL en cada fase; idealmente repitiendo el reto.</w:t>
      </w:r>
    </w:p>
    <w:p>
      <w:pPr>
        <w:spacing w:after="160"/>
      </w:pPr>
    </w:p>
    <w:p>
      <w:pPr>
        <w:pStyle w:val="Heading3"/>
        <w:keepNext/>
      </w:pPr>
      <w:r>
        <w:t xml:space="preserve">E1-5 · Un AVI/AVI que percibe el amargo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Una estudiante con genotipo </w:t>
      </w:r>
      <w:r>
        <w:rPr>
          <w:i/>
          <w:iCs/>
        </w:rPr>
        <w:t xml:space="preserve">TAS2R38</w:t>
      </w:r>
      <w:r>
        <w:t xml:space="preserve"> AVI/AVI califica el PROP como «muy amargo», con un puntaje similar al de compañeros PAV/PAV. ¿Cuál interpretación es la más rigurosa?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Los AVI/AVI son en realidad «supertasters».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TAS2R38 explica gran parte de la variación en la percepción de PROP, pero no toda: influyen otros genes de receptores, la densidad de papilas fungiformes, la técnica de la prueba y factores de atención. Antes de dudar del genotipo, conviene repetir la prueba con controles.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El genotipado debe estar mal, porque AVI/AVI siempre es no catador.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La percepción del amargo no tiene relación con TAS2R38.</w:t>
      </w:r>
    </w:p>
    <w:p>
      <w:pPr>
        <w:spacing w:after="160"/>
      </w:pPr>
    </w:p>
    <w:p>
      <w:pPr>
        <w:pStyle w:val="Heading3"/>
        <w:keepNext/>
      </w:pPr>
      <w:r>
        <w:t xml:space="preserve">E1-6 · Tamiz neonatal: PKU sí, lactasa no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¿Por qué se tamiza fenilcetonuria (</w:t>
      </w:r>
      <w:r>
        <w:rPr>
          <w:i/>
          <w:iCs/>
        </w:rPr>
        <w:t xml:space="preserve">PAH</w:t>
      </w:r>
      <w:r>
        <w:t xml:space="preserve">) en todos los recién nacidos, pero no se tamiza el genotipo de persistencia de lactasa?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Porque el genotipo de lactasa no se puede determinar con PCR.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Porque la PKU es más frecuente que la no persistencia de lactasa.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Porque PKU es una enfermedad de gran efecto con daño neurológico irreversible si no se trata desde las primeras semanas y con un tratamiento eficaz (restricción de fenilalanina); la no persistencia de lactasa es común, aparece después del destete y se maneja según síntomas.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Porque la lactasa no tiene base genética.</w:t>
      </w:r>
    </w:p>
    <w:p>
      <w:pPr>
        <w:spacing w:after="160"/>
      </w:pPr>
    </w:p>
    <w:p>
      <w:pPr>
        <w:pStyle w:val="Heading3"/>
        <w:keepNext/>
      </w:pPr>
      <w:r>
        <w:t xml:space="preserve">E1-7 · Del GWAS a la persona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En un GWAS de 500 000 personas, cada alelo A de </w:t>
      </w:r>
      <w:r>
        <w:rPr>
          <w:i/>
          <w:iCs/>
        </w:rPr>
        <w:t xml:space="preserve">FTO</w:t>
      </w:r>
      <w:r>
        <w:t xml:space="preserve"> rs9939609 se asocia con +0.35 kg/m² de IMC (p = 10⁻⁸⁰). Una persona AA pregunta si su IMC alto «es culpa del gen». ¿Qué respuesta es más correcta?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No: si el efecto es pequeño, la asociación es falsa.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El p indica que la asociación es real en la población, pero el efecto por persona es pequeño (≈ 0.7 kg/m² en AA frente a TT); su IMC depende sobre todo de muchos otros genes y del ambiente, y el genotipo no predice bien el IMC de un individuo.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Sí: con un p tan pequeño, el gen explica su IMC.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Sí: los AA siempre tienen IMC mayor que los TT.</w:t>
      </w:r>
    </w:p>
    <w:p>
      <w:pPr>
        <w:spacing w:after="160"/>
      </w:pPr>
    </w:p>
    <w:p>
      <w:pPr>
        <w:pStyle w:val="Heading3"/>
        <w:keepNext/>
      </w:pPr>
      <w:r>
        <w:t xml:space="preserve">E1-8 · MTHFR en un país que fortifica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En una población con fortificación obligatoria de harinas con ácido fólico, la diferencia de homocisteína entre personas </w:t>
      </w:r>
      <w:r>
        <w:rPr>
          <w:i/>
          <w:iCs/>
        </w:rPr>
        <w:t xml:space="preserve">MTHFR</w:t>
      </w:r>
      <w:r>
        <w:t xml:space="preserve"> TT y CC es mucho menor que en una población sin fortificación. ¿Qué explica mejor este hallazgo?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Es una interacción gen–ambiente: con folato abundante, la enzima termolábil TT recibe suficiente sustrato y se estabiliza, así que el efecto del genotipo se atenúa; con folato bajo, el efecto se hace evidente.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Las personas TT dejaron de absorber ácido fólico.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La homocisteína no depende del folato.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La fortificación cambió el genotipo de la población.</w:t>
      </w:r>
    </w:p>
    <w:p>
      <w:pPr>
        <w:spacing w:after="160"/>
      </w:pPr>
    </w:p>
    <w:p>
      <w:pPr>
        <w:pStyle w:val="Heading3"/>
        <w:keepNext/>
      </w:pPr>
      <w:r>
        <w:t xml:space="preserve">E1-9 · ALDH2 como experimento natural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Varios estudios usan el genotipo </w:t>
      </w:r>
      <w:r>
        <w:rPr>
          <w:i/>
          <w:iCs/>
        </w:rPr>
        <w:t xml:space="preserve">ALDH2</w:t>
      </w:r>
      <w:r>
        <w:t xml:space="preserve"> rs671 para estimar el efecto causal del alcohol sobre la presión arterial: los portadores de ALDH2*2 beben menos por el rubor y tienen presión más baja. ¿Por qué este diseño (aleatorización mendeliana) fortalece la inferencia causal?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Porque ALDH2 controla directamente la presión arterial.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Porque elimina la necesidad de medir el consumo de alcohol.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Porque demuestra que el acetaldehído baja la presión.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Porque el genotipo se asigna al azar en la concepción, antes de los hábitos; así no está confundido por nivel socioeconómico o tabaco, y si el genotipo que reduce el consumo también reduce la presión, apoya que el alcohol eleva la presión.</w:t>
      </w:r>
    </w:p>
    <w:p>
      <w:pPr>
        <w:spacing w:after="160"/>
      </w:pPr>
    </w:p>
    <w:p>
      <w:pPr>
        <w:pStyle w:val="Heading3"/>
        <w:keepNext/>
      </w:pPr>
      <w:r>
        <w:t xml:space="preserve">E1-10 · Genotipo o fenotipo metabólico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Para individualizar la recomendación de café, ¿qué indicador refleja mejor la actividad real de CYP1A2 de una persona: su genotipo rs762551 o el cociente paraxantina/cafeína en plasma 4–6 h después de una dosis estándar?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Ninguno, porque la cafeína no se metaboliza en el hígado.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El cociente metabólico, porque integra el genotipo con factores que inducen o inhiben a CYP1A2 (tabaquismo, anticonceptivos orales, algunos fármacos, embarazo); el genotipo solo predice una parte de esa actividad.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El genotipo, porque no cambia con el tiempo.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Ambos dan exactamente la misma información.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Bloque 2 · Casos clínicos y diagnóstico nutrigenético (30 %)</w:t>
      </w:r>
    </w:p>
    <w:p>
      <w:pPr>
        <w:spacing w:after="100"/>
      </w:pPr>
      <w:r>
        <w:t xml:space="preserve">4 casos de opción múltiple (3 pts c/u), 1 de selección múltiple (4 pts) y 2 casos de respuesta extendida (7 pts c/u).</w:t>
      </w:r>
    </w:p>
    <w:p>
      <w:pPr>
        <w:pStyle w:val="Heading3"/>
        <w:keepNext/>
      </w:pPr>
      <w:r>
        <w:t xml:space="preserve">E2-1 · «Es cultural, no genético»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Un chef afirma que el rechazo al cilantro por su sabor «a jabón» es puramente cultural. En una cohorte, una variante cercana al receptor olfatorio </w:t>
      </w:r>
      <w:r>
        <w:rPr>
          <w:i/>
          <w:iCs/>
        </w:rPr>
        <w:t xml:space="preserve">OR6A2</w:t>
      </w:r>
      <w:r>
        <w:t xml:space="preserve"> se asocia con esa percepción, pero explica solo una parte pequeña de la variación, y la percepción también cambia con la exposición repetida y con el machacado de las hojas. ¿Qué conclusión es la más equilibrada?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Es 100 % genético: quien tiene la variante nunca podrá tolerar el cilantro.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Es un rasgo multifactorial: hay un componente genético real (receptor que detecta aldehídos del cilantro) y componentes ambientales (exposición, preparación que modifica los aldehídos); ninguno lo explica solo.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El chef tiene razón: si el efecto genético es pequeño, no existe.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La variante cambia la composición química del cilantro.</w:t>
      </w:r>
    </w:p>
    <w:p>
      <w:pPr>
        <w:spacing w:after="160"/>
      </w:pPr>
    </w:p>
    <w:p>
      <w:pPr>
        <w:pStyle w:val="Heading3"/>
        <w:keepNext/>
      </w:pPr>
      <w:r>
        <w:t xml:space="preserve">E2-2 · Cafeína antes de competir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Una ciclista toma 6 mg/kg de cafeína antes de cada prueba porque «todos los estudios muestran que mejora el rendimiento». Su genotipo </w:t>
      </w:r>
      <w:r>
        <w:rPr>
          <w:i/>
          <w:iCs/>
        </w:rPr>
        <w:t xml:space="preserve">CYP1A2</w:t>
      </w:r>
      <w:r>
        <w:t xml:space="preserve"> rs762551 es C/C. En un ensayo con atletas, la cafeína mejoró el tiempo en A/A, tuvo poco efecto en A/C y lo empeoró en C/C. ¿Qué recomendación es la más defendible?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Explicar que el efecto ergogénico promedio puede no aplicarse a su genotipo; probar de forma controlada (con y sin cafeína, en orden aleatorio) dosis menores o ninguna, y vigilar efectos adversos y sueño.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Mantener la dosis: el promedio de la literatura es positivo.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Prohibirle la cafeína para siempre por riesgo cardiaco inmediato.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Duplicar la dosis para compensar el metabolismo lento.</w:t>
      </w:r>
    </w:p>
    <w:p>
      <w:pPr>
        <w:spacing w:after="160"/>
      </w:pPr>
    </w:p>
    <w:p>
      <w:pPr>
        <w:pStyle w:val="Heading3"/>
        <w:keepNext/>
      </w:pPr>
      <w:r>
        <w:t xml:space="preserve">E2-3 · C/C pero toma leche sin problema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Una mujer mexicana de ascendencia indígena tiene genotipo </w:t>
      </w:r>
      <w:r>
        <w:rPr>
          <w:i/>
          <w:iCs/>
        </w:rPr>
        <w:t xml:space="preserve">MCM6</w:t>
      </w:r>
      <w:r>
        <w:t xml:space="preserve"> −13910 C/C (no persistencia según el marcador europeo) y refiere tomar un vaso de leche al día sin síntomas. ¿Cuál explicación es la menos probable?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Puede tener hipolactasia y aun así tolerar una dosis moderada de lactosa, gracias a la adaptación de su microbiota colónica y a que la toma con alimentos.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Puede portar otra variante de persistencia no incluida en la prueba, porque −13910T es característica de poblaciones europeas.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El genotipo C/C le causa alergia a la leche que todavía no se ha manifestado.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Puede tener malabsorción sin intolerancia: la lactosa no se absorbe por completo, pero no le causa síntomas con esa dosis.</w:t>
      </w:r>
    </w:p>
    <w:p>
      <w:pPr>
        <w:spacing w:after="160"/>
      </w:pPr>
    </w:p>
    <w:p>
      <w:pPr>
        <w:pStyle w:val="Heading3"/>
        <w:keepNext/>
      </w:pPr>
      <w:r>
        <w:t xml:space="preserve">E2-4 · Rubor con ALDH2 «normal»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Un paciente presenta rubor, palpitaciones y náuseas al beber una cerveza desde hace una semana. Su genotipo </w:t>
      </w:r>
      <w:r>
        <w:rPr>
          <w:i/>
          <w:iCs/>
        </w:rPr>
        <w:t xml:space="preserve">ALDH2</w:t>
      </w:r>
      <w:r>
        <w:t xml:space="preserve"> rs671 es G/G (*1/*1). Hace 10 días inició un antibiótico para una infección dental. ¿Qué haces primero?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Indicar que beba más para generar tolerancia.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Revisar el fármaco: algunos medicamentos (p. ej., metronidazol) producen una reacción tipo disulfiram que inhibe el metabolismo del acetaldehído; un genotipo normal no excluye causas adquiridas.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Concluir que desarrolló una mutación nueva en ALDH2.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Repetir el genotipado, porque debe ser ALDH2*2.</w:t>
      </w:r>
    </w:p>
    <w:p>
      <w:pPr>
        <w:spacing w:after="160"/>
      </w:pPr>
    </w:p>
    <w:p>
      <w:pPr>
        <w:pStyle w:val="Heading3"/>
        <w:keepNext/>
      </w:pPr>
      <w:r>
        <w:t xml:space="preserve">E2-5 · Evaluar un reporte comercial</w:t>
      </w:r>
      <w:r>
        <w:rPr>
          <w:b w:val="false"/>
          <w:bCs w:val="false"/>
          <w:color w:val="5A6470"/>
          <w:sz w:val="20"/>
          <w:szCs w:val="20"/>
        </w:rPr>
        <w:t xml:space="preserve">   4 pts</w:t>
      </w:r>
    </w:p>
    <w:p>
      <w:pPr>
        <w:spacing w:after="100"/>
      </w:pPr>
      <w:r>
        <w:t xml:space="preserve">Un reporte nutrigenético de venta directa al consumidor afirma lo siguiente. Selecciona las afirmaciones que </w:t>
      </w:r>
      <w:r>
        <w:rPr>
          <w:b/>
          <w:bCs/>
        </w:rPr>
        <w:t xml:space="preserve">están respaldadas</w:t>
      </w:r>
      <w:r>
        <w:t xml:space="preserve"> por la evidencia vista en el curso.</w:t>
      </w:r>
    </w:p>
    <w:p>
      <w:pPr>
        <w:spacing w:after="100"/>
      </w:pPr>
      <w:r>
        <w:rPr>
          <w:i/>
          <w:iCs/>
          <w:color w:val="5A6470"/>
          <w:sz w:val="20"/>
          <w:szCs w:val="20"/>
        </w:rPr>
        <w:t xml:space="preserve">Marca todas las correctas.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«Por su genotipo MTHFR TT, debe evitar todo alimento con ácido fólico.»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«Por su genotipo APOE ε4, su LDL tiende a responder más a la grasa saturada y al colesterol dietario.»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«Por su genotipo TAS2R38 PAV/PAV, es probable que perciba más amargas las crucíferas.»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«Por su genotipo FTO AA, ninguna dieta le funcionará para perder peso.»</w:t>
      </w:r>
    </w:p>
    <w:p>
      <w:pPr>
        <w:spacing w:after="60"/>
        <w:ind w:left="360" w:hanging="360"/>
      </w:pPr>
      <w:r>
        <w:rPr>
          <w:b/>
          <w:bCs/>
        </w:rPr>
        <w:t xml:space="preserve">E)  </w:t>
      </w:r>
      <w:r>
        <w:t xml:space="preserve">«Por su genotipo ALDH2*1/*2, el alcohol le genera más acetaldehído en sangre y saliva, y beber se asocia con mayor riesgo de cáncer de esófago.»</w:t>
      </w:r>
    </w:p>
    <w:p>
      <w:pPr>
        <w:spacing w:after="160"/>
      </w:pPr>
    </w:p>
    <w:p>
      <w:pPr>
        <w:pStyle w:val="Heading3"/>
        <w:keepNext/>
      </w:pPr>
      <w:r>
        <w:t xml:space="preserve">E2-6 · Caso: intolerancia de inicio reciente</w:t>
      </w:r>
      <w:r>
        <w:rPr>
          <w:b w:val="false"/>
          <w:bCs w:val="false"/>
          <w:color w:val="5A6470"/>
          <w:sz w:val="20"/>
          <w:szCs w:val="20"/>
        </w:rPr>
        <w:t xml:space="preserve">   7 pts</w:t>
      </w:r>
    </w:p>
    <w:p>
      <w:pPr>
        <w:spacing w:after="100"/>
      </w:pPr>
      <w:r>
        <w:t xml:space="preserve">Hombre de 31 años que siempre tomó leche sin molestias. Hace 6 semanas tuvo una gastroenteritis por rotavirus; desde entonces presenta distensión y diarrea con cualquier lácteo. Resultados: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Estudio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Genotipo </w:t>
            </w:r>
            <w:r>
              <w:rPr>
                <w:i/>
                <w:iCs/>
                <w:sz w:val="20"/>
                <w:szCs w:val="20"/>
              </w:rPr>
              <w:t xml:space="preserve">MCM6</w:t>
            </w:r>
            <w:r>
              <w:rPr>
                <w:sz w:val="20"/>
                <w:szCs w:val="20"/>
              </w:rPr>
              <w:t xml:space="preserve"> −13910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T/T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Prueba de H₂ espirado (25 g de lactosa)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Aumento de 46 ppm (positiva ≥ 20), con síntomas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Anticuerpos para enfermedad celíaca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Negativos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Coprocultivo actual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Negativo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a) ¿Cómo es posible que un T/T tenga malabsorción e intolerancia? Distingue hipolactasia primaria y secundaria. b) Explica qué dice y qué no dice su genotipo sobre la expresión de LCT. c) ¿Qué pronóstico esperas y por qué? d) Propón un manejo nutricional temporal y un criterio para reintroducir lácteos. e) ¿Qué error cometería alguien que interpretara solo el genotipo?</w:t>
      </w: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spacing w:after="160"/>
      </w:pPr>
    </w:p>
    <w:p>
      <w:pPr>
        <w:pStyle w:val="Heading3"/>
        <w:keepNext/>
      </w:pPr>
      <w:r>
        <w:t xml:space="preserve">E2-7 · Caso: un hallazgo que no se buscó</w:t>
      </w:r>
      <w:r>
        <w:rPr>
          <w:b w:val="false"/>
          <w:bCs w:val="false"/>
          <w:color w:val="5A6470"/>
          <w:sz w:val="20"/>
          <w:szCs w:val="20"/>
        </w:rPr>
        <w:t xml:space="preserve">   7 pts</w:t>
      </w:r>
    </w:p>
    <w:p>
      <w:pPr>
        <w:spacing w:after="100"/>
      </w:pPr>
      <w:r>
        <w:t xml:space="preserve">Mujer de 38 años, ascendencia coreana, IMC 29, LDL 171 mg/dL. Quiere un plan de alimentación «según sus genes». Su reporte: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Gen (variante)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Genotipo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APOE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ε4/ε4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ALDH2</w:t>
            </w:r>
            <w:r>
              <w:rPr>
                <w:sz w:val="20"/>
                <w:szCs w:val="20"/>
              </w:rPr>
              <w:t xml:space="preserve"> rs671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*1/*2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CYP1A2</w:t>
            </w:r>
            <w:r>
              <w:rPr>
                <w:sz w:val="20"/>
                <w:szCs w:val="20"/>
              </w:rPr>
              <w:t xml:space="preserve"> rs762551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C/C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TAS2R38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PAV/PAV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i/>
                <w:iCs/>
                <w:sz w:val="20"/>
                <w:szCs w:val="20"/>
              </w:rPr>
              <w:t xml:space="preserve">FTO</w:t>
            </w:r>
            <w:r>
              <w:rPr>
                <w:sz w:val="20"/>
                <w:szCs w:val="20"/>
              </w:rPr>
              <w:t xml:space="preserve"> rs9939609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A/A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a) Propón tres recomendaciones nutricionales prioritarias y justifícalas con un mecanismo. b) El genotipo APOE ε4/ε4 también se asocia con un riesgo mucho mayor de enfermedad de Alzheimer, y ella no pidió esa información. ¿Qué dilema ético plantea y cómo lo manejarías? c) Su gusto por las verduras es bajo: ¿cómo usarías el resultado de TAS2R38 sin convertirlo en una excusa? d) Señala dos limitaciones de basar el plan solo en este reporte.</w:t>
      </w: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pBdr>
          <w:bottom w:val="single" w:color="C8CDD3" w:sz="4" w:space="8"/>
        </w:pBdr>
        <w:spacing w:after="160"/>
      </w:pPr>
    </w:p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Bloque 3 · Bioinformática, PCR </w:t>
      </w:r>
      <w:r>
        <w:rPr>
          <w:i/>
          <w:iCs/>
        </w:rPr>
        <w:t xml:space="preserve">in silico</w:t>
      </w:r>
      <w:r>
        <w:t xml:space="preserve"> e interpretación de geles (20 %)</w:t>
      </w:r>
    </w:p>
    <w:p>
      <w:pPr>
        <w:spacing w:after="100"/>
      </w:pPr>
      <w:r>
        <w:t xml:space="preserve">6 reactivos. Ten a mano la tabla del código genético.</w:t>
      </w:r>
    </w:p>
    <w:p>
      <w:pPr>
        <w:pStyle w:val="Heading3"/>
        <w:keepNext/>
      </w:pPr>
      <w:r>
        <w:t xml:space="preserve">E3-1 · Leer la variante de ALDH2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Fragmento </w:t>
      </w:r>
      <w:r>
        <w:rPr>
          <w:b/>
          <w:bCs/>
        </w:rPr>
        <w:t xml:space="preserve">ilustrativo</w:t>
      </w:r>
      <w:r>
        <w:t xml:space="preserve"> de la secuencia codificante de </w:t>
      </w:r>
      <w:r>
        <w:rPr>
          <w:i/>
          <w:iCs/>
        </w:rPr>
        <w:t xml:space="preserve">ALDH2</w:t>
      </w:r>
      <w:r>
        <w:t xml:space="preserve">, en marco de lectura, con el codón 504 entre corchetes:</w:t>
      </w:r>
    </w:p>
    <w:p>
      <w:pPr>
        <w:spacing w:after="100"/>
      </w:pPr>
      <w:r>
        <w:t xml:space="preserve">Alelo *1: </w:t>
      </w:r>
      <w:r>
        <w:rPr>
          <w:rFonts w:ascii="Consolas" w:cs="Consolas" w:eastAsia="Consolas" w:hAnsi="Consolas"/>
        </w:rPr>
        <w:t xml:space="preserve">5′-… GCA [GAA] TAC …-3′</w:t>
      </w:r>
    </w:p>
    <w:p>
      <w:pPr>
        <w:spacing w:after="100"/>
      </w:pPr>
      <w:r>
        <w:t xml:space="preserve">Alelo *2: </w:t>
      </w:r>
      <w:r>
        <w:rPr>
          <w:rFonts w:ascii="Consolas" w:cs="Consolas" w:eastAsia="Consolas" w:hAnsi="Consolas"/>
        </w:rPr>
        <w:t xml:space="preserve">5′-… GCA [AAA] TAC …-3′</w:t>
      </w:r>
    </w:p>
    <w:p>
      <w:pPr>
        <w:spacing w:after="100"/>
      </w:pPr>
      <w:r>
        <w:t xml:space="preserve">¿Qué cambio ocurre y qué consecuencia funcional es coherente con lo que sabes de ALDH2*2?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G→A en la primera posición; Glu→Lys (missense); la subunidad mutante reduce la actividad del tetrámero completo, por eso un heterocigoto ya acumula acetaldehído.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G→A que crea un codón de paro; la enzima se trunca.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G→A en la tercera posición; Glu→Asp (missense conservador) sin efecto.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G→A en la primera posición; Glu→Glu (sinónimo); no hay consecuencia funcional.</w:t>
      </w:r>
    </w:p>
    <w:p>
      <w:pPr>
        <w:spacing w:after="160"/>
      </w:pPr>
    </w:p>
    <w:p>
      <w:pPr>
        <w:pStyle w:val="Heading3"/>
        <w:keepNext/>
      </w:pPr>
      <w:r>
        <w:t xml:space="preserve">E3-2 · Clasificar variantes en una secuencia</w:t>
      </w:r>
      <w:r>
        <w:rPr>
          <w:b w:val="false"/>
          <w:bCs w:val="false"/>
          <w:color w:val="5A6470"/>
          <w:sz w:val="20"/>
          <w:szCs w:val="20"/>
        </w:rPr>
        <w:t xml:space="preserve">   4 pts</w:t>
      </w:r>
    </w:p>
    <w:p>
      <w:pPr>
        <w:spacing w:after="100"/>
      </w:pPr>
      <w:r>
        <w:t xml:space="preserve">Marco de lectura abierto ilustrativo (posiciones contadas desde la A del ATG):</w:t>
      </w:r>
    </w:p>
    <w:p>
      <w:pPr>
        <w:spacing w:after="100"/>
      </w:pPr>
      <w:r>
        <w:rPr>
          <w:rFonts w:ascii="Consolas" w:cs="Consolas" w:eastAsia="Consolas" w:hAnsi="Consolas"/>
        </w:rPr>
        <w:t xml:space="preserve">5′-ATG AAA CCG TAC TGT GGA CTT TAA-3′</w:t>
      </w:r>
    </w:p>
    <w:p>
      <w:pPr>
        <w:spacing w:after="100"/>
      </w:pPr>
      <w:r>
        <w:t xml:space="preserve">Proteína: Met-Lys-Pro-Tyr-Cys-Gly-Leu-Stop</w:t>
      </w:r>
    </w:p>
    <w:p>
      <w:pPr>
        <w:spacing w:after="100"/>
      </w:pPr>
      <w:r>
        <w:t xml:space="preserve">c.6A&gt;G → [w1]</w:t>
      </w:r>
    </w:p>
    <w:p>
      <w:pPr>
        <w:spacing w:after="100"/>
      </w:pPr>
      <w:r>
        <w:t xml:space="preserve">c.12C&gt;G → [w2]</w:t>
      </w:r>
    </w:p>
    <w:p>
      <w:pPr>
        <w:spacing w:after="100"/>
      </w:pPr>
      <w:r>
        <w:t xml:space="preserve">c.14G&gt;A → [w3]</w:t>
      </w:r>
    </w:p>
    <w:p>
      <w:pPr>
        <w:spacing w:after="100"/>
      </w:pPr>
      <w:r>
        <w:t xml:space="preserve">c.20delT → [w4]</w:t>
      </w:r>
    </w:p>
    <w:p>
      <w:pPr>
        <w:spacing w:after="100"/>
      </w:pPr>
      <w:r>
        <w:t xml:space="preserve">c.7_9dupCCG → [w5]</w:t>
      </w:r>
    </w:p>
    <w:p>
      <w:pPr>
        <w:spacing w:after="100"/>
      </w:pPr>
      <w:r>
        <w:t xml:space="preserve">De las cinco, la que con mayor probabilidad elimina la función de la proteína desde ese punto es: [w6]</w:t>
      </w:r>
    </w:p>
    <w:p>
      <w:pPr>
        <w:spacing w:after="100"/>
      </w:pPr>
      <w:r>
        <w:rPr>
          <w:i/>
          <w:iCs/>
          <w:color w:val="5A6470"/>
          <w:sz w:val="20"/>
          <w:szCs w:val="20"/>
        </w:rPr>
        <w:t xml:space="preserve">Opciones para cada espacio:</w:t>
      </w:r>
    </w:p>
    <w:p>
      <w:pPr>
        <w:spacing w:after="40"/>
        <w:ind w:left="360"/>
      </w:pPr>
      <w:r>
        <w:rPr>
          <w:b/>
          <w:bCs/>
        </w:rPr>
        <w:t xml:space="preserve">[w1]  </w:t>
      </w:r>
      <w:r>
        <w:rPr>
          <w:sz w:val="20"/>
          <w:szCs w:val="20"/>
        </w:rPr>
        <w:t xml:space="preserve">sinónima (Lys→Lys)   ·   missense (Lys→Arg)   ·   nonsense   ·   indel con corrimiento del marco</w:t>
      </w:r>
    </w:p>
    <w:p>
      <w:pPr>
        <w:spacing w:after="40"/>
        <w:ind w:left="360"/>
      </w:pPr>
      <w:r>
        <w:rPr>
          <w:b/>
          <w:bCs/>
        </w:rPr>
        <w:t xml:space="preserve">[w2]  </w:t>
      </w:r>
      <w:r>
        <w:rPr>
          <w:sz w:val="20"/>
          <w:szCs w:val="20"/>
        </w:rPr>
        <w:t xml:space="preserve">nonsense (Tyr→Stop)   ·   sinónima (Tyr→Tyr)   ·   missense (Tyr→Cys)   ·   indel sin corrimiento del marco</w:t>
      </w:r>
    </w:p>
    <w:p>
      <w:pPr>
        <w:spacing w:after="40"/>
        <w:ind w:left="360"/>
      </w:pPr>
      <w:r>
        <w:rPr>
          <w:b/>
          <w:bCs/>
        </w:rPr>
        <w:t xml:space="preserve">[w3]  </w:t>
      </w:r>
      <w:r>
        <w:rPr>
          <w:sz w:val="20"/>
          <w:szCs w:val="20"/>
        </w:rPr>
        <w:t xml:space="preserve">missense (Cys→Tyr)   ·   sinónima (Cys→Cys)   ·   nonsense   ·   missense (Cys→Trp)</w:t>
      </w:r>
    </w:p>
    <w:p>
      <w:pPr>
        <w:spacing w:after="40"/>
        <w:ind w:left="360"/>
      </w:pPr>
      <w:r>
        <w:rPr>
          <w:b/>
          <w:bCs/>
        </w:rPr>
        <w:t xml:space="preserve">[w4]  </w:t>
      </w:r>
      <w:r>
        <w:rPr>
          <w:sz w:val="20"/>
          <w:szCs w:val="20"/>
        </w:rPr>
        <w:t xml:space="preserve">indel con corrimiento del marco   ·   indel sin corrimiento del marco   ·   sinónima   ·   CNV</w:t>
      </w:r>
    </w:p>
    <w:p>
      <w:pPr>
        <w:spacing w:after="40"/>
        <w:ind w:left="360"/>
      </w:pPr>
      <w:r>
        <w:rPr>
          <w:b/>
          <w:bCs/>
        </w:rPr>
        <w:t xml:space="preserve">[w5]  </w:t>
      </w:r>
      <w:r>
        <w:rPr>
          <w:sz w:val="20"/>
          <w:szCs w:val="20"/>
        </w:rPr>
        <w:t xml:space="preserve">inserción sin corrimiento del marco (Pro adicional)   ·   indel con corrimiento del marco   ·   nonsense   ·   sinónima</w:t>
      </w:r>
    </w:p>
    <w:p>
      <w:pPr>
        <w:spacing w:after="40"/>
        <w:ind w:left="360"/>
      </w:pPr>
      <w:r>
        <w:rPr>
          <w:b/>
          <w:bCs/>
        </w:rPr>
        <w:t xml:space="preserve">[w6]  </w:t>
      </w:r>
      <w:r>
        <w:rPr>
          <w:sz w:val="20"/>
          <w:szCs w:val="20"/>
        </w:rPr>
        <w:t xml:space="preserve">c.12C&gt;G   ·   c.6A&gt;G   ·   c.7_9dupCCG   ·   c.14G&gt;A</w:t>
      </w:r>
    </w:p>
    <w:p>
      <w:pPr>
        <w:spacing w:after="160"/>
      </w:pPr>
    </w:p>
    <w:p>
      <w:pPr>
        <w:pStyle w:val="Heading3"/>
        <w:keepNext/>
      </w:pPr>
      <w:r>
        <w:t xml:space="preserve">E3-3 · Lectura de gel: Alu PV92</w:t>
      </w:r>
      <w:r>
        <w:rPr>
          <w:b w:val="false"/>
          <w:bCs w:val="false"/>
          <w:color w:val="5A6470"/>
          <w:sz w:val="20"/>
          <w:szCs w:val="20"/>
        </w:rPr>
        <w:t xml:space="preserve">   4 pts</w:t>
      </w:r>
    </w:p>
    <w:p>
      <w:pPr>
        <w:spacing w:after="100"/>
      </w:pPr>
      <w:r>
        <w:t xml:space="preserve">Gel de agarosa al 2 % con productos de PCR de PV92 (alelo + con Alu ≈ 731 pb; alelo − sin Alu ≈ 416 pb). M = marcador de 100 pb. «▬» indica banda; «tenue», banda débil; «barrido», mancha continua sin bandas definidas.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Tamaño (pb)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Carril 1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Carril 2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Carril 3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Carril 4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Carril 5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Carril 6 (sin DNA)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1000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barrido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≈ 730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 (700)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 tenue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barrido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500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barrido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≈ 420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 (400)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barrido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▬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barrido</w:t>
            </w: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100"/>
      </w:pPr>
      <w:r>
        <w:t xml:space="preserve">Asigna la interpretación de cada carril.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Columna A</w:t>
            </w:r>
          </w:p>
        </w:tc>
        <w:tc>
          <w:tcPr>
            <w:tcW w:type="dxa" w:w="576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Columna B (una opción sobra)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Carril 1</w:t>
            </w:r>
          </w:p>
        </w:tc>
        <w:tc>
          <w:tcPr>
            <w:tcW w:type="dxa" w:w="576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A) Heterocigoto +/−; la banda larga se ve débil por amplificación preferencial del alelo corto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Carril 2</w:t>
            </w:r>
          </w:p>
        </w:tc>
        <w:tc>
          <w:tcPr>
            <w:tcW w:type="dxa" w:w="576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B) Homocigoto +/+ (inserción en ambos cromosomas)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Carril 3</w:t>
            </w:r>
          </w:p>
        </w:tc>
        <w:tc>
          <w:tcPr>
            <w:tcW w:type="dxa" w:w="576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C) Homocigoto −/− (sin inserción)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Carril 4</w:t>
            </w:r>
          </w:p>
        </w:tc>
        <w:tc>
          <w:tcPr>
            <w:tcW w:type="dxa" w:w="576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D) Homocigoto +/+ con una tercera inserción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Carril 5</w:t>
            </w:r>
          </w:p>
        </w:tc>
        <w:tc>
          <w:tcPr>
            <w:tcW w:type="dxa" w:w="576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E) Contaminación: el control sin DNA amplificó; los resultados de toda la corrida no son confiables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Carril 6</w:t>
            </w:r>
          </w:p>
        </w:tc>
        <w:tc>
          <w:tcPr>
            <w:tcW w:type="dxa" w:w="576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F) Heterocigoto +/−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576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G) DNA degradado o exceso de templado: repetir extracción o diluir; no se genotipa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t xml:space="preserve">E3-4 · Elegir y evaluar la extracción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Un proyecto colectará 300 hisopados bucales en escuelas y genotipará varios SNPs. El laboratorio tiene campana de extracción limitada. En una prueba piloto, el DNA extraído por salting-out dio A</w:t>
      </w:r>
      <w:r>
        <w:rPr>
          <w:vertAlign w:val="subscript"/>
        </w:rPr>
        <w:t xml:space="preserve">260/280</w:t>
      </w:r>
      <w:r>
        <w:t xml:space="preserve"> = 1.52. ¿Cuál es la mejor decisión?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Cambiar a fenol-cloroformo para todas las muestras, porque da el DNA más puro.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Aumentar el volumen de DNA en la PCR para compensar la impureza.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Ignorar el valor: cualquier DNA sirve para PCR.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La relación 1.52 sugiere proteína residual: ajustar la precipitación de proteínas (más sal o centrifugado, sin arrastrar la interfase) o usar columnas de sílice o perlas SPRI, que escalan bien, no requieren solventes orgánicos y dan DNA apto para PCR.</w:t>
      </w:r>
    </w:p>
    <w:p>
      <w:pPr>
        <w:spacing w:after="160"/>
      </w:pPr>
    </w:p>
    <w:p>
      <w:pPr>
        <w:pStyle w:val="Heading3"/>
        <w:keepNext/>
      </w:pPr>
      <w:r>
        <w:t xml:space="preserve">E3-5 · Lo que dice el genoma de referencia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Al correr los cebadores de PV92 en UCSC In-Silico PCR (GRCh38) se obtiene un solo producto de 416 pb. Un alumno concluye que «la población humana es −/− para PV92». ¿Cuál es el error de razonamiento?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UCSC In-Silico PCR solo funciona con mRNA.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Ninguno: UCSC refleja a toda la población.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El genoma de referencia es una secuencia compuesta que representa un solo alelo en cada sitio; que tenga el alelo − no informa la frecuencia poblacional, que se obtiene genotipando muestras o consultando bases poblacionales.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El producto de 416 pb corresponde al alelo +.</w:t>
      </w:r>
    </w:p>
    <w:p>
      <w:pPr>
        <w:spacing w:after="160"/>
      </w:pPr>
    </w:p>
    <w:p>
      <w:pPr>
        <w:pStyle w:val="Heading3"/>
        <w:keepNext/>
      </w:pPr>
      <w:r>
        <w:t xml:space="preserve">E3-6 · Interpretar una entrada del GWAS Catalog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En el GWAS Catalog, una variante intergénica aparece asociada al consumo de café con «mapped genes: </w:t>
      </w:r>
      <w:r>
        <w:rPr>
          <w:i/>
          <w:iCs/>
        </w:rPr>
        <w:t xml:space="preserve">CYP1A1</w:t>
      </w:r>
      <w:r>
        <w:t xml:space="preserve"> – </w:t>
      </w:r>
      <w:r>
        <w:rPr>
          <w:i/>
          <w:iCs/>
        </w:rPr>
        <w:t xml:space="preserve">CYP1A2</w:t>
      </w:r>
      <w:r>
        <w:t xml:space="preserve">», OR por alelo = 1.05 y p = 2 × 10⁻³⁰, en una muestra de 120 000 europeos. ¿Qué conclusión es la más rigurosa?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Existe una asociación robusta pero de efecto pequeño; la variante probablemente marca una región regulatoria del locus CYP1A1–CYP1A2 (metabolismo de cafeína), y su efecto y frecuencia podrían diferir en poblaciones no europeas.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La variante causa que las personas tomen café.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Como el OR es casi 1, la asociación es falsa.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Los genes asignados son siempre los genes efectores.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Bloque 4 · Cálculo químico-enzimático, capacidad antioxidante y troubleshooting (20 %)</w:t>
      </w:r>
    </w:p>
    <w:p>
      <w:pPr>
        <w:spacing w:after="100"/>
      </w:pPr>
      <w:r>
        <w:t xml:space="preserve">3 cálculos, 2 de opción múltiple (2.5 pts c/u) y 1 de selección múltiple (5 pts). Escribe solo el número en los cálculos.</w:t>
      </w:r>
    </w:p>
    <w:p>
      <w:pPr>
        <w:spacing w:after="100"/>
      </w:pPr>
      <w:r>
        <w:t xml:space="preserve">Fórmulas: % inhibición = [A</w:t>
      </w:r>
      <w:r>
        <w:rPr>
          <w:vertAlign w:val="subscript"/>
        </w:rPr>
        <w:t xml:space="preserve">control</w:t>
      </w:r>
      <w:r>
        <w:t xml:space="preserve"> − (A</w:t>
      </w:r>
      <w:r>
        <w:rPr>
          <w:vertAlign w:val="subscript"/>
        </w:rPr>
        <w:t xml:space="preserve">muestra</w:t>
      </w:r>
      <w:r>
        <w:t xml:space="preserve"> − A</w:t>
      </w:r>
      <w:r>
        <w:rPr>
          <w:vertAlign w:val="subscript"/>
        </w:rPr>
        <w:t xml:space="preserve">blanco</w:t>
      </w:r>
      <w:r>
        <w:t xml:space="preserve">)] / A</w:t>
      </w:r>
      <w:r>
        <w:rPr>
          <w:vertAlign w:val="subscript"/>
        </w:rPr>
        <w:t xml:space="preserve">control</w:t>
      </w:r>
      <w:r>
        <w:t xml:space="preserve"> × 100. Catalasa: U/mL = (ΔA</w:t>
      </w:r>
      <w:r>
        <w:rPr>
          <w:vertAlign w:val="subscript"/>
        </w:rPr>
        <w:t xml:space="preserve">240</w:t>
      </w:r>
      <w:r>
        <w:t xml:space="preserve">/min) / (43.6 × l) × 1000 × (V</w:t>
      </w:r>
      <w:r>
        <w:rPr>
          <w:vertAlign w:val="subscript"/>
        </w:rPr>
        <w:t xml:space="preserve">total</w:t>
      </w:r>
      <w:r>
        <w:t xml:space="preserve">/V</w:t>
      </w:r>
      <w:r>
        <w:rPr>
          <w:vertAlign w:val="subscript"/>
        </w:rPr>
        <w:t xml:space="preserve">muestra</w:t>
      </w:r>
      <w:r>
        <w:t xml:space="preserve">).</w:t>
      </w:r>
    </w:p>
    <w:p>
      <w:pPr>
        <w:pStyle w:val="Heading3"/>
        <w:keepNext/>
      </w:pPr>
      <w:r>
        <w:t xml:space="preserve">E4-1 · Inhibición de DPPH con blanco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Extracto de flor de cempasúchil a 40 µg/mL: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Lectura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</w:t>
            </w:r>
            <w:r>
              <w:rPr>
                <w:b/>
                <w:bCs/>
                <w:sz w:val="20"/>
                <w:szCs w:val="20"/>
                <w:vertAlign w:val="subscript"/>
              </w:rPr>
              <w:t xml:space="preserve">517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 (DPPH + metanol)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0.874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Muestra + DPPH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0.521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Blanco de muestra (extracto sin DPPH)</w:t>
            </w:r>
          </w:p>
        </w:tc>
        <w:tc>
          <w:tcPr>
            <w:tcW w:type="dxa" w:w="468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Calcula el porcentaje de inhibición (una cifra decimal).</w:t>
      </w:r>
    </w:p>
    <w:p>
      <w:pPr>
        <w:spacing w:after="100"/>
      </w:pPr>
      <w:r>
        <w:rPr>
          <w:b/>
          <w:bCs/>
        </w:rPr>
        <w:t xml:space="preserve">Resultado: ______________</w:t>
      </w:r>
    </w:p>
    <w:p>
      <w:pPr>
        <w:spacing w:after="160"/>
      </w:pPr>
    </w:p>
    <w:p>
      <w:pPr>
        <w:pStyle w:val="Heading3"/>
        <w:keepNext/>
      </w:pPr>
      <w:r>
        <w:t xml:space="preserve">E4-2 · IC50 con tabla de absorbancias</w:t>
      </w:r>
      <w:r>
        <w:rPr>
          <w:b w:val="false"/>
          <w:bCs w:val="false"/>
          <w:color w:val="5A6470"/>
          <w:sz w:val="20"/>
          <w:szCs w:val="20"/>
        </w:rPr>
        <w:t xml:space="preserve">   4 pts</w:t>
      </w:r>
    </w:p>
    <w:p>
      <w:pPr>
        <w:spacing w:after="100"/>
      </w:pPr>
      <w:r>
        <w:t xml:space="preserve">Extracto de cáscara de tuna roja. A</w:t>
      </w:r>
      <w:r>
        <w:rPr>
          <w:vertAlign w:val="subscript"/>
        </w:rPr>
        <w:t xml:space="preserve">517</w:t>
      </w:r>
      <w:r>
        <w:t xml:space="preserve"> del control (DPPH + metanol) = 0.912.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µg/mL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 muestra + DPPH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 blanco de muestra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0.756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0.015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0.374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0.231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0.049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Calcula el % de inhibición de cada concentración (restando el blanco) y estima la IC</w:t>
      </w:r>
      <w:r>
        <w:rPr>
          <w:vertAlign w:val="subscript"/>
        </w:rPr>
        <w:t xml:space="preserve">50</w:t>
      </w:r>
      <w:r>
        <w:t xml:space="preserve"> por interpolación lineal entre los dos puntos que rodean al 50 % (µg/mL, una cifra decimal).</w:t>
      </w:r>
    </w:p>
    <w:p>
      <w:pPr>
        <w:spacing w:after="100"/>
      </w:pPr>
      <w:r>
        <w:rPr>
          <w:b/>
          <w:bCs/>
        </w:rPr>
        <w:t xml:space="preserve">Resultado: ______________</w:t>
      </w:r>
    </w:p>
    <w:p>
      <w:pPr>
        <w:spacing w:after="160"/>
      </w:pPr>
    </w:p>
    <w:p>
      <w:pPr>
        <w:pStyle w:val="Heading3"/>
        <w:keepNext/>
      </w:pPr>
      <w:r>
        <w:t xml:space="preserve">E4-3 · Actividad específica de catalasa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spacing w:after="100"/>
      </w:pPr>
      <w:r>
        <w:t xml:space="preserve">Homogenado de riñón: ΔA</w:t>
      </w:r>
      <w:r>
        <w:rPr>
          <w:vertAlign w:val="subscript"/>
        </w:rPr>
        <w:t xml:space="preserve">240</w:t>
      </w:r>
      <w:r>
        <w:t xml:space="preserve">/min = 0.0327 (tramo inicial), cubeta de cuarzo de 1 cm, volumen total 3.0 mL, volumen de muestra 0.10 mL, proteína 1.5 mg/mL. ε</w:t>
      </w:r>
      <w:r>
        <w:rPr>
          <w:vertAlign w:val="subscript"/>
        </w:rPr>
        <w:t xml:space="preserve">240</w:t>
      </w:r>
      <w:r>
        <w:t xml:space="preserve">(H₂O₂) = 43.6 M⁻¹ cm⁻¹; 1 U = 1 µmol de H₂O₂ por minuto. Calcula la actividad en U/mg de proteína.</w:t>
      </w:r>
    </w:p>
    <w:p>
      <w:pPr>
        <w:spacing w:after="100"/>
      </w:pPr>
      <w:r>
        <w:rPr>
          <w:b/>
          <w:bCs/>
        </w:rPr>
        <w:t xml:space="preserve">Resultado: ______________</w:t>
      </w:r>
    </w:p>
    <w:p>
      <w:pPr>
        <w:spacing w:after="160"/>
      </w:pPr>
    </w:p>
    <w:p>
      <w:pPr>
        <w:pStyle w:val="Heading3"/>
        <w:keepNext/>
      </w:pPr>
      <w:r>
        <w:t xml:space="preserve">E4-4 · Comparar IC50 entre laboratorios</w:t>
      </w:r>
      <w:r>
        <w:rPr>
          <w:b w:val="false"/>
          <w:bCs w:val="false"/>
          <w:color w:val="5A6470"/>
          <w:sz w:val="20"/>
          <w:szCs w:val="20"/>
        </w:rPr>
        <w:t xml:space="preserve">   2.5 pts</w:t>
      </w:r>
    </w:p>
    <w:p>
      <w:pPr>
        <w:spacing w:after="100"/>
      </w:pPr>
      <w:r>
        <w:t xml:space="preserve">Tu extracto de jamaica dio IC</w:t>
      </w:r>
      <w:r>
        <w:rPr>
          <w:vertAlign w:val="subscript"/>
        </w:rPr>
        <w:t xml:space="preserve">50</w:t>
      </w:r>
      <w:r>
        <w:t xml:space="preserve"> = 35 µg/mL con DPPH 0.1 mM y 30 min de reacción. Un artículo reporta IC</w:t>
      </w:r>
      <w:r>
        <w:rPr>
          <w:vertAlign w:val="subscript"/>
        </w:rPr>
        <w:t xml:space="preserve">50</w:t>
      </w:r>
      <w:r>
        <w:t xml:space="preserve"> = 12 µg/mL para jamaica usando DPPH 0.05 mM y 60 min. ¿Puedes concluir que tu extracto es casi tres veces menos potente?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No, porque la jamaica no tiene antioxidantes.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Sí: la IC</w:t>
      </w:r>
      <w:r>
        <w:rPr>
          <w:vertAlign w:val="subscript"/>
        </w:rPr>
        <w:t xml:space="preserve">50</w:t>
      </w:r>
      <w:r>
        <w:t xml:space="preserve"> es una propiedad fija del extracto.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Sí, porque el artículo fue publicado y tu experimento no.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No directamente: la IC</w:t>
      </w:r>
      <w:r>
        <w:rPr>
          <w:vertAlign w:val="subscript"/>
        </w:rPr>
        <w:t xml:space="preserve">50</w:t>
      </w:r>
      <w:r>
        <w:t xml:space="preserve"> depende de la concentración de DPPH (con menos radical se necesita menos extracto) y del tiempo de reacción; para comparar hay que usar las mismas condiciones o un patrón común (p. ej., expresar en equivalentes de Trolox medido en paralelo).</w:t>
      </w:r>
    </w:p>
    <w:p>
      <w:pPr>
        <w:spacing w:after="160"/>
      </w:pPr>
    </w:p>
    <w:p>
      <w:pPr>
        <w:pStyle w:val="Heading3"/>
        <w:keepNext/>
      </w:pPr>
      <w:r>
        <w:t xml:space="preserve">E4-5 · Una lectura fuera de la curva</w:t>
      </w:r>
      <w:r>
        <w:rPr>
          <w:b w:val="false"/>
          <w:bCs w:val="false"/>
          <w:color w:val="5A6470"/>
          <w:sz w:val="20"/>
          <w:szCs w:val="20"/>
        </w:rPr>
        <w:t xml:space="preserve">   2.5 pts</w:t>
      </w:r>
    </w:p>
    <w:p>
      <w:pPr>
        <w:spacing w:after="100"/>
      </w:pPr>
      <w:r>
        <w:t xml:space="preserve">En FRAP, la curva de Trolox va de 0 a 500 µM (A</w:t>
      </w:r>
      <w:r>
        <w:rPr>
          <w:vertAlign w:val="subscript"/>
        </w:rPr>
        <w:t xml:space="preserve">593</w:t>
      </w:r>
      <w:r>
        <w:t xml:space="preserve"> de 0.01 a 1.30). Un extracto sin diluir da A</w:t>
      </w:r>
      <w:r>
        <w:rPr>
          <w:vertAlign w:val="subscript"/>
        </w:rPr>
        <w:t xml:space="preserve">593</w:t>
      </w:r>
      <w:r>
        <w:t xml:space="preserve"> = 2.45. Un compañero extrapola la recta y reporta 940 µM. ¿Qué es lo correcto?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Reportar 500 µM, el máximo de la curva.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Restar el blanco de reactivo y reportar el resultado así.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Diluir el extracto (p. ej., 1:5), volver a leer para que caiga dentro de la curva y multiplicar por el factor de dilución; a absorbancias tan altas la respuesta deja de ser lineal.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Aceptar el valor: la recta se puede extender indefinidamente.</w:t>
      </w:r>
    </w:p>
    <w:p>
      <w:pPr>
        <w:spacing w:after="160"/>
      </w:pPr>
    </w:p>
    <w:p>
      <w:pPr>
        <w:pStyle w:val="Heading3"/>
        <w:keepNext/>
      </w:pPr>
      <w:r>
        <w:t xml:space="preserve">E4-6 · Integrar los ensayos de un experimento</w:t>
      </w:r>
      <w:r>
        <w:rPr>
          <w:b w:val="false"/>
          <w:bCs w:val="false"/>
          <w:color w:val="5A6470"/>
          <w:sz w:val="20"/>
          <w:szCs w:val="20"/>
        </w:rPr>
        <w:t xml:space="preserve">   5 pts</w:t>
      </w:r>
    </w:p>
    <w:p>
      <w:pPr>
        <w:spacing w:after="100"/>
      </w:pPr>
      <w:r>
        <w:t xml:space="preserve">Ratas con dieta alta en fructosa, con o sin un extracto de chile ancho, frente a un control: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Marcador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Fructosa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shd w:fill="E9EC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Fructosa + extracto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SOD hepática (U/mg)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↑ 40 %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↑ 45 %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Catalasa hepática (U/mg)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↓ 35 %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≈ control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TBARS (MDA)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↑ 70 %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↑ 15 %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TAC sérica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↑ 25 %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↑ 28 %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Ácido úrico sérico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↑ 50 %</w:t>
            </w:r>
          </w:p>
        </w:tc>
        <w:tc>
          <w:tcPr>
            <w:tcW w:type="dxa" w:w="3120"/>
            <w:tcBorders>
              <w:top w:val="single" w:color="B8BEC6" w:sz="4"/>
              <w:left w:val="single" w:color="B8BEC6" w:sz="4"/>
              <w:bottom w:val="single" w:color="B8BEC6" w:sz="4"/>
              <w:right w:val="single" w:color="B8BE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↑ 48 %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Selecciona las interpretaciones bien sustentadas.</w:t>
      </w:r>
    </w:p>
    <w:p>
      <w:pPr>
        <w:spacing w:after="100"/>
      </w:pPr>
      <w:r>
        <w:rPr>
          <w:i/>
          <w:iCs/>
          <w:color w:val="5A6470"/>
          <w:sz w:val="20"/>
          <w:szCs w:val="20"/>
        </w:rPr>
        <w:t xml:space="preserve">Marca todas las correctas.</w:t>
      </w:r>
    </w:p>
    <w:p>
      <w:pPr>
        <w:spacing w:after="60"/>
        <w:ind w:left="360" w:hanging="360"/>
      </w:pPr>
      <w:r>
        <w:rPr>
          <w:b/>
          <w:bCs/>
        </w:rPr>
        <w:t xml:space="preserve">A)  </w:t>
      </w:r>
      <w:r>
        <w:t xml:space="preserve">Como la TAC sube igual en ambos grupos y el ácido úrico también, la TAC no sirve aquí para distinguir el efecto del extracto.</w:t>
      </w:r>
    </w:p>
    <w:p>
      <w:pPr>
        <w:spacing w:after="60"/>
        <w:ind w:left="360" w:hanging="360"/>
      </w:pPr>
      <w:r>
        <w:rPr>
          <w:b/>
          <w:bCs/>
        </w:rPr>
        <w:t xml:space="preserve">B)  </w:t>
      </w:r>
      <w:r>
        <w:t xml:space="preserve">Como la SOD está alta en ambos grupos, el extracto no tuvo ningún efecto.</w:t>
      </w:r>
    </w:p>
    <w:p>
      <w:pPr>
        <w:spacing w:after="60"/>
        <w:ind w:left="360" w:hanging="360"/>
      </w:pPr>
      <w:r>
        <w:rPr>
          <w:b/>
          <w:bCs/>
        </w:rPr>
        <w:t xml:space="preserve">C)  </w:t>
      </w:r>
      <w:r>
        <w:t xml:space="preserve">El extracto recuperó la catalasa y redujo la peroxidación, lo que sugiere un efecto protector; un mecanismo posible es la inducción de enzimas antioxidantes (p. ej., vía Nrf2).</w:t>
      </w:r>
    </w:p>
    <w:p>
      <w:pPr>
        <w:spacing w:after="60"/>
        <w:ind w:left="360" w:hanging="360"/>
      </w:pPr>
      <w:r>
        <w:rPr>
          <w:b/>
          <w:bCs/>
        </w:rPr>
        <w:t xml:space="preserve">D)  </w:t>
      </w:r>
      <w:r>
        <w:t xml:space="preserve">El aumento de TAC en ambos grupos demuestra que la fructosa es antioxidante.</w:t>
      </w:r>
    </w:p>
    <w:p>
      <w:pPr>
        <w:spacing w:after="60"/>
        <w:ind w:left="360" w:hanging="360"/>
      </w:pPr>
      <w:r>
        <w:rPr>
          <w:b/>
          <w:bCs/>
        </w:rPr>
        <w:t xml:space="preserve">E)  </w:t>
      </w:r>
      <w:r>
        <w:t xml:space="preserve">Con fructosa sola hay un desbalance: más H₂O₂ producido (SOD alta) que eliminado (catalasa baja), coherente con más peroxidación (TBARS).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 xml:space="preserve">Clave de respuestas y rúbrica</w:t>
      </w:r>
    </w:p>
    <w:p>
      <w:pPr>
        <w:spacing w:after="100"/>
      </w:pPr>
      <w:r>
        <w:rPr>
          <w:i/>
          <w:iCs/>
          <w:color w:val="5A6470"/>
        </w:rPr>
        <w:t xml:space="preserve">Para el docente. Cada reactivo incluye la justificación de la respuesta correcta y por qué fallan las alternativas. Las letras siguen el orden de este documento; en Canvas las opciones se barajan.</w:t>
      </w:r>
    </w:p>
    <w:p>
      <w:pPr>
        <w:pStyle w:val="Heading3"/>
        <w:keepNext/>
      </w:pPr>
      <w:r>
        <w:t xml:space="preserve">Declaración de integridad académica</w:t>
      </w:r>
      <w:r>
        <w:rPr>
          <w:b w:val="false"/>
          <w:bCs w:val="false"/>
          <w:color w:val="5A6470"/>
          <w:sz w:val="20"/>
          <w:szCs w:val="20"/>
        </w:rPr>
        <w:t xml:space="preserve">   0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A</w:t>
      </w:r>
    </w:p>
    <w:p>
      <w:pPr>
        <w:spacing w:after="100"/>
      </w:pPr>
      <w:r>
        <w:rPr>
          <w:sz w:val="21"/>
          <w:szCs w:val="21"/>
        </w:rPr>
        <w:t xml:space="preserve">Reactivo sin valor. Sirve como registro de la declaración de cada alumno.</w:t>
      </w:r>
    </w:p>
    <w:p>
      <w:pPr>
        <w:pStyle w:val="Heading2"/>
      </w:pPr>
      <w:r>
        <w:t xml:space="preserve">Bloque 1 · Fundamentos moleculares y ómicos (30 %)</w:t>
      </w:r>
    </w:p>
    <w:p>
      <w:pPr>
        <w:pStyle w:val="Heading3"/>
        <w:keepNext/>
      </w:pPr>
      <w:r>
        <w:t xml:space="preserve">E1-1 · Probar que una variante actúa en cis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C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expresión específica de alelo.</w:t>
      </w:r>
      <w:r>
        <w:rPr>
          <w:sz w:val="21"/>
          <w:szCs w:val="21"/>
        </w:rPr>
        <w:t xml:space="preserve"> Dentro de una misma célula ambos cromosomas comparten el mismo ambiente (factores de transcripción, dieta, edad); si el cromosoma con T produce más mRNA que el de C, la diferencia solo puede deberse a la secuencia en cis.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«Secuenciar el genoma»: describe las variantes, no mide su efecto en la expresión.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«Lactasa en heces»: no es una medición válida de la expresión intestinal y no separa los alelos.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«Comparar C/C y T/T»: muestra asociación entre personas, pero mezcla diferencias de edad, dieta, ascendencia y daño de mucosa; no aísla el efecto en cis.</w:t>
      </w:r>
    </w:p>
    <w:p>
      <w:pPr>
        <w:pStyle w:val="Heading3"/>
        <w:keepNext/>
      </w:pPr>
      <w:r>
        <w:t xml:space="preserve">E1-2 · ¿Cuál variante preocupa más?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el contexto pesa más que la etiqueta.</w:t>
      </w:r>
      <w:r>
        <w:rPr>
          <w:sz w:val="21"/>
          <w:szCs w:val="21"/>
        </w:rPr>
        <w:t xml:space="preserve"> La clasificación por efecto en el aminoácido es solo el primer filtro; la posición (borde de exón), el tipo de cambio químico (Lys→Arg conserva la carga) y la conservación evolutiva cambian el pronóstico.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«Todo sinónimo es neutro»: ignora splicing, estabilidad del mRNA y uso de codones.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«Mismo gen, misma gravedad»: el efecto depende de la posición y del tipo de cambio, no solo del 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«Solo los nonsense tienen efecto»: missense y cambios de splicing también pueden ser patogénicos.</w:t>
      </w:r>
    </w:p>
    <w:p>
      <w:pPr>
        <w:pStyle w:val="Heading3"/>
        <w:keepNext/>
      </w:pPr>
      <w:r>
        <w:t xml:space="preserve">E1-3 · Una CNV que el genotipado no ve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se midió el tipo de variante equivocado.</w:t>
      </w:r>
      <w:r>
        <w:rPr>
          <w:sz w:val="21"/>
          <w:szCs w:val="21"/>
        </w:rPr>
        <w:t xml:space="preserve"> La pregunta biológica (dosis génica) exige un método cuantitativo del número de copias (PCR digital o qPCR relativa, arreglos de CNV).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«Técnica más nueva = error»: la técnica correcta es la que mide la variable relevante.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«No depende del DNA»: la asociación con el número de copias muestra lo contrario.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«Punto final detecta CNV»: la PCR de punto final llega a una meseta y no es cuantitativa.</w:t>
      </w:r>
    </w:p>
    <w:p>
      <w:pPr>
        <w:pStyle w:val="Heading3"/>
        <w:keepNext/>
      </w:pPr>
      <w:r>
        <w:t xml:space="preserve">E1-4 · Cómo identificar respondedores de verdad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cruzado con mediciones repetidas.</w:t>
      </w:r>
      <w:r>
        <w:rPr>
          <w:sz w:val="21"/>
          <w:szCs w:val="21"/>
        </w:rPr>
        <w:t xml:space="preserve"> Cada persona es su propio control y las mediciones repetidas permiten estimar la variabilidad intraindividual; solo así una diferencia grande se interpreta como respuesta y no como ruido o regresión a la media.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«Una sola medición»: no hay comparación con la condición control de la misma persona.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«Preguntar»: la percepción no mide el LDL.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«Comparar extremos en una toma»: confunde nivel basal con respuesta a la dieta.</w:t>
      </w:r>
    </w:p>
    <w:p>
      <w:pPr>
        <w:pStyle w:val="Heading3"/>
        <w:keepNext/>
      </w:pPr>
      <w:r>
        <w:t xml:space="preserve">E1-5 · Un AVI/AVI que percibe el amargo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B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un gen mayor no es el único determinante.</w:t>
      </w:r>
      <w:r>
        <w:rPr>
          <w:sz w:val="21"/>
          <w:szCs w:val="21"/>
        </w:rPr>
        <w:t xml:space="preserve"> Es un caso de penetrancia incompleta de un rasgo de gran efecto; la excepción obliga a revisar método y otros factores, no a negar la asociación.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«Genotipo mal»: es una posibilidad a verificar, no la conclusión automática.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«AVI/AVI son supertasters»: invierte la relación promedio.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«Sin relación»: la asociación TAS2R38–PROP es de las más robustas de la nutrigenética.</w:t>
      </w:r>
    </w:p>
    <w:p>
      <w:pPr>
        <w:pStyle w:val="Heading3"/>
        <w:keepNext/>
      </w:pPr>
      <w:r>
        <w:t xml:space="preserve">E1-6 · Tamiz neonatal: PKU sí, lactasa no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C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criterios de tamizaje: gravedad, ventana de intervención y tratamiento eficaz.</w:t>
      </w:r>
      <w:r>
        <w:rPr>
          <w:sz w:val="21"/>
          <w:szCs w:val="21"/>
        </w:rPr>
        <w:t xml:space="preserve"> Un tamiz poblacional se justifica cuando detectar antes cambia el desenlace de forma importante.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«Sin base genética»: la persistencia de lactasa tiene base genética clara.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«PKU más frecuente»: es al revés; la no persistencia es el estado mayoritario en el mundo.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«No se puede genotipar»: se genotipa fácilmente; el problema no es técnico.</w:t>
      </w:r>
    </w:p>
    <w:p>
      <w:pPr>
        <w:pStyle w:val="Heading3"/>
        <w:keepNext/>
      </w:pPr>
      <w:r>
        <w:t xml:space="preserve">E1-7 · Del GWAS a la persona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B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certeza estadística no es poder predictivo individual.</w:t>
      </w:r>
      <w:r>
        <w:rPr>
          <w:sz w:val="21"/>
          <w:szCs w:val="21"/>
        </w:rPr>
        <w:t xml:space="preserve"> Con muestras enormes, efectos diminutos dan p minúsculos; la utilidad clínica se mide con el tamaño del efecto y la capacidad de predicción, no con el 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«p pequeño = explica su IMC»: confunde significancia con magnitud.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«Efecto pequeño = asociación falsa»: un efecto puede ser pequeño y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«Siempre mayor»: hay enorme superposición entre genotipos.</w:t>
      </w:r>
    </w:p>
    <w:p>
      <w:pPr>
        <w:pStyle w:val="Heading3"/>
        <w:keepNext/>
      </w:pPr>
      <w:r>
        <w:t xml:space="preserve">E1-8 · MTHFR en un país que fortifica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el ambiente modifica el efecto del genotipo.</w:t>
      </w:r>
      <w:r>
        <w:rPr>
          <w:sz w:val="21"/>
          <w:szCs w:val="21"/>
        </w:rPr>
        <w:t xml:space="preserve"> El mismo genotipo tiene distinta expresión fenotípica según el estado de folato (y de riboflavina): es el ejemplo clásico de interacción gen–nutriente.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«Cambió el genotipo»: la dieta no modifica la secuencia.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«Dejaron de absorber»: no hay evidencia de ese mecanismo; el folato aumenta.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«No depende del folato»: el folato es el donador de metilo para remetilar la homocisteína.</w:t>
      </w:r>
    </w:p>
    <w:p>
      <w:pPr>
        <w:pStyle w:val="Heading3"/>
        <w:keepNext/>
      </w:pPr>
      <w:r>
        <w:t xml:space="preserve">E1-9 · ALDH2 como experimento natural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el genotipo actúa como una aleatorización natural.</w:t>
      </w:r>
      <w:r>
        <w:rPr>
          <w:sz w:val="21"/>
          <w:szCs w:val="21"/>
        </w:rPr>
        <w:t xml:space="preserve"> La lógica requiere que el gen afecte la presión solo a través del consumo de alcohol; esa suposición debe discutirse, pero el diseño evita la confusión típica de los estudios observacionales.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«ALDH2 controla la presión»: si así fuera, se violaría el supuesto central del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«No hay que medir el alcohol»: hay que verificar que el genotipo sí cambia el consumo.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«El acetaldehído baja la presión»: la menor presión se explica por beber menos.</w:t>
      </w:r>
    </w:p>
    <w:p>
      <w:pPr>
        <w:pStyle w:val="Heading3"/>
        <w:keepNext/>
      </w:pPr>
      <w:r>
        <w:t xml:space="preserve">E1-10 · Genotipo o fenotipo metabólico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B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el fenotipo metabólico integra genes y ambiente.</w:t>
      </w:r>
      <w:r>
        <w:rPr>
          <w:sz w:val="21"/>
          <w:szCs w:val="21"/>
        </w:rPr>
        <w:t xml:space="preserve"> El tabaco induce fuertemente a CYP1A2 y los anticonceptivos orales la inhiben; dos personas con el mismo genotipo pueden metabolizar la cafeína muy distinto.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«No cambia con el tiempo»: es estable, pero no captura inducción ni inhibición.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«No se metaboliza en el hígado»: CYP1A2 hepática hace la mayor parte de su metabolismo.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«Misma información»: el genotipo es una causa parcial; el cociente es el resultado medido.</w:t>
      </w:r>
    </w:p>
    <w:p>
      <w:pPr>
        <w:pStyle w:val="Heading2"/>
      </w:pPr>
      <w:r>
        <w:t xml:space="preserve">Bloque 2 · Casos clínicos y diagnóstico nutrigenético (30 %)</w:t>
      </w:r>
    </w:p>
    <w:p>
      <w:pPr>
        <w:pStyle w:val="Heading3"/>
        <w:keepNext/>
      </w:pPr>
      <w:r>
        <w:t xml:space="preserve">E2-1 · «Es cultural, no genético»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B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genes y ambiente contribuyen.</w:t>
      </w:r>
      <w:r>
        <w:rPr>
          <w:sz w:val="21"/>
          <w:szCs w:val="21"/>
        </w:rPr>
        <w:t xml:space="preserve"> Los datos muestran ambos componentes; rechazar uno por la existencia del otro es un falso dilema.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«Efecto pequeño = no existe»: una contribución modesta sigue siendo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«100 % genético»: los datos de exposición y preparación lo contradicen.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«Cambia la química del cilantro»: la variante está en quien percibe, no en la planta.</w:t>
      </w:r>
    </w:p>
    <w:p>
      <w:pPr>
        <w:pStyle w:val="Heading3"/>
        <w:keepNext/>
      </w:pPr>
      <w:r>
        <w:t xml:space="preserve">E2-2 · Cafeína antes de competir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individualizar con evidencia y prueba controlada.</w:t>
      </w:r>
      <w:r>
        <w:rPr>
          <w:sz w:val="21"/>
          <w:szCs w:val="21"/>
        </w:rPr>
        <w:t xml:space="preserve"> El promedio de un grupo esconde respuestas opuestas por genotipo; la mejor decisión combina la evidencia por genotipo con una prueba individual controlada.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«Mantener la dosis»: ignora que el promedio no representa a todos los genotipos.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«Duplicar»: en metabolizadores lentos aumenta la exposición y los efectos adversos.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«Prohibir para siempre»: exagera; la recomendación es ajustar y evaluar.</w:t>
      </w:r>
    </w:p>
    <w:p>
      <w:pPr>
        <w:pStyle w:val="Heading3"/>
        <w:keepNext/>
      </w:pPr>
      <w:r>
        <w:t xml:space="preserve">E2-3 · C/C pero toma leche sin problema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C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la «alergia» es la explicación menos probable.</w:t>
      </w:r>
      <w:r>
        <w:rPr>
          <w:sz w:val="21"/>
          <w:szCs w:val="21"/>
        </w:rPr>
        <w:t xml:space="preserve"> La alergia a la leche es una reacción inmunológica a sus proteínas y no tiene relación con el genotipo de lactasa; las otras tres opciones son explicaciones plausibles.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Otra variante de persistencia: es plausible; hay variantes distintas en poblaciones africanas, de Medio Oriente y americanas, y los paneles comerciales suelen usar solo −13910.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Tolerancia con hipolactasia: es plausible; la dosis, la comida y la microbiota modulan los síntomas.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Malabsorción sin intolerancia: es plausible; son niveles distintos (enzima, absorción, síntomas).</w:t>
      </w:r>
    </w:p>
    <w:p>
      <w:pPr>
        <w:pStyle w:val="Heading3"/>
        <w:keepNext/>
      </w:pPr>
      <w:r>
        <w:t xml:space="preserve">E2-4 · Rubor con ALDH2 «normal»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B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buscar la causa adquirida.</w:t>
      </w:r>
      <w:r>
        <w:rPr>
          <w:sz w:val="21"/>
          <w:szCs w:val="21"/>
        </w:rPr>
        <w:t xml:space="preserve"> El cuadro aparece de forma aguda y coincide con el inicio del antibiótico; el genotipo describe la predisposición heredada, no excluye inhibiciones farmacológicas.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«Repetir el genotipo»: el inicio reciente apunta a otra causa antes que a un error de laboratorio.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«Mutación nueva»: una mutación germinal no aparece en una semana.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«Beber más»: aumenta la exposición al acetaldehído y es peligroso con el fármaco.</w:t>
      </w:r>
    </w:p>
    <w:p>
      <w:pPr>
        <w:pStyle w:val="Heading3"/>
        <w:keepNext/>
      </w:pPr>
      <w:r>
        <w:t xml:space="preserve">E2-5 · Evaluar un reporte comercial</w:t>
      </w:r>
      <w:r>
        <w:rPr>
          <w:b w:val="false"/>
          <w:bCs w:val="false"/>
          <w:color w:val="5A6470"/>
          <w:sz w:val="20"/>
          <w:szCs w:val="20"/>
        </w:rPr>
        <w:t xml:space="preserve">   4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B, C, 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son correctas:</w:t>
      </w:r>
      <w:r>
        <w:rPr>
          <w:sz w:val="21"/>
          <w:szCs w:val="21"/>
        </w:rPr>
        <w:t xml:space="preserve"> APOE ε4 se asocia con mayor respuesta del LDL a la grasa y al colesterol dietarios; ALDH2*2 acumula acetaldehído y aumenta el riesgo de cáncer de esófago al beber; PAV se asocia con mayor percepción del amargor de los glucosinolatos.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  <w:r>
        <w:rPr>
          <w:sz w:val="21"/>
          <w:szCs w:val="21"/>
        </w:rPr>
        <w:t xml:space="preserve"> los portadores de FTO AA responden a las intervenciones de forma similar a los TT; y en MTHFR TT el folato es justamente lo que atenúa el efecto del genotipo.</w:t>
      </w:r>
    </w:p>
    <w:p>
      <w:pPr>
        <w:pStyle w:val="Heading3"/>
        <w:keepNext/>
      </w:pPr>
      <w:r>
        <w:t xml:space="preserve">E2-6 · Caso: intolerancia de inicio reciente</w:t>
      </w:r>
      <w:r>
        <w:rPr>
          <w:b w:val="false"/>
          <w:bCs w:val="false"/>
          <w:color w:val="5A6470"/>
          <w:sz w:val="20"/>
          <w:szCs w:val="20"/>
        </w:rPr>
        <w:t xml:space="preserve">   7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Calificación con la rúbrica (respuesta modelo abajo).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Respuesta modelo.</w:t>
      </w:r>
      <w:r>
        <w:rPr>
          <w:sz w:val="21"/>
          <w:szCs w:val="21"/>
        </w:rPr>
        <w:t xml:space="preserve"> a) Tiene hipolactasia secundaria: la gastroenteritis dañó el epitelio de las vellosidades, donde está la lactasa en el borde en cepillo; aunque su genotipo mantiene la transcripción de LCT, los enterocitos dañados expresan menos enzima. La primaria se debe a la caída programada de la expresión tras el destete (genotipo de no persistencia). b) T/T indica que el potenciador de MCM6 sostiene la transcripción de LCT en el adulto (persistencia); no protege contra la pérdida de enterocitos maduros ni garantiza actividad si la mucosa está dañada. c) Buen pronóstico: al regenerarse el epitelio (semanas a pocos meses), la actividad de lactasa debería recuperarse, porque la causa es transitoria. d) Reducir temporalmente la lactosa (deslactosados, yogur, quesos madurados, lactasa exógena), mantener calcio y proteína, y reintroducir en dosis crecientes al desaparecer los síntomas; si persisten más de 2–3 meses, repetir la prueba de H₂ y buscar otras causas. e) Concluir que «no puede ser intolerante» por ser T/T y descartar los síntomas, o etiquetarlo de forma permanente; el genotipo informa la causa primaria, no el estado actual de la mucosa.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Rúbrica (7 pts):</w:t>
      </w:r>
      <w:r>
        <w:rPr>
          <w:sz w:val="21"/>
          <w:szCs w:val="21"/>
        </w:rPr>
        <w:t xml:space="preserve"> 2 primaria vs. secundaria con mecanismo; 1.5 qué dice y qué no dice el genotipo; 1 pronóstico justificado; 1.5 manejo con criterio de reintroducción; 1 error de interpretación.</w:t>
      </w:r>
    </w:p>
    <w:p>
      <w:pPr>
        <w:pStyle w:val="Heading3"/>
        <w:keepNext/>
      </w:pPr>
      <w:r>
        <w:t xml:space="preserve">E2-7 · Caso: un hallazgo que no se buscó</w:t>
      </w:r>
      <w:r>
        <w:rPr>
          <w:b w:val="false"/>
          <w:bCs w:val="false"/>
          <w:color w:val="5A6470"/>
          <w:sz w:val="20"/>
          <w:szCs w:val="20"/>
        </w:rPr>
        <w:t xml:space="preserve">   7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Calificación con la rúbrica (respuesta modelo abajo).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Respuesta modelo.</w:t>
      </w:r>
      <w:r>
        <w:rPr>
          <w:sz w:val="21"/>
          <w:szCs w:val="21"/>
        </w:rPr>
        <w:t xml:space="preserve"> a) 1) Reducir grasa saturada y colesterol dietario y aumentar fibra soluble: en ε4 el LDL responde más a la dieta y su LDL ya está alto. 2) Evitar o limitar mucho el alcohol: con ALDH2*2 acumula acetaldehído (carcinógeno) y en ε4 el alcohol se asocia con LDL más alto. 3) Moderar la cafeína (1–2 tazas): metabolizadora lenta (C/C). FTO A/A: actividad física regular, que atenúa su efecto y ayuda al peso. b) Es un hallazgo incidental de alto impacto, sin tratamiento preventivo específico y con carga emocional; respeta su derecho a decidir si quiere saberlo (derecho a no saber). Manejo: no revelarlo de forma casual, ofrecer asesoría genética antes de comunicarlo, explicar que es riesgo y no diagnóstico, y cuidar la confidencialidad. c) Explicar que percibe más el amargor de las crucíferas; usar preparaciones que lo reduzcan, combinarlas con grasas saludables o sabores que lo compensen, exposición repetida y otras verduras menos amargas; el genotipo orienta la estrategia, no justifica omitir verduras. d) Las variantes explican una fracción pequeña del riesgo; la evidencia de dietas guiadas por genotipo frente a una dieta saludable es limitada; muchas asociaciones vienen de poblaciones europeas y pueden no aplicar igual a su ascendencia; el plan debe integrar historia clínica, hábitos y laboratorio.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Rúbrica (7 pts):</w:t>
      </w:r>
      <w:r>
        <w:rPr>
          <w:sz w:val="21"/>
          <w:szCs w:val="21"/>
        </w:rPr>
        <w:t xml:space="preserve"> 2.5 tres recomendaciones priorizadas con mecanismo; 2 manejo ético del hallazgo incidental; 1 uso constructivo de TAS2R38; 1.5 dos limitaciones pertinentes.</w:t>
      </w:r>
    </w:p>
    <w:p>
      <w:pPr>
        <w:pStyle w:val="Heading2"/>
      </w:pPr>
      <w:r>
        <w:t xml:space="preserve">Bloque 3 · Bioinformática, PCR in silico e interpretación de geles (20 %)</w:t>
      </w:r>
    </w:p>
    <w:p>
      <w:pPr>
        <w:pStyle w:val="Heading3"/>
        <w:keepNext/>
      </w:pPr>
      <w:r>
        <w:t xml:space="preserve">E3-1 · Leer la variante de ALDH2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GAA (Glu) → AAA (Lys): missense con efecto dominante negativo.</w:t>
      </w:r>
      <w:r>
        <w:rPr>
          <w:sz w:val="21"/>
          <w:szCs w:val="21"/>
        </w:rPr>
        <w:t xml:space="preserve"> El cambio de un residuo ácido por uno básico altera la estructura; como ALDH2 funciona como tetrámero, las subunidades *2 contaminan los tetrámeros mixtos.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«Sinónimo»: AAA codifica lisina, no glutamato.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«Codón de paro»: AAA no es paro (TAA, TAG, TGA).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«Tercera posición, Glu→Asp»: el cambio está en la primera base, y Asp sería GAT o GAC.</w:t>
      </w:r>
    </w:p>
    <w:p>
      <w:pPr>
        <w:pStyle w:val="Heading3"/>
        <w:keepNext/>
      </w:pPr>
      <w:r>
        <w:t xml:space="preserve">E3-2 · Clasificar variantes en una secuencia</w:t>
      </w:r>
      <w:r>
        <w:rPr>
          <w:b w:val="false"/>
          <w:bCs w:val="false"/>
          <w:color w:val="5A6470"/>
          <w:sz w:val="20"/>
          <w:szCs w:val="20"/>
        </w:rPr>
        <w:t xml:space="preserve">   4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[w1] sinónima (Lys→Lys); [w2] nonsense (Tyr→Stop); [w3] missense (Cys→Tyr); [w4] indel con corrimiento del marco; [w5] inserción sin corrimiento del marco (Pro adicional); [w6] c.12C&gt;G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Clave:</w:t>
      </w:r>
      <w:r>
        <w:rPr>
          <w:sz w:val="21"/>
          <w:szCs w:val="21"/>
        </w:rPr>
        <w:t xml:space="preserve"> c.6A&gt;G: AAA→AAG, ambos Lys (sinónima). c.12C&gt;G: TAC→TAG, paro (nonsense). c.14G&gt;A: TGT→TAT, Cys→Tyr (missense). c.20delT: se pierde 1 nt de CTT y se corre el marco desde el codón 7. c.7_9dupCCG: se duplica un codón completo (una Pro más) sin correr el marco. La de mayor pérdida de función es la nonsense temprana (codón 4); el frameshift de c.20delT ocurre casi al final del marco.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Distractores:</w:t>
      </w:r>
      <w:r>
        <w:rPr>
          <w:sz w:val="21"/>
          <w:szCs w:val="21"/>
        </w:rPr>
        <w:t xml:space="preserve"> Lys→Arg requeriría AGA/AGG; Tyr→Cys requeriría TGC/TGT; Cys→Trp requeriría TGG; una CNV implica un segmento grande, no 1 nt.</w:t>
      </w:r>
    </w:p>
    <w:p>
      <w:pPr>
        <w:pStyle w:val="Heading3"/>
        <w:keepNext/>
      </w:pPr>
      <w:r>
        <w:t xml:space="preserve">E3-3 · Lectura de gel: Alu PV92</w:t>
      </w:r>
      <w:r>
        <w:rPr>
          <w:b w:val="false"/>
          <w:bCs w:val="false"/>
          <w:color w:val="5A6470"/>
          <w:sz w:val="20"/>
          <w:szCs w:val="20"/>
        </w:rPr>
        <w:t xml:space="preserve">   4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1–C, 2–B, 3–A, 4–G, 5–F, 6–E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Clave:</w:t>
      </w:r>
      <w:r>
        <w:rPr>
          <w:sz w:val="21"/>
          <w:szCs w:val="21"/>
        </w:rPr>
        <w:t xml:space="preserve"> 1 = −/− (solo 416); 2 = +/+ (solo 731); 3 = +/− aunque la banda de 731 sea débil: el alelo corto se amplifica con ventaja, pero la presencia de ambas bandas define al heterocigoto; 4 = barrido sin bandas definidas: DNA degradado o demasiado templado; 5 = +/−; 6 = el control sin DNA debe salir limpio, y una banda de 416 indica contaminación con DNA o productos de PCR: se invalida la corrida. Pensamiento crítico clave: el carril 6 cambia la interpretación de todos los demás; los genotipos 1, 3 y 5 podrían estar contaminados.</w:t>
      </w:r>
    </w:p>
    <w:p>
      <w:pPr>
        <w:pStyle w:val="Heading3"/>
        <w:keepNext/>
      </w:pPr>
      <w:r>
        <w:t xml:space="preserve">E3-4 · Elegir y evaluar la extracción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diagnóstico de pureza más elección del método según el contexto.</w:t>
      </w:r>
      <w:r>
        <w:rPr>
          <w:sz w:val="21"/>
          <w:szCs w:val="21"/>
        </w:rPr>
        <w:t xml:space="preserve"> Para muchas muestras y sin campana, los métodos de fase sólida (sílice o SPRI) son más seguros y reproducibles; el valor bajo de 260/280 señala proteína y se corrige en el paso de precipitación.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«Fenol-cloroformo»: es tóxico, requiere campana y es lento para 300 muestras; además puede arrastrar fenol.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«Cualquier DNA sirve»: los contaminantes pueden inhibir la polimerasa.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«Más DNA en la PCR»: también aumenta el inhibidor y puede empeorar el resultado.</w:t>
      </w:r>
    </w:p>
    <w:p>
      <w:pPr>
        <w:pStyle w:val="Heading3"/>
        <w:keepNext/>
      </w:pPr>
      <w:r>
        <w:t xml:space="preserve">E3-5 · Lo que dice el genoma de referencia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C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la referencia no es una población.</w:t>
      </w:r>
      <w:r>
        <w:rPr>
          <w:sz w:val="21"/>
          <w:szCs w:val="21"/>
        </w:rPr>
        <w:t xml:space="preserve"> La herramienta predice el producto sobre una secuencia de referencia; la variación entre personas se estudia genotipando o con bases de datos poblacionales.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«Refleja a toda la población»: es exactamente el error.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«Solo mRNA»: UCSC In-Silico PCR trabaja sobre el genoma ensamblado.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«416 = alelo +»: sin el Alu el producto es de 416 pb; con él, unos 300 pb más.</w:t>
      </w:r>
    </w:p>
    <w:p>
      <w:pPr>
        <w:pStyle w:val="Heading3"/>
        <w:keepNext/>
      </w:pPr>
      <w:r>
        <w:t xml:space="preserve">E3-6 · Interpretar una entrada del GWAS Catalog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robusta, pequeña, plausible y dependiente de la población.</w:t>
      </w:r>
      <w:r>
        <w:rPr>
          <w:sz w:val="21"/>
          <w:szCs w:val="21"/>
        </w:rPr>
        <w:t xml:space="preserve"> El p refleja certeza estadística por el tamaño de muestra; el OR indica efecto pequeño; la ubicación intergénica sugiere regulación; y la transferibilidad entre poblaciones debe verificarse.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«Causa el consumo»: una asociación no prueba causalidad ni mecanismo.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«OR ≈ 1 = falsa»: un efecto pequeño puede ser real, y aquí es muy significativo.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«Gen asignado = efector»: es la etiqueta de proximidad, no una demostración funcional.</w:t>
      </w:r>
    </w:p>
    <w:p>
      <w:pPr>
        <w:pStyle w:val="Heading2"/>
      </w:pPr>
      <w:r>
        <w:t xml:space="preserve">Bloque 4 · Cálculo químico-enzimático, capacidad antioxidante y troubleshooting (20 %)</w:t>
      </w:r>
    </w:p>
    <w:p>
      <w:pPr>
        <w:pStyle w:val="Heading3"/>
        <w:keepNext/>
      </w:pPr>
      <w:r>
        <w:t xml:space="preserve">E4-1 · Inhibición de DPPH con blanco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45.4</w:t>
      </w:r>
      <w:r>
        <w:rPr>
          <w:color w:val="5A6470"/>
        </w:rPr>
        <w:t xml:space="preserve">   (Canvas acepta ± 0.5)</w:t>
      </w:r>
    </w:p>
    <w:p>
      <w:pPr>
        <w:spacing w:after="100"/>
      </w:pPr>
      <w:r>
        <w:rPr>
          <w:sz w:val="21"/>
          <w:szCs w:val="21"/>
        </w:rPr>
        <w:t xml:space="preserve">A corregida = 0.521 − 0.044 = 0.477. % = (0.874 − 0.477)/0.874 × 100 = </w:t>
      </w:r>
      <w:r>
        <w:rPr>
          <w:b/>
          <w:bCs/>
          <w:sz w:val="21"/>
          <w:szCs w:val="21"/>
        </w:rPr>
        <w:t xml:space="preserve">45.4 %</w:t>
      </w:r>
      <w:r>
        <w:rPr>
          <w:sz w:val="21"/>
          <w:szCs w:val="21"/>
        </w:rPr>
        <w:t xml:space="preserve">. Sin restar el blanco saldría 40.4 %.</w:t>
      </w:r>
    </w:p>
    <w:p>
      <w:pPr>
        <w:pStyle w:val="Heading3"/>
        <w:keepNext/>
      </w:pPr>
      <w:r>
        <w:t xml:space="preserve">E4-2 · IC50 con tabla de absorbancias</w:t>
      </w:r>
      <w:r>
        <w:rPr>
          <w:b w:val="false"/>
          <w:bCs w:val="false"/>
          <w:color w:val="5A6470"/>
          <w:sz w:val="20"/>
          <w:szCs w:val="20"/>
        </w:rPr>
        <w:t xml:space="preserve">   4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21.4</w:t>
      </w:r>
      <w:r>
        <w:rPr>
          <w:color w:val="5A6470"/>
        </w:rPr>
        <w:t xml:space="preserve">   (Canvas acepta ± 0.5)</w:t>
      </w:r>
    </w:p>
    <w:p>
      <w:pPr>
        <w:spacing w:after="100"/>
      </w:pPr>
      <w:r>
        <w:rPr>
          <w:sz w:val="21"/>
          <w:szCs w:val="21"/>
        </w:rPr>
        <w:t xml:space="preserve">% corregidos: 5 → 18.0; 15 → 41.0; 30 → 62.0; 60 → 80.0. El 50 % está entre 15 y 30 µg/mL. IC</w:t>
      </w:r>
      <w:r>
        <w:rPr>
          <w:sz w:val="21"/>
          <w:szCs w:val="21"/>
          <w:vertAlign w:val="subscript"/>
        </w:rPr>
        <w:t xml:space="preserve">50</w:t>
      </w:r>
      <w:r>
        <w:rPr>
          <w:sz w:val="21"/>
          <w:szCs w:val="21"/>
        </w:rPr>
        <w:t xml:space="preserve"> = 15 + (50 − 41.0)/(62.0 − 41.0) × 15 = </w:t>
      </w:r>
      <w:r>
        <w:rPr>
          <w:b/>
          <w:bCs/>
          <w:sz w:val="21"/>
          <w:szCs w:val="21"/>
        </w:rPr>
        <w:t xml:space="preserve">21.4 µg/mL</w:t>
      </w:r>
      <w:r>
        <w:rPr>
          <w:sz w:val="21"/>
          <w:szCs w:val="21"/>
        </w:rPr>
        <w:t xml:space="preserve">. Sin restar el blanco se obtendría ≈ 23.1 µg/mL.</w:t>
      </w:r>
    </w:p>
    <w:p>
      <w:pPr>
        <w:pStyle w:val="Heading3"/>
        <w:keepNext/>
      </w:pPr>
      <w:r>
        <w:t xml:space="preserve">E4-3 · Actividad específica de catalasa</w:t>
      </w:r>
      <w:r>
        <w:rPr>
          <w:b w:val="false"/>
          <w:bCs w:val="false"/>
          <w:color w:val="5A6470"/>
          <w:sz w:val="20"/>
          <w:szCs w:val="20"/>
        </w:rPr>
        <w:t xml:space="preserve">   3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15</w:t>
      </w:r>
      <w:r>
        <w:rPr>
          <w:color w:val="5A6470"/>
        </w:rPr>
        <w:t xml:space="preserve">   (Canvas acepta ± 0.3)</w:t>
      </w:r>
    </w:p>
    <w:p>
      <w:pPr>
        <w:spacing w:after="100"/>
      </w:pPr>
      <w:r>
        <w:rPr>
          <w:sz w:val="21"/>
          <w:szCs w:val="21"/>
        </w:rPr>
        <w:t xml:space="preserve">U/mL = 0.0327/43.6 × 1000 × (3.0/0.10) = 0.00075 × 1000 × 30 = 22.5 U/mL. Actividad específica = 22.5/1.5 = </w:t>
      </w:r>
      <w:r>
        <w:rPr>
          <w:b/>
          <w:bCs/>
          <w:sz w:val="21"/>
          <w:szCs w:val="21"/>
        </w:rPr>
        <w:t xml:space="preserve">15.0 U/mg</w:t>
      </w:r>
      <w:r>
        <w:rPr>
          <w:sz w:val="21"/>
          <w:szCs w:val="21"/>
        </w:rPr>
        <w:t xml:space="preserve">.</w:t>
      </w:r>
    </w:p>
    <w:p>
      <w:pPr>
        <w:pStyle w:val="Heading3"/>
        <w:keepNext/>
      </w:pPr>
      <w:r>
        <w:t xml:space="preserve">E4-4 · Comparar IC50 entre laboratorios</w:t>
      </w:r>
      <w:r>
        <w:rPr>
          <w:b w:val="false"/>
          <w:bCs w:val="false"/>
          <w:color w:val="5A6470"/>
          <w:sz w:val="20"/>
          <w:szCs w:val="20"/>
        </w:rPr>
        <w:t xml:space="preserve">   2.5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la IC₅₀ depende de las condiciones del ensayo.</w:t>
      </w:r>
      <w:r>
        <w:rPr>
          <w:sz w:val="21"/>
          <w:szCs w:val="21"/>
        </w:rPr>
        <w:t xml:space="preserve"> Menos DPPH y más tiempo favorecen una IC₅₀ menor; un patrón medido en paralelo permite comparar entre laboratorios.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«Propiedad fija»: depende de concentración del radical, disolvente y tiempo.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«Sin antioxidantes»: la jamaica es rica en antocianinas y otros polifenoles.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«Publicado = correcto»: la publicación no elimina la diferencia de condiciones.</w:t>
      </w:r>
    </w:p>
    <w:p>
      <w:pPr>
        <w:pStyle w:val="Heading3"/>
        <w:keepNext/>
      </w:pPr>
      <w:r>
        <w:t xml:space="preserve">E4-5 · Una lectura fuera de la curva</w:t>
      </w:r>
      <w:r>
        <w:rPr>
          <w:b w:val="false"/>
          <w:bCs w:val="false"/>
          <w:color w:val="5A6470"/>
          <w:sz w:val="20"/>
          <w:szCs w:val="20"/>
        </w:rPr>
        <w:t xml:space="preserve">   2.5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C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Correcta: diluir y repetir, nunca extrapolar.</w:t>
      </w:r>
      <w:r>
        <w:rPr>
          <w:sz w:val="21"/>
          <w:szCs w:val="21"/>
        </w:rPr>
        <w:t xml:space="preserve"> Fuera del intervalo calibrado no se sabe si la relación sigue siendo lineal, y a absorbancias altas casi nunca lo 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«Extender la recta»: supone una linealidad que no se verificó.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«Reportar 500 µM»: subestima la muestra; solo indica que supera el patrón más alto.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«Restar el blanco»: es necesario, pero no resuelve que la lectura esté fuera de la curva.</w:t>
      </w:r>
    </w:p>
    <w:p>
      <w:pPr>
        <w:pStyle w:val="Heading3"/>
        <w:keepNext/>
      </w:pPr>
      <w:r>
        <w:t xml:space="preserve">E4-6 · Integrar los ensayos de un experimento</w:t>
      </w:r>
      <w:r>
        <w:rPr>
          <w:b w:val="false"/>
          <w:bCs w:val="false"/>
          <w:color w:val="5A6470"/>
          <w:sz w:val="20"/>
          <w:szCs w:val="20"/>
        </w:rPr>
        <w:t xml:space="preserve">   5 pts</w:t>
      </w:r>
    </w:p>
    <w:p>
      <w:pPr>
        <w:pBdr>
          <w:left w:val="single" w:color="1F6B3A" w:sz="18" w:space="6"/>
        </w:pBdr>
        <w:shd w:fill="E6F2EA" w:color="auto" w:val="clear"/>
        <w:spacing w:after="80"/>
        <w:ind w:left="120" w:right="120"/>
      </w:pPr>
      <w:r>
        <w:rPr>
          <w:b/>
          <w:bCs/>
          <w:color w:val="1F6B3A"/>
        </w:rPr>
        <w:t xml:space="preserve">Respuesta: </w:t>
      </w:r>
      <w:r>
        <w:rPr>
          <w:b/>
          <w:bCs/>
          <w:color w:val="1F6B3A"/>
        </w:rPr>
        <w:t xml:space="preserve">A, C, 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son correctas:</w:t>
      </w:r>
      <w:r>
        <w:rPr>
          <w:sz w:val="21"/>
          <w:szCs w:val="21"/>
        </w:rPr>
        <w:t xml:space="preserve"> el patrón de la fructosa sola es de desbalance con daño; con extracto, la catalasa se normaliza y las TBARS bajan casi a control; y la TAC se mueve con el ácido úrico (la fructosa lo eleva), así que no discrimina entre grupos.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Por qué no las demás:</w:t>
      </w:r>
      <w:r>
        <w:rPr>
          <w:sz w:val="21"/>
          <w:szCs w:val="21"/>
        </w:rPr>
        <w:t xml:space="preserve"> la TAC alta se explica por urato, no por un efecto antioxidante de la fructosa; y juzgar el extracto solo por la SOD ignora la recuperación de la catalasa y la caída de las TBARS.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470"/>
        <w:sz w:val="18"/>
        <w:szCs w:val="18"/>
      </w:rPr>
      <w:t xml:space="preserve">Examen · Del Genoma Crudo a la Clínica · </w:t>
    </w:r>
    <w:r>
      <w:rPr>
        <w:color w:val="5A64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222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2026-10-29T21:58:00.028Z</dcterms:created>
  <dcterms:modified xsi:type="dcterms:W3CDTF">2026-10-29T21:58:00.029Z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