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2CD125CB" w14:textId="1F5BF709" w:rsidR="005F01B1" w:rsidRPr="00B8376C" w:rsidRDefault="005F01B1" w:rsidP="005F01B1">
      <w:pPr>
        <w:pStyle w:val="NoSpacing"/>
        <w:numPr>
          <w:ilvl w:val="0"/>
          <w:numId w:val="9"/>
        </w:numPr>
        <w:rPr>
          <w:b/>
          <w:bCs/>
          <w:u w:val="single"/>
        </w:rPr>
      </w:pPr>
      <w:r w:rsidRPr="00B8376C">
        <w:rPr>
          <w:b/>
          <w:bCs/>
          <w:u w:val="single"/>
        </w:rPr>
        <w:t>Using the “kill switch”</w:t>
      </w:r>
      <w:r w:rsidRPr="00B8376C">
        <w:rPr>
          <w:b/>
          <w:bCs/>
          <w:u w:val="single"/>
        </w:rPr>
        <w:br/>
      </w:r>
      <w:r>
        <w:t xml:space="preserve">Use the sequence Ctrl-Alt-k (or whatever sequence is defined in </w:t>
      </w:r>
      <w:r w:rsidRPr="00F84230">
        <w:rPr>
          <w:rFonts w:ascii="Courier New" w:hAnsi="Courier New" w:cs="Courier New"/>
          <w:b/>
          <w:bCs/>
          <w:sz w:val="18"/>
          <w:szCs w:val="18"/>
        </w:rPr>
        <w:t>arcadeEIP.ini</w:t>
      </w:r>
      <w:r>
        <w:t xml:space="preserve"> for the </w:t>
      </w:r>
      <w:proofErr w:type="spellStart"/>
      <w:r w:rsidRPr="00BA46FB">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6F4BDC">
        <w:rPr>
          <w:rFonts w:ascii="Courier New" w:hAnsi="Courier New" w:cs="Courier New"/>
          <w:b/>
          <w:bCs/>
          <w:sz w:val="18"/>
          <w:szCs w:val="18"/>
        </w:rPr>
        <w:t>marquee.exe</w:t>
      </w:r>
      <w:r w:rsidR="006F4BDC">
        <w:t>.</w:t>
      </w:r>
    </w:p>
    <w:p w14:paraId="5B24147A" w14:textId="77777777" w:rsidR="005F01B1" w:rsidRDefault="005F01B1" w:rsidP="00B44949">
      <w:pPr>
        <w:pStyle w:val="NoSpacing"/>
      </w:pP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2917"/>
        <w:gridCol w:w="11473"/>
      </w:tblGrid>
      <w:tr w:rsidR="00F10E38" w14:paraId="5A9A93DA" w14:textId="77777777" w:rsidTr="000E10E4">
        <w:tc>
          <w:tcPr>
            <w:tcW w:w="2809"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581"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0E10E4">
        <w:tc>
          <w:tcPr>
            <w:tcW w:w="2809"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0E10E4">
        <w:tc>
          <w:tcPr>
            <w:tcW w:w="2809"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0E10E4">
        <w:tc>
          <w:tcPr>
            <w:tcW w:w="2809"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581"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0E10E4">
        <w:tc>
          <w:tcPr>
            <w:tcW w:w="2809"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581"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0E10E4">
        <w:tc>
          <w:tcPr>
            <w:tcW w:w="2809"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0E10E4">
        <w:tc>
          <w:tcPr>
            <w:tcW w:w="2809"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581"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0E10E4">
        <w:tc>
          <w:tcPr>
            <w:tcW w:w="2809"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581"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4AB924E9"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sidR="00A5748B">
              <w:rPr>
                <w:rFonts w:ascii="Courier New" w:hAnsi="Courier New" w:cs="Courier New"/>
                <w:sz w:val="18"/>
                <w:szCs w:val="18"/>
              </w:rPr>
              <w:t>gameex</w:t>
            </w:r>
            <w:proofErr w:type="spellEnd"/>
          </w:p>
        </w:tc>
        <w:tc>
          <w:tcPr>
            <w:tcW w:w="7910" w:type="dxa"/>
            <w:vAlign w:val="center"/>
          </w:tcPr>
          <w:p w14:paraId="67E16A08" w14:textId="569D022C" w:rsidR="00E27645" w:rsidRDefault="00D70DE8" w:rsidP="00BF760C">
            <w:pPr>
              <w:pStyle w:val="NoSpacing"/>
            </w:pPr>
            <w:r>
              <w:t>D</w:t>
            </w:r>
            <w:r w:rsidR="00E27645">
              <w:t>ebug as though “</w:t>
            </w:r>
            <w:proofErr w:type="spellStart"/>
            <w:r w:rsidR="00A5748B">
              <w:t>gameex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bl>
    <w:p w14:paraId="35DB5A9F" w14:textId="77777777" w:rsidR="00476388" w:rsidRDefault="0047638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30E0A9B5"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3B7246C" w:rsidR="00060B7E" w:rsidRDefault="00060B7E" w:rsidP="008B451D">
            <w:pPr>
              <w:pStyle w:val="NoSpacing"/>
            </w:pPr>
            <w:proofErr w:type="spellStart"/>
            <w:r>
              <w:t>Switcch</w:t>
            </w:r>
            <w:proofErr w:type="spellEnd"/>
            <w:r>
              <w:t xml:space="preserve">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92"/>
        <w:gridCol w:w="11898"/>
      </w:tblGrid>
      <w:tr w:rsidR="00E61492" w14:paraId="2619F4BB" w14:textId="77777777" w:rsidTr="00C511F8">
        <w:tc>
          <w:tcPr>
            <w:tcW w:w="2785"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605"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511F8">
        <w:tc>
          <w:tcPr>
            <w:tcW w:w="2785"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605"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511F8">
        <w:tc>
          <w:tcPr>
            <w:tcW w:w="2785"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605"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511F8">
        <w:tc>
          <w:tcPr>
            <w:tcW w:w="2785"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605"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511F8">
        <w:tc>
          <w:tcPr>
            <w:tcW w:w="2785"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511F8">
        <w:tc>
          <w:tcPr>
            <w:tcW w:w="2785" w:type="dxa"/>
            <w:vAlign w:val="center"/>
          </w:tcPr>
          <w:p w14:paraId="3909B232" w14:textId="68FF755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A63B12">
              <w:rPr>
                <w:rFonts w:ascii="Courier New" w:hAnsi="Courier New" w:cs="Courier New"/>
                <w:b/>
                <w:bCs/>
                <w:sz w:val="18"/>
                <w:szCs w:val="18"/>
              </w:rPr>
              <w:t>&lt;</w:t>
            </w:r>
            <w:proofErr w:type="gramEnd"/>
            <w:r w:rsidR="00A63B12">
              <w:rPr>
                <w:rFonts w:ascii="Courier New" w:hAnsi="Courier New" w:cs="Courier New"/>
                <w:b/>
                <w:bCs/>
                <w:sz w:val="18"/>
                <w:szCs w:val="18"/>
              </w:rPr>
              <w:t>,min&gt;</w:t>
            </w:r>
            <w:r w:rsidR="00386368">
              <w:rPr>
                <w:rFonts w:ascii="Courier New" w:hAnsi="Courier New" w:cs="Courier New"/>
                <w:b/>
                <w:bCs/>
                <w:sz w:val="18"/>
                <w:szCs w:val="18"/>
              </w:rPr>
              <w:br/>
              <w:t>&lt;,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proofErr w:type="spellStart"/>
            <w:r w:rsidR="00C15533">
              <w:rPr>
                <w:rFonts w:ascii="Courier New" w:hAnsi="Courier New" w:cs="Courier New"/>
                <w:b/>
                <w:bCs/>
                <w:sz w:val="18"/>
                <w:szCs w:val="18"/>
              </w:rPr>
              <w:t>notitlebar</w:t>
            </w:r>
            <w:proofErr w:type="spellEnd"/>
            <w:r w:rsidR="00C15533">
              <w:rPr>
                <w:rFonts w:ascii="Courier New" w:hAnsi="Courier New" w:cs="Courier New"/>
                <w:b/>
                <w:bCs/>
                <w:sz w:val="18"/>
                <w:szCs w:val="18"/>
              </w:rPr>
              <w:t>&gt;</w:t>
            </w:r>
          </w:p>
        </w:tc>
        <w:tc>
          <w:tcPr>
            <w:tcW w:w="11605" w:type="dxa"/>
          </w:tcPr>
          <w:p w14:paraId="2C591A00" w14:textId="7AAF51E6" w:rsidR="00C15533" w:rsidRDefault="001B44A7" w:rsidP="00A56BB8">
            <w:pPr>
              <w:pStyle w:val="NoSpacing"/>
            </w:pPr>
            <w:r>
              <w:rPr>
                <w:b/>
                <w:bCs/>
                <w:i/>
                <w:iCs/>
              </w:rPr>
              <w:t>Required</w:t>
            </w:r>
            <w:r w:rsidR="00A56BB8">
              <w:t>.  Full path to the emulator’s executable.</w:t>
            </w:r>
            <w:r w:rsidR="00A63B12">
              <w:t xml:space="preserve">  This may be followed </w:t>
            </w:r>
            <w:r w:rsidR="009A4CC0">
              <w:t xml:space="preserve">by </w:t>
            </w:r>
            <w:r w:rsidR="00C15533">
              <w:t xml:space="preserve">one or more </w:t>
            </w:r>
            <w:r w:rsidR="00A63B12">
              <w:t xml:space="preserve">comma separated </w:t>
            </w:r>
            <w:r w:rsidR="00C15533">
              <w:t>run option tags, including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328A0A1" w14:textId="1006569F" w:rsidR="001B3F80"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r>
              <w:br/>
            </w: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775DCE69" w14:textId="4B4B052E" w:rsidR="00BA6DCD" w:rsidRDefault="00BA6DCD" w:rsidP="001B3F80">
            <w:pPr>
              <w:pStyle w:val="NoSpacing"/>
              <w:ind w:left="720"/>
            </w:pPr>
            <w:proofErr w:type="spellStart"/>
            <w:r w:rsidRPr="00163669">
              <w:rPr>
                <w:b/>
                <w:bCs/>
              </w:rPr>
              <w:t>winset_</w:t>
            </w:r>
            <w:r>
              <w:rPr>
                <w:b/>
                <w:bCs/>
              </w:rPr>
              <w:t>D</w:t>
            </w:r>
            <w:proofErr w:type="spellEnd"/>
            <w:r>
              <w:t>: Designed Visual Pinball. Moves the mouse during startup to prevent taskbar pop-up.</w:t>
            </w:r>
          </w:p>
          <w:p w14:paraId="6E65C02E" w14:textId="77777777" w:rsidR="008833E8" w:rsidRDefault="0075180C" w:rsidP="005131A8">
            <w:pPr>
              <w:pStyle w:val="NoSpacing"/>
              <w:rPr>
                <w:i/>
                <w:iCs/>
              </w:rPr>
            </w:pPr>
            <w:r>
              <w:rPr>
                <w:i/>
                <w:iCs/>
              </w:rPr>
              <w:lastRenderedPageBreak/>
              <w:br/>
            </w:r>
            <w:r w:rsidR="008833E8">
              <w:rPr>
                <w:i/>
                <w:iCs/>
              </w:rPr>
              <w:t>Th</w:t>
            </w:r>
            <w:r w:rsidR="005131A8">
              <w:rPr>
                <w:i/>
                <w:iCs/>
              </w:rPr>
              <w:t xml:space="preserve">is </w:t>
            </w:r>
            <w:r>
              <w:rPr>
                <w:i/>
                <w:iCs/>
              </w:rPr>
              <w:t>key</w:t>
            </w:r>
            <w:r w:rsidR="005131A8">
              <w:rPr>
                <w:i/>
                <w:iCs/>
              </w:rPr>
              <w:t xml:space="preserve"> </w:t>
            </w:r>
            <w:r w:rsidR="00376859">
              <w:rPr>
                <w:i/>
                <w:iCs/>
              </w:rPr>
              <w:t>a</w:t>
            </w:r>
            <w:r w:rsidR="00337C9C">
              <w:rPr>
                <w:i/>
                <w:iCs/>
              </w:rPr>
              <w:t xml:space="preserve">dditionally </w:t>
            </w:r>
            <w:r w:rsidR="005131A8">
              <w:rPr>
                <w:i/>
                <w:iCs/>
              </w:rPr>
              <w:t xml:space="preserve">supports the same templates as </w:t>
            </w:r>
            <w:proofErr w:type="spellStart"/>
            <w:r w:rsidR="005131A8" w:rsidRPr="00292C36">
              <w:rPr>
                <w:rFonts w:ascii="Courier New" w:hAnsi="Courier New" w:cs="Courier New"/>
                <w:b/>
                <w:bCs/>
                <w:i/>
                <w:iCs/>
                <w:sz w:val="18"/>
                <w:szCs w:val="18"/>
              </w:rPr>
              <w:t>param_list</w:t>
            </w:r>
            <w:proofErr w:type="spellEnd"/>
            <w:r w:rsidR="00292C36">
              <w:rPr>
                <w:i/>
                <w:iCs/>
              </w:rPr>
              <w:t xml:space="preserve"> (with the exception of </w:t>
            </w:r>
            <w:r w:rsidR="00292C36" w:rsidRPr="00292C36">
              <w:rPr>
                <w:rFonts w:ascii="Courier New" w:hAnsi="Courier New" w:cs="Courier New"/>
                <w:b/>
                <w:bCs/>
                <w:i/>
                <w:iCs/>
                <w:sz w:val="18"/>
                <w:szCs w:val="18"/>
              </w:rPr>
              <w:t>[</w:t>
            </w:r>
            <w:proofErr w:type="spellStart"/>
            <w:r w:rsidR="00292C36" w:rsidRPr="00292C36">
              <w:rPr>
                <w:rFonts w:ascii="Courier New" w:hAnsi="Courier New" w:cs="Courier New"/>
                <w:b/>
                <w:bCs/>
                <w:i/>
                <w:iCs/>
                <w:sz w:val="18"/>
                <w:szCs w:val="18"/>
              </w:rPr>
              <w:t>root_folder</w:t>
            </w:r>
            <w:proofErr w:type="spellEnd"/>
            <w:r w:rsidR="00292C36" w:rsidRPr="00292C36">
              <w:rPr>
                <w:rFonts w:ascii="Courier New" w:hAnsi="Courier New" w:cs="Courier New"/>
                <w:b/>
                <w:bCs/>
                <w:i/>
                <w:iCs/>
                <w:sz w:val="18"/>
                <w:szCs w:val="18"/>
              </w:rPr>
              <w:t>]</w:t>
            </w:r>
            <w:r w:rsidR="00292C36">
              <w:rPr>
                <w:i/>
                <w:iCs/>
              </w:rPr>
              <w:t>).</w:t>
            </w:r>
          </w:p>
          <w:p w14:paraId="4405EB60" w14:textId="78F1C6D5" w:rsidR="004E2FE9" w:rsidRPr="008833E8" w:rsidRDefault="004E2FE9" w:rsidP="005131A8">
            <w:pPr>
              <w:pStyle w:val="NoSpacing"/>
            </w:pPr>
          </w:p>
        </w:tc>
      </w:tr>
      <w:tr w:rsidR="00207DCE" w14:paraId="582159D4" w14:textId="77777777" w:rsidTr="00C511F8">
        <w:tc>
          <w:tcPr>
            <w:tcW w:w="2785"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605"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511F8">
        <w:tc>
          <w:tcPr>
            <w:tcW w:w="2785" w:type="dxa"/>
            <w:vAlign w:val="center"/>
          </w:tcPr>
          <w:p w14:paraId="460A8A50" w14:textId="0337F6E9"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tc>
        <w:tc>
          <w:tcPr>
            <w:tcW w:w="11605"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5A45F3B8"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  If </w:t>
            </w:r>
            <w:proofErr w:type="spellStart"/>
            <w:r>
              <w:t>roms</w:t>
            </w:r>
            <w:proofErr w:type="spellEnd"/>
            <w:r>
              <w:t xml:space="preserve"> are found in multiple folders, you may aggregate these using a “;” to separate the paths.  For example:</w:t>
            </w:r>
          </w:p>
          <w:p w14:paraId="2DA92A76" w14:textId="77777777" w:rsidR="008C3F9D" w:rsidRDefault="008C3F9D" w:rsidP="00A56BB8">
            <w:pPr>
              <w:pStyle w:val="NoSpacing"/>
            </w:pPr>
          </w:p>
          <w:p w14:paraId="3FB98CE4" w14:textId="1D4C3F42"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w:t>
            </w:r>
            <w:proofErr w:type="gramStart"/>
            <w:r w:rsidRPr="008C3F9D">
              <w:rPr>
                <w:rFonts w:ascii="Courier New" w:hAnsi="Courier New" w:cs="Courier New"/>
                <w:b/>
                <w:bCs/>
                <w:sz w:val="18"/>
                <w:szCs w:val="18"/>
              </w:rPr>
              <w:t>*.zip;D:\Emulators\Demul\Demul_analog\roms\</w:t>
            </w:r>
            <w:proofErr w:type="gramEnd"/>
            <w:r w:rsidRPr="008C3F9D">
              <w:rPr>
                <w:rFonts w:ascii="Courier New" w:hAnsi="Courier New" w:cs="Courier New"/>
                <w:b/>
                <w:bCs/>
                <w:sz w:val="18"/>
                <w:szCs w:val="18"/>
              </w:rPr>
              <w:t>*.zip</w:t>
            </w:r>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511F8">
        <w:tc>
          <w:tcPr>
            <w:tcW w:w="2785"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605"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511F8">
        <w:tc>
          <w:tcPr>
            <w:tcW w:w="2785"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605"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511F8">
        <w:tc>
          <w:tcPr>
            <w:tcW w:w="2785"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511F8">
        <w:tc>
          <w:tcPr>
            <w:tcW w:w="2785"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605"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511F8">
        <w:tc>
          <w:tcPr>
            <w:tcW w:w="2785"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511F8">
        <w:tc>
          <w:tcPr>
            <w:tcW w:w="2785"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511F8">
        <w:tc>
          <w:tcPr>
            <w:tcW w:w="2785"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605"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511F8">
        <w:tc>
          <w:tcPr>
            <w:tcW w:w="2785"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605"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511F8">
        <w:tc>
          <w:tcPr>
            <w:tcW w:w="2785"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605"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lastRenderedPageBreak/>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511F8">
        <w:tc>
          <w:tcPr>
            <w:tcW w:w="2785"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605"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511F8">
        <w:tc>
          <w:tcPr>
            <w:tcW w:w="2785"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605"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511F8">
        <w:tc>
          <w:tcPr>
            <w:tcW w:w="2785"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605"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511F8">
        <w:tc>
          <w:tcPr>
            <w:tcW w:w="2785"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605"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511F8">
        <w:tc>
          <w:tcPr>
            <w:tcW w:w="2785"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605"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511F8">
        <w:tc>
          <w:tcPr>
            <w:tcW w:w="2785"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605"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511F8">
        <w:tc>
          <w:tcPr>
            <w:tcW w:w="2785"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w:t>
            </w:r>
            <w:r>
              <w:lastRenderedPageBreak/>
              <w:t xml:space="preserve">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76EB47B6"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C:\Emulators\MAME\mame64.exe,min</w:t>
            </w:r>
            <w:proofErr w:type="gramEnd"/>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6E36B52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w:t>
            </w:r>
            <w:proofErr w:type="gramStart"/>
            <w:r w:rsidRPr="00E27EB9">
              <w:rPr>
                <w:rFonts w:ascii="Courier New" w:hAnsi="Courier New" w:cs="Courier New"/>
                <w:sz w:val="18"/>
                <w:szCs w:val="18"/>
              </w:rPr>
              <w:t>D:\Emulators\P64\Project64.exe,nohide</w:t>
            </w:r>
            <w:proofErr w:type="gramEnd"/>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5D19AF86"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Pr>
                <w:rFonts w:ascii="Courier New" w:hAnsi="Courier New" w:cs="Courier New"/>
                <w:sz w:val="18"/>
                <w:szCs w:val="18"/>
              </w:rPr>
              <w:t>;C:\Stella\4kroms\*.bin,zip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w:t>
            </w:r>
            <w:r w:rsidR="00686E74">
              <w:lastRenderedPageBreak/>
              <w:t xml:space="preserve">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lastRenderedPageBreak/>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729EDF8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B0ECD">
              <w:rPr>
                <w:rFonts w:ascii="Courier New" w:hAnsi="Courier New" w:cs="Courier New"/>
                <w:b/>
                <w:bCs/>
                <w:sz w:val="18"/>
                <w:szCs w:val="18"/>
              </w:rPr>
              <w:t>,min&gt;&lt;,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tc>
        <w:tc>
          <w:tcPr>
            <w:tcW w:w="9961" w:type="dxa"/>
          </w:tcPr>
          <w:p w14:paraId="586F1C4B" w14:textId="321C1D58"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the comma 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090FCD14"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JoyToKey.exe,nowait</w:t>
            </w:r>
            <w:proofErr w:type="spellEnd"/>
            <w:proofErr w:type="gram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9D00D" w14:textId="77777777" w:rsidR="00CA6ED0" w:rsidRDefault="00CA6ED0" w:rsidP="006F3BD2">
      <w:pPr>
        <w:spacing w:after="0" w:line="240" w:lineRule="auto"/>
      </w:pPr>
      <w:r>
        <w:separator/>
      </w:r>
    </w:p>
  </w:endnote>
  <w:endnote w:type="continuationSeparator" w:id="0">
    <w:p w14:paraId="51BAA256" w14:textId="77777777" w:rsidR="00CA6ED0" w:rsidRDefault="00CA6ED0"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AC17" w14:textId="77777777" w:rsidR="00CA6ED0" w:rsidRDefault="00CA6ED0" w:rsidP="006F3BD2">
      <w:pPr>
        <w:spacing w:after="0" w:line="240" w:lineRule="auto"/>
      </w:pPr>
      <w:r>
        <w:separator/>
      </w:r>
    </w:p>
  </w:footnote>
  <w:footnote w:type="continuationSeparator" w:id="0">
    <w:p w14:paraId="3D50BFBE" w14:textId="77777777" w:rsidR="00CA6ED0" w:rsidRDefault="00CA6ED0"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54B5B688"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0.3.</w:t>
    </w:r>
    <w:r w:rsidR="00906688">
      <w:rPr>
        <w:rFonts w:ascii="Courier New" w:hAnsi="Courier New" w:cs="Courier New"/>
        <w:sz w:val="20"/>
        <w:szCs w:val="20"/>
      </w:rPr>
      <w:t>3</w:t>
    </w:r>
    <w:r w:rsidR="002435F6">
      <w:rPr>
        <w:rFonts w:ascii="Courier New" w:hAnsi="Courier New" w:cs="Courier New"/>
        <w:sz w:val="20"/>
        <w:szCs w:val="20"/>
      </w:rPr>
      <w:t>.</w:t>
    </w:r>
    <w:r w:rsidR="001F3728">
      <w:rPr>
        <w:rFonts w:ascii="Courier New" w:hAnsi="Courier New" w:cs="Courier New"/>
        <w:sz w:val="20"/>
        <w:szCs w:val="20"/>
      </w:rPr>
      <w:t>3</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C4B0C"/>
    <w:rsid w:val="002D0528"/>
    <w:rsid w:val="002D40B6"/>
    <w:rsid w:val="002E00D4"/>
    <w:rsid w:val="002E2CD5"/>
    <w:rsid w:val="002E5BDF"/>
    <w:rsid w:val="002E602A"/>
    <w:rsid w:val="002F449C"/>
    <w:rsid w:val="002F4542"/>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31A8"/>
    <w:rsid w:val="00514FDA"/>
    <w:rsid w:val="00517AAA"/>
    <w:rsid w:val="005212CD"/>
    <w:rsid w:val="00521316"/>
    <w:rsid w:val="00524756"/>
    <w:rsid w:val="005279A3"/>
    <w:rsid w:val="00527CEB"/>
    <w:rsid w:val="00534EBF"/>
    <w:rsid w:val="005362B3"/>
    <w:rsid w:val="00546ADC"/>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62261"/>
    <w:rsid w:val="00881070"/>
    <w:rsid w:val="008833E8"/>
    <w:rsid w:val="0088358B"/>
    <w:rsid w:val="00892C0D"/>
    <w:rsid w:val="008932D7"/>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482C"/>
    <w:rsid w:val="00C8646C"/>
    <w:rsid w:val="00C91AB4"/>
    <w:rsid w:val="00C9479F"/>
    <w:rsid w:val="00C973D2"/>
    <w:rsid w:val="00CA169E"/>
    <w:rsid w:val="00CA2720"/>
    <w:rsid w:val="00CA4F7F"/>
    <w:rsid w:val="00CA6CD1"/>
    <w:rsid w:val="00CA6ED0"/>
    <w:rsid w:val="00CB2E10"/>
    <w:rsid w:val="00CB3B19"/>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64294</TotalTime>
  <Pages>39</Pages>
  <Words>13201</Words>
  <Characters>75247</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300</cp:revision>
  <cp:lastPrinted>2022-02-12T17:11:00Z</cp:lastPrinted>
  <dcterms:created xsi:type="dcterms:W3CDTF">2019-08-20T13:47:00Z</dcterms:created>
  <dcterms:modified xsi:type="dcterms:W3CDTF">2023-02-28T20:15:00Z</dcterms:modified>
</cp:coreProperties>
</file>