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642A" w14:textId="7CA1FB69" w:rsidR="007B3D1C" w:rsidRDefault="00F133EF" w:rsidP="007B3D1C">
      <w:pPr>
        <w:jc w:val="both"/>
        <w:rPr>
          <w:lang w:val="en-US"/>
        </w:rPr>
      </w:pPr>
      <w:r w:rsidRPr="00385A5B">
        <w:rPr>
          <w:lang w:val="en-US"/>
        </w:rPr>
        <w:t>Artificial intelligence</w:t>
      </w:r>
      <w:r w:rsidR="00323D70" w:rsidRPr="00385A5B">
        <w:rPr>
          <w:lang w:val="en-US"/>
        </w:rPr>
        <w:t xml:space="preserve"> (AI) </w:t>
      </w:r>
      <w:r w:rsidRPr="00385A5B">
        <w:rPr>
          <w:lang w:val="en-US"/>
        </w:rPr>
        <w:t>and machine learning (ML) techniques have been applied to support certain tasks in material science research. Some of th</w:t>
      </w:r>
      <w:r w:rsidR="007B3D1C">
        <w:rPr>
          <w:lang w:val="en-US"/>
        </w:rPr>
        <w:t xml:space="preserve">ose </w:t>
      </w:r>
      <w:r w:rsidRPr="00385A5B">
        <w:rPr>
          <w:lang w:val="en-US"/>
        </w:rPr>
        <w:t xml:space="preserve">are: accelerated simulation, </w:t>
      </w:r>
      <w:r w:rsidR="007B3D1C">
        <w:rPr>
          <w:lang w:val="en-US"/>
        </w:rPr>
        <w:t xml:space="preserve">to </w:t>
      </w:r>
      <w:r w:rsidRPr="00385A5B">
        <w:rPr>
          <w:lang w:val="en-US"/>
        </w:rPr>
        <w:t>predict</w:t>
      </w:r>
      <w:r w:rsidR="007B3D1C">
        <w:rPr>
          <w:lang w:val="en-US"/>
        </w:rPr>
        <w:t xml:space="preserve"> </w:t>
      </w:r>
      <w:r w:rsidRPr="00385A5B">
        <w:rPr>
          <w:lang w:val="en-US"/>
        </w:rPr>
        <w:t xml:space="preserve">properties of new materials, planning the route to synthesize materials and experimental parameter optimization </w:t>
      </w:r>
      <w:r w:rsidR="00323D70" w:rsidRPr="00385A5B">
        <w:rPr>
          <w:lang w:val="en-US"/>
        </w:rPr>
        <w:t>(Mueller 2016, Butler 2018, Sha 2020).</w:t>
      </w:r>
      <w:r w:rsidR="001772F0" w:rsidRPr="00385A5B">
        <w:rPr>
          <w:lang w:val="en-US"/>
        </w:rPr>
        <w:t xml:space="preserve"> </w:t>
      </w:r>
      <w:r w:rsidR="007B3D1C">
        <w:rPr>
          <w:lang w:val="en-US"/>
        </w:rPr>
        <w:t>In the framework of this paper</w:t>
      </w:r>
      <w:r w:rsidR="00B74263">
        <w:rPr>
          <w:lang w:val="en-US"/>
        </w:rPr>
        <w:t xml:space="preserve">, </w:t>
      </w:r>
      <w:r w:rsidR="007B3D1C">
        <w:rPr>
          <w:lang w:val="en-US"/>
        </w:rPr>
        <w:t xml:space="preserve">we are interested in </w:t>
      </w:r>
      <w:r w:rsidR="002936F8" w:rsidRPr="00385A5B">
        <w:rPr>
          <w:lang w:val="en-US"/>
        </w:rPr>
        <w:t>experimental design algorithms which are aimed to reduce the number of required experiments (</w:t>
      </w:r>
      <w:proofErr w:type="spellStart"/>
      <w:r w:rsidR="002936F8" w:rsidRPr="00385A5B">
        <w:rPr>
          <w:lang w:val="en-US"/>
        </w:rPr>
        <w:t>Dieb</w:t>
      </w:r>
      <w:proofErr w:type="spellEnd"/>
      <w:r w:rsidR="002936F8" w:rsidRPr="00385A5B">
        <w:rPr>
          <w:lang w:val="en-US"/>
        </w:rPr>
        <w:t>, 2018). The approach implies generating a set of candidates</w:t>
      </w:r>
      <w:r w:rsidR="005B673A" w:rsidRPr="00385A5B">
        <w:rPr>
          <w:lang w:val="en-US"/>
        </w:rPr>
        <w:t xml:space="preserve"> (experiments)</w:t>
      </w:r>
      <w:r w:rsidR="002936F8" w:rsidRPr="00385A5B">
        <w:rPr>
          <w:lang w:val="en-US"/>
        </w:rPr>
        <w:t xml:space="preserve">, each candidate is evaluated according to an objective function and the most promising candidates are selected to be performed at the laboratory. </w:t>
      </w:r>
      <w:r w:rsidR="007B3D1C">
        <w:rPr>
          <w:lang w:val="en-US"/>
        </w:rPr>
        <w:t xml:space="preserve">In that way, the idea is to conduct only promising experiments, saving resources. An important element is how to assess the candidate experiments. To do so, we propose to use </w:t>
      </w:r>
      <w:r w:rsidR="005B673A" w:rsidRPr="00385A5B">
        <w:rPr>
          <w:lang w:val="en-US"/>
        </w:rPr>
        <w:t xml:space="preserve">the data of some experiments already performed to train a model to predict a valuable property, in this case the absorbance. Then, through the model, evaluate new candidate experiments to decide which ones are interesting to be carried out. </w:t>
      </w:r>
    </w:p>
    <w:p w14:paraId="79963244" w14:textId="69B9963A" w:rsidR="00385A5B" w:rsidRDefault="002C3978" w:rsidP="007B3D1C">
      <w:pPr>
        <w:jc w:val="both"/>
        <w:rPr>
          <w:lang w:val="en-US"/>
        </w:rPr>
      </w:pPr>
      <w:r>
        <w:rPr>
          <w:lang w:val="en-US"/>
        </w:rPr>
        <w:t>We will use the</w:t>
      </w:r>
      <w:r w:rsidR="007B3D1C">
        <w:rPr>
          <w:lang w:val="en-US"/>
        </w:rPr>
        <w:t xml:space="preserve"> </w:t>
      </w:r>
      <w:r w:rsidR="007B3D1C" w:rsidRPr="007B3D1C">
        <w:rPr>
          <w:i/>
          <w:iCs/>
          <w:lang w:val="en-US"/>
        </w:rPr>
        <w:t>supervised learnin</w:t>
      </w:r>
      <w:r w:rsidR="007B3D1C">
        <w:rPr>
          <w:lang w:val="en-US"/>
        </w:rPr>
        <w:t xml:space="preserve">g approach. </w:t>
      </w:r>
      <w:r w:rsidRPr="002C3978">
        <w:rPr>
          <w:lang w:val="en-US"/>
        </w:rPr>
        <w:t xml:space="preserve">With </w:t>
      </w:r>
      <w:r>
        <w:rPr>
          <w:lang w:val="en-US"/>
        </w:rPr>
        <w:t xml:space="preserve">it, we </w:t>
      </w:r>
      <w:r w:rsidRPr="002C3978">
        <w:rPr>
          <w:lang w:val="en-US"/>
        </w:rPr>
        <w:t>use labeled data, to infer a</w:t>
      </w:r>
      <w:r>
        <w:rPr>
          <w:lang w:val="en-US"/>
        </w:rPr>
        <w:t xml:space="preserve"> model</w:t>
      </w:r>
      <w:r w:rsidRPr="002C3978">
        <w:rPr>
          <w:lang w:val="en-US"/>
        </w:rPr>
        <w:t xml:space="preserve">. </w:t>
      </w:r>
      <w:r>
        <w:rPr>
          <w:lang w:val="en-US"/>
        </w:rPr>
        <w:t xml:space="preserve">The labeled data set is used as the basis </w:t>
      </w:r>
      <w:r w:rsidRPr="002C3978">
        <w:rPr>
          <w:lang w:val="en-US"/>
        </w:rPr>
        <w:t xml:space="preserve">for predicting the </w:t>
      </w:r>
      <w:r>
        <w:rPr>
          <w:lang w:val="en-US"/>
        </w:rPr>
        <w:t>values</w:t>
      </w:r>
      <w:r w:rsidRPr="002C3978">
        <w:rPr>
          <w:lang w:val="en-US"/>
        </w:rPr>
        <w:t xml:space="preserve"> of other unlabeled data </w:t>
      </w:r>
      <w:proofErr w:type="gramStart"/>
      <w:r w:rsidRPr="002C3978">
        <w:rPr>
          <w:lang w:val="en-US"/>
        </w:rPr>
        <w:t>through the use of</w:t>
      </w:r>
      <w:proofErr w:type="gramEnd"/>
      <w:r w:rsidRPr="002C3978">
        <w:rPr>
          <w:lang w:val="en-US"/>
        </w:rPr>
        <w:t xml:space="preserve"> machine learning algorithms</w:t>
      </w:r>
      <w:r>
        <w:rPr>
          <w:lang w:val="en-US"/>
        </w:rPr>
        <w:t xml:space="preserve">. </w:t>
      </w:r>
      <w:r w:rsidR="00385A5B">
        <w:rPr>
          <w:lang w:val="en-US"/>
        </w:rPr>
        <w:t xml:space="preserve">There are several supervised learning methods. In this work, we tested </w:t>
      </w:r>
      <w:r w:rsidR="00385A5B" w:rsidRPr="00385A5B">
        <w:rPr>
          <w:lang w:val="en-US"/>
        </w:rPr>
        <w:t>Support Vector Machine</w:t>
      </w:r>
      <w:r w:rsidR="00385A5B">
        <w:rPr>
          <w:lang w:val="en-US"/>
        </w:rPr>
        <w:t xml:space="preserve"> (SVM)</w:t>
      </w:r>
      <w:r w:rsidR="00385A5B" w:rsidRPr="00385A5B">
        <w:rPr>
          <w:lang w:val="en-US"/>
        </w:rPr>
        <w:t xml:space="preserve">, Linear </w:t>
      </w:r>
      <w:r w:rsidR="00385A5B">
        <w:rPr>
          <w:lang w:val="en-US"/>
        </w:rPr>
        <w:t>R</w:t>
      </w:r>
      <w:r w:rsidR="00385A5B" w:rsidRPr="00385A5B">
        <w:rPr>
          <w:lang w:val="en-US"/>
        </w:rPr>
        <w:t>egression</w:t>
      </w:r>
      <w:r w:rsidR="00385A5B">
        <w:rPr>
          <w:lang w:val="en-US"/>
        </w:rPr>
        <w:t xml:space="preserve"> (LR)</w:t>
      </w:r>
      <w:r w:rsidR="00385A5B" w:rsidRPr="00385A5B">
        <w:rPr>
          <w:lang w:val="en-US"/>
        </w:rPr>
        <w:t xml:space="preserve">, and </w:t>
      </w:r>
      <w:r w:rsidR="00385A5B">
        <w:rPr>
          <w:lang w:val="en-US"/>
        </w:rPr>
        <w:t>A</w:t>
      </w:r>
      <w:r w:rsidR="00385A5B" w:rsidRPr="00385A5B">
        <w:rPr>
          <w:lang w:val="en-US"/>
        </w:rPr>
        <w:t xml:space="preserve">rtificial </w:t>
      </w:r>
      <w:r w:rsidR="00385A5B">
        <w:rPr>
          <w:lang w:val="en-US"/>
        </w:rPr>
        <w:t>N</w:t>
      </w:r>
      <w:r w:rsidR="00385A5B" w:rsidRPr="00385A5B">
        <w:rPr>
          <w:lang w:val="en-US"/>
        </w:rPr>
        <w:t xml:space="preserve">eural </w:t>
      </w:r>
      <w:r w:rsidR="00385A5B">
        <w:rPr>
          <w:lang w:val="en-US"/>
        </w:rPr>
        <w:t>N</w:t>
      </w:r>
      <w:r w:rsidR="00385A5B" w:rsidRPr="00385A5B">
        <w:rPr>
          <w:lang w:val="en-US"/>
        </w:rPr>
        <w:t>etworks</w:t>
      </w:r>
      <w:r w:rsidR="00385A5B">
        <w:rPr>
          <w:lang w:val="en-US"/>
        </w:rPr>
        <w:t xml:space="preserve">. The best result was given by the </w:t>
      </w:r>
      <w:proofErr w:type="gramStart"/>
      <w:r w:rsidR="00385A5B">
        <w:rPr>
          <w:lang w:val="en-US"/>
        </w:rPr>
        <w:t>ANN,</w:t>
      </w:r>
      <w:proofErr w:type="gramEnd"/>
      <w:r w:rsidR="00385A5B">
        <w:rPr>
          <w:lang w:val="en-US"/>
        </w:rPr>
        <w:t xml:space="preserve"> thus we concentrate here on the foundations of it. </w:t>
      </w:r>
    </w:p>
    <w:p w14:paraId="2A8D12E5" w14:textId="1011B4F0" w:rsidR="002C3978" w:rsidRDefault="008639B1" w:rsidP="00385A5B">
      <w:pPr>
        <w:jc w:val="both"/>
        <w:rPr>
          <w:lang w:val="en-US"/>
        </w:rPr>
      </w:pPr>
      <w:r>
        <w:rPr>
          <w:lang w:val="en-US"/>
        </w:rPr>
        <w:t xml:space="preserve">In </w:t>
      </w:r>
      <w:r w:rsidR="00C55094">
        <w:rPr>
          <w:lang w:val="en-US"/>
        </w:rPr>
        <w:t>few words</w:t>
      </w:r>
      <w:r>
        <w:rPr>
          <w:lang w:val="en-US"/>
        </w:rPr>
        <w:t xml:space="preserve">, an ANN is a network of processing units called artificial neurons. </w:t>
      </w:r>
      <w:r w:rsidR="002C3978">
        <w:rPr>
          <w:lang w:val="en-US"/>
        </w:rPr>
        <w:t>Neurons are connected following a certain topology. Fig. XXX illustrates a typical Multi-Layer Perceptron</w:t>
      </w:r>
      <w:r w:rsidR="00B74263">
        <w:rPr>
          <w:lang w:val="en-US"/>
        </w:rPr>
        <w:t xml:space="preserve"> (MLP)</w:t>
      </w:r>
      <w:r w:rsidR="002C3978">
        <w:rPr>
          <w:lang w:val="en-US"/>
        </w:rPr>
        <w:t xml:space="preserve">.  Each neuron performs two operations. The first one is </w:t>
      </w:r>
      <w:r w:rsidR="00B74263">
        <w:rPr>
          <w:lang w:val="en-US"/>
        </w:rPr>
        <w:t xml:space="preserve">computing the </w:t>
      </w:r>
      <w:r w:rsidR="00B74263" w:rsidRPr="00B74263">
        <w:rPr>
          <w:i/>
          <w:iCs/>
          <w:lang w:val="en-US"/>
        </w:rPr>
        <w:t>net input function</w:t>
      </w:r>
      <w:r w:rsidR="00B74263">
        <w:rPr>
          <w:lang w:val="en-US"/>
        </w:rPr>
        <w:t xml:space="preserve">, which is </w:t>
      </w:r>
      <w:r w:rsidR="002C3978">
        <w:rPr>
          <w:lang w:val="en-US"/>
        </w:rPr>
        <w:t xml:space="preserve">a weighted sum of all the inputs to the neuron. </w:t>
      </w:r>
      <w:r w:rsidR="007345AE">
        <w:rPr>
          <w:lang w:val="en-US"/>
        </w:rPr>
        <w:t xml:space="preserve">If </w:t>
      </w:r>
      <w:r w:rsidR="007345AE" w:rsidRPr="00B74263">
        <w:rPr>
          <w:b/>
          <w:bCs/>
          <w:lang w:val="en-US"/>
        </w:rPr>
        <w:t>x</w:t>
      </w:r>
      <w:proofErr w:type="gramStart"/>
      <w:r w:rsidR="007345AE">
        <w:rPr>
          <w:lang w:val="en-US"/>
        </w:rPr>
        <w:t>={</w:t>
      </w:r>
      <w:proofErr w:type="gramEnd"/>
      <w:r w:rsidR="007345AE">
        <w:rPr>
          <w:lang w:val="en-US"/>
        </w:rPr>
        <w:t>x</w:t>
      </w:r>
      <w:r w:rsidR="007345AE" w:rsidRPr="00B74263">
        <w:rPr>
          <w:vertAlign w:val="subscript"/>
          <w:lang w:val="en-US"/>
        </w:rPr>
        <w:t>1</w:t>
      </w:r>
      <w:r w:rsidR="007345AE">
        <w:rPr>
          <w:lang w:val="en-US"/>
        </w:rPr>
        <w:t xml:space="preserve">, …, </w:t>
      </w:r>
      <w:proofErr w:type="spellStart"/>
      <w:r w:rsidR="007345AE">
        <w:rPr>
          <w:lang w:val="en-US"/>
        </w:rPr>
        <w:t>x</w:t>
      </w:r>
      <w:r w:rsidR="007345AE" w:rsidRPr="00B74263">
        <w:rPr>
          <w:vertAlign w:val="subscript"/>
          <w:lang w:val="en-US"/>
        </w:rPr>
        <w:t>n</w:t>
      </w:r>
      <w:proofErr w:type="spellEnd"/>
      <w:r w:rsidR="007345AE">
        <w:rPr>
          <w:lang w:val="en-US"/>
        </w:rPr>
        <w:t xml:space="preserve">} </w:t>
      </w:r>
      <w:r w:rsidR="00B74263">
        <w:rPr>
          <w:lang w:val="en-US"/>
        </w:rPr>
        <w:t>are the input values</w:t>
      </w:r>
      <w:r w:rsidR="007345AE">
        <w:rPr>
          <w:lang w:val="en-US"/>
        </w:rPr>
        <w:t xml:space="preserve"> and </w:t>
      </w:r>
      <w:r w:rsidR="007345AE" w:rsidRPr="00B74263">
        <w:rPr>
          <w:b/>
          <w:bCs/>
          <w:lang w:val="en-US"/>
        </w:rPr>
        <w:t>w</w:t>
      </w:r>
      <w:r w:rsidR="007345AE">
        <w:rPr>
          <w:lang w:val="en-US"/>
        </w:rPr>
        <w:t>={</w:t>
      </w:r>
      <w:r w:rsidR="007345AE">
        <w:rPr>
          <w:lang w:val="en-US"/>
        </w:rPr>
        <w:t>w</w:t>
      </w:r>
      <w:r w:rsidR="007345AE" w:rsidRPr="00B74263">
        <w:rPr>
          <w:vertAlign w:val="subscript"/>
          <w:lang w:val="en-US"/>
        </w:rPr>
        <w:t>1</w:t>
      </w:r>
      <w:r w:rsidR="007345AE">
        <w:rPr>
          <w:lang w:val="en-US"/>
        </w:rPr>
        <w:t xml:space="preserve">, …, </w:t>
      </w:r>
      <w:proofErr w:type="spellStart"/>
      <w:r w:rsidR="007345AE">
        <w:rPr>
          <w:lang w:val="en-US"/>
        </w:rPr>
        <w:t>w</w:t>
      </w:r>
      <w:r w:rsidR="007345AE" w:rsidRPr="00B74263">
        <w:rPr>
          <w:vertAlign w:val="subscript"/>
          <w:lang w:val="en-US"/>
        </w:rPr>
        <w:t>n</w:t>
      </w:r>
      <w:proofErr w:type="spellEnd"/>
      <w:r w:rsidR="007345AE">
        <w:rPr>
          <w:lang w:val="en-US"/>
        </w:rPr>
        <w:t>}</w:t>
      </w:r>
      <w:r w:rsidR="007345AE">
        <w:rPr>
          <w:lang w:val="en-US"/>
        </w:rPr>
        <w:t xml:space="preserve"> are the weights, S=SUM</w:t>
      </w:r>
      <w:r w:rsidR="007345AE" w:rsidRPr="00B74263">
        <w:rPr>
          <w:vertAlign w:val="subscript"/>
          <w:lang w:val="en-US"/>
        </w:rPr>
        <w:t>1</w:t>
      </w:r>
      <w:r w:rsidR="00B74263">
        <w:rPr>
          <w:vertAlign w:val="subscript"/>
          <w:lang w:val="en-US"/>
        </w:rPr>
        <w:t xml:space="preserve"> </w:t>
      </w:r>
      <w:r w:rsidR="007345AE" w:rsidRPr="00B74263">
        <w:rPr>
          <w:vertAlign w:val="superscript"/>
          <w:lang w:val="en-US"/>
        </w:rPr>
        <w:t>n</w:t>
      </w:r>
      <w:r w:rsidR="00B74263">
        <w:rPr>
          <w:lang w:val="en-US"/>
        </w:rPr>
        <w:t xml:space="preserve"> </w:t>
      </w:r>
      <w:r w:rsidR="007345AE">
        <w:rPr>
          <w:lang w:val="en-US"/>
        </w:rPr>
        <w:t>(x</w:t>
      </w:r>
      <w:r w:rsidR="007345AE" w:rsidRPr="00B74263">
        <w:rPr>
          <w:vertAlign w:val="subscript"/>
          <w:lang w:val="en-US"/>
        </w:rPr>
        <w:t>i</w:t>
      </w:r>
      <w:r w:rsidR="007345AE">
        <w:rPr>
          <w:lang w:val="en-US"/>
        </w:rPr>
        <w:t>*</w:t>
      </w:r>
      <w:proofErr w:type="spellStart"/>
      <w:r w:rsidR="007345AE">
        <w:rPr>
          <w:lang w:val="en-US"/>
        </w:rPr>
        <w:t>w</w:t>
      </w:r>
      <w:r w:rsidR="007345AE" w:rsidRPr="00B74263">
        <w:rPr>
          <w:vertAlign w:val="subscript"/>
          <w:lang w:val="en-US"/>
        </w:rPr>
        <w:t>i</w:t>
      </w:r>
      <w:proofErr w:type="spellEnd"/>
      <w:r w:rsidR="007345AE">
        <w:rPr>
          <w:lang w:val="en-US"/>
        </w:rPr>
        <w:t>).</w:t>
      </w:r>
      <w:r w:rsidR="00B74263">
        <w:rPr>
          <w:lang w:val="en-US"/>
        </w:rPr>
        <w:t xml:space="preserve"> </w:t>
      </w:r>
      <w:r w:rsidR="007345AE">
        <w:rPr>
          <w:lang w:val="en-US"/>
        </w:rPr>
        <w:t>The result is input to an activation function f(S), which will generate an output of the neuron. It is common to use a</w:t>
      </w:r>
      <w:r w:rsidR="00B74263">
        <w:rPr>
          <w:lang w:val="en-US"/>
        </w:rPr>
        <w:t xml:space="preserve"> logistic regression function f(s)=1/(1+e^-s)</w:t>
      </w:r>
      <w:r w:rsidR="00EF0E62">
        <w:rPr>
          <w:lang w:val="en-US"/>
        </w:rPr>
        <w:t>, although other functions are also possible (</w:t>
      </w:r>
      <w:proofErr w:type="spellStart"/>
      <w:r w:rsidR="00EF0E62">
        <w:rPr>
          <w:lang w:val="en-US"/>
        </w:rPr>
        <w:t>ReLu</w:t>
      </w:r>
      <w:proofErr w:type="spellEnd"/>
      <w:r w:rsidR="00EF0E62">
        <w:rPr>
          <w:lang w:val="en-US"/>
        </w:rPr>
        <w:t>, identity and tanh)</w:t>
      </w:r>
      <w:r w:rsidR="00B74263">
        <w:rPr>
          <w:lang w:val="en-US"/>
        </w:rPr>
        <w:t xml:space="preserve">. The network is trained </w:t>
      </w:r>
      <w:r w:rsidR="00283C3A">
        <w:rPr>
          <w:lang w:val="en-US"/>
        </w:rPr>
        <w:t xml:space="preserve">following what is called a backpropagation algorithm, which implies iterating until a certain error value is obtained. </w:t>
      </w:r>
    </w:p>
    <w:p w14:paraId="521C9A87" w14:textId="504005D6" w:rsidR="00283C3A" w:rsidRDefault="00283C3A" w:rsidP="00283C3A">
      <w:pPr>
        <w:jc w:val="both"/>
        <w:rPr>
          <w:lang w:val="en-US"/>
        </w:rPr>
      </w:pPr>
      <w:r w:rsidRPr="00385A5B">
        <w:rPr>
          <w:lang w:val="en-US"/>
        </w:rPr>
        <w:t xml:space="preserve">The dataset used to train the model is comprised of </w:t>
      </w:r>
      <w:r w:rsidR="00EF0E62">
        <w:rPr>
          <w:lang w:val="en-US"/>
        </w:rPr>
        <w:t>632</w:t>
      </w:r>
      <w:r w:rsidRPr="00385A5B">
        <w:rPr>
          <w:lang w:val="en-US"/>
        </w:rPr>
        <w:t xml:space="preserve"> samples, each with </w:t>
      </w:r>
      <w:r w:rsidR="00EF0E62">
        <w:rPr>
          <w:lang w:val="en-US"/>
        </w:rPr>
        <w:t>4</w:t>
      </w:r>
      <w:r w:rsidRPr="00385A5B">
        <w:rPr>
          <w:lang w:val="en-US"/>
        </w:rPr>
        <w:t xml:space="preserve"> attributes or features</w:t>
      </w:r>
      <w:r w:rsidR="00EF0E62">
        <w:rPr>
          <w:lang w:val="en-US"/>
        </w:rPr>
        <w:t>: treatment time, atomic concentration of the nanoparticle and type of bacteria. In each case we have a measurement of the absorbance</w:t>
      </w:r>
      <w:r w:rsidR="00F4692C">
        <w:rPr>
          <w:lang w:val="en-US"/>
        </w:rPr>
        <w:t xml:space="preserve">. </w:t>
      </w:r>
      <w:r w:rsidRPr="00385A5B">
        <w:rPr>
          <w:lang w:val="en-US"/>
        </w:rPr>
        <w:t>The Orange ML platform</w:t>
      </w:r>
      <w:r w:rsidR="00F4692C">
        <w:rPr>
          <w:lang w:val="en-US"/>
        </w:rPr>
        <w:t xml:space="preserve"> (</w:t>
      </w:r>
      <w:proofErr w:type="spellStart"/>
      <w:r w:rsidR="00236EB1">
        <w:rPr>
          <w:lang w:val="en-US"/>
        </w:rPr>
        <w:t>Demsar</w:t>
      </w:r>
      <w:proofErr w:type="spellEnd"/>
      <w:r w:rsidR="00236EB1">
        <w:rPr>
          <w:lang w:val="en-US"/>
        </w:rPr>
        <w:t xml:space="preserve"> 2013</w:t>
      </w:r>
      <w:r w:rsidR="00F4692C">
        <w:rPr>
          <w:lang w:val="en-US"/>
        </w:rPr>
        <w:t>)</w:t>
      </w:r>
      <w:r w:rsidRPr="00385A5B">
        <w:rPr>
          <w:lang w:val="en-US"/>
        </w:rPr>
        <w:t xml:space="preserve"> was used to generate several models</w:t>
      </w:r>
      <w:r w:rsidR="00CC311A">
        <w:rPr>
          <w:lang w:val="en-US"/>
        </w:rPr>
        <w:t xml:space="preserve"> and compare them</w:t>
      </w:r>
      <w:r w:rsidRPr="00385A5B">
        <w:rPr>
          <w:lang w:val="en-US"/>
        </w:rPr>
        <w:t xml:space="preserve">. </w:t>
      </w:r>
      <w:r w:rsidR="00064553">
        <w:rPr>
          <w:lang w:val="en-US"/>
        </w:rPr>
        <w:t xml:space="preserve">Four activation functions were selected, and three solvers, five alpha values and </w:t>
      </w:r>
      <w:r w:rsidR="006809DA">
        <w:rPr>
          <w:lang w:val="en-US"/>
        </w:rPr>
        <w:t xml:space="preserve">eight </w:t>
      </w:r>
      <w:r w:rsidR="00FC57CA">
        <w:rPr>
          <w:lang w:val="en-US"/>
        </w:rPr>
        <w:t xml:space="preserve">max iteration values. The performance of </w:t>
      </w:r>
      <w:proofErr w:type="spellStart"/>
      <w:r w:rsidR="00FC57CA">
        <w:rPr>
          <w:lang w:val="en-US"/>
        </w:rPr>
        <w:t>the</w:t>
      </w:r>
      <w:proofErr w:type="spellEnd"/>
      <w:r w:rsidR="00FC57CA">
        <w:rPr>
          <w:lang w:val="en-US"/>
        </w:rPr>
        <w:t xml:space="preserve"> models was evaluated using root mean square (RMSE), mean absolute error (MAE), mean square error (MSE) and coefficient of determination (R</w:t>
      </w:r>
      <w:r w:rsidR="00FC57CA" w:rsidRPr="00FC57CA">
        <w:rPr>
          <w:vertAlign w:val="superscript"/>
          <w:lang w:val="en-US"/>
        </w:rPr>
        <w:t>2</w:t>
      </w:r>
      <w:r w:rsidR="00FC57CA">
        <w:rPr>
          <w:lang w:val="en-US"/>
        </w:rPr>
        <w:t>)</w:t>
      </w:r>
      <w:r w:rsidR="0056233A">
        <w:rPr>
          <w:lang w:val="en-US"/>
        </w:rPr>
        <w:t xml:space="preserve">. </w:t>
      </w:r>
      <w:r w:rsidR="00CC311A">
        <w:rPr>
          <w:lang w:val="en-US"/>
        </w:rPr>
        <w:t xml:space="preserve">Table 1 shows the results for </w:t>
      </w:r>
      <w:r w:rsidR="00CC311A" w:rsidRPr="009E5055">
        <w:rPr>
          <w:i/>
          <w:iCs/>
          <w:lang w:val="en-US"/>
        </w:rPr>
        <w:t xml:space="preserve">S. </w:t>
      </w:r>
      <w:proofErr w:type="spellStart"/>
      <w:r w:rsidR="00CC311A" w:rsidRPr="009E5055">
        <w:rPr>
          <w:i/>
          <w:iCs/>
          <w:lang w:val="en-US"/>
        </w:rPr>
        <w:t>aurea</w:t>
      </w:r>
      <w:proofErr w:type="spellEnd"/>
      <w:r w:rsidR="00CC311A">
        <w:rPr>
          <w:lang w:val="en-US"/>
        </w:rPr>
        <w:t xml:space="preserve">, and Table 2 shows the results for </w:t>
      </w:r>
      <w:r w:rsidR="00CC311A" w:rsidRPr="009E5055">
        <w:rPr>
          <w:i/>
          <w:iCs/>
          <w:lang w:val="en-US"/>
        </w:rPr>
        <w:t xml:space="preserve">E. </w:t>
      </w:r>
      <w:r w:rsidR="009E5055" w:rsidRPr="009E5055">
        <w:rPr>
          <w:i/>
          <w:iCs/>
          <w:lang w:val="en-US"/>
        </w:rPr>
        <w:t>Coli</w:t>
      </w:r>
      <w:r w:rsidR="00CC311A">
        <w:rPr>
          <w:lang w:val="en-US"/>
        </w:rPr>
        <w:t>.</w:t>
      </w:r>
      <w:r w:rsidR="00064553">
        <w:rPr>
          <w:lang w:val="en-US"/>
        </w:rPr>
        <w:t xml:space="preserve"> </w:t>
      </w:r>
      <w:r w:rsidR="0056233A">
        <w:rPr>
          <w:lang w:val="en-US"/>
        </w:rPr>
        <w:t xml:space="preserve">The best setup is marked in bold. For </w:t>
      </w:r>
      <w:r w:rsidR="0056233A" w:rsidRPr="0056233A">
        <w:rPr>
          <w:i/>
          <w:iCs/>
          <w:lang w:val="en-US"/>
        </w:rPr>
        <w:t>S. aureus</w:t>
      </w:r>
      <w:r w:rsidR="0056233A">
        <w:rPr>
          <w:lang w:val="en-US"/>
        </w:rPr>
        <w:t xml:space="preserve"> the best is a neural network with 121 hidden neurons, </w:t>
      </w:r>
      <w:proofErr w:type="spellStart"/>
      <w:r w:rsidR="0056233A">
        <w:rPr>
          <w:lang w:val="en-US"/>
        </w:rPr>
        <w:t>ReLu</w:t>
      </w:r>
      <w:proofErr w:type="spellEnd"/>
      <w:r w:rsidR="0056233A">
        <w:rPr>
          <w:lang w:val="en-US"/>
        </w:rPr>
        <w:t xml:space="preserve"> activation and L-BFGS-B solver. R</w:t>
      </w:r>
      <w:r w:rsidR="0056233A" w:rsidRPr="0056233A">
        <w:rPr>
          <w:vertAlign w:val="superscript"/>
          <w:lang w:val="en-US"/>
        </w:rPr>
        <w:t>2</w:t>
      </w:r>
      <w:r w:rsidR="0056233A">
        <w:rPr>
          <w:lang w:val="en-US"/>
        </w:rPr>
        <w:t xml:space="preserve"> = 0.983, which </w:t>
      </w:r>
      <w:r w:rsidR="00921921">
        <w:rPr>
          <w:lang w:val="en-US"/>
        </w:rPr>
        <w:t xml:space="preserve">indicated a good representation of the data. The error </w:t>
      </w:r>
      <w:proofErr w:type="gramStart"/>
      <w:r w:rsidR="00921921">
        <w:rPr>
          <w:lang w:val="en-US"/>
        </w:rPr>
        <w:t>is  approximately</w:t>
      </w:r>
      <w:proofErr w:type="gramEnd"/>
      <w:r w:rsidR="00921921">
        <w:rPr>
          <w:lang w:val="en-US"/>
        </w:rPr>
        <w:t xml:space="preserve"> 2%. In the case of </w:t>
      </w:r>
      <w:r w:rsidR="00921921" w:rsidRPr="00921921">
        <w:rPr>
          <w:i/>
          <w:iCs/>
          <w:lang w:val="en-US"/>
        </w:rPr>
        <w:t>E. Coli</w:t>
      </w:r>
      <w:r w:rsidR="00921921">
        <w:rPr>
          <w:lang w:val="en-US"/>
        </w:rPr>
        <w:t xml:space="preserve">, the best result is a neural network with </w:t>
      </w:r>
      <w:r w:rsidR="00921921" w:rsidRPr="00921921">
        <w:rPr>
          <w:lang w:val="en-US"/>
        </w:rPr>
        <w:t>140</w:t>
      </w:r>
      <w:r w:rsidR="00921921">
        <w:rPr>
          <w:lang w:val="en-US"/>
        </w:rPr>
        <w:t xml:space="preserve"> hidden neurons, trained with </w:t>
      </w:r>
      <w:proofErr w:type="spellStart"/>
      <w:r w:rsidR="00921921" w:rsidRPr="00921921">
        <w:rPr>
          <w:lang w:val="en-US"/>
        </w:rPr>
        <w:t>ReLu</w:t>
      </w:r>
      <w:proofErr w:type="spellEnd"/>
      <w:r w:rsidR="00921921">
        <w:rPr>
          <w:lang w:val="en-US"/>
        </w:rPr>
        <w:t xml:space="preserve"> activation and </w:t>
      </w:r>
      <w:r w:rsidR="00921921" w:rsidRPr="00921921">
        <w:rPr>
          <w:lang w:val="en-US"/>
        </w:rPr>
        <w:t>L-BFGS-B</w:t>
      </w:r>
      <w:r w:rsidR="00921921">
        <w:rPr>
          <w:lang w:val="en-US"/>
        </w:rPr>
        <w:t xml:space="preserve"> solver. The results show R2= </w:t>
      </w:r>
      <w:r w:rsidR="00921921" w:rsidRPr="00921921">
        <w:rPr>
          <w:lang w:val="en-US"/>
        </w:rPr>
        <w:t>0.9870</w:t>
      </w:r>
      <w:r w:rsidR="00921921">
        <w:rPr>
          <w:lang w:val="en-US"/>
        </w:rPr>
        <w:t>, with an error of 2.3%.</w:t>
      </w:r>
    </w:p>
    <w:p w14:paraId="373E7DBF" w14:textId="432CB6D0" w:rsidR="009E5055" w:rsidRDefault="009E5055" w:rsidP="00283C3A">
      <w:pPr>
        <w:jc w:val="both"/>
        <w:rPr>
          <w:lang w:val="en-US"/>
        </w:rPr>
      </w:pPr>
    </w:p>
    <w:p w14:paraId="256E1BC3" w14:textId="0C2BC549" w:rsidR="00921921" w:rsidRDefault="00921921" w:rsidP="00283C3A">
      <w:pPr>
        <w:jc w:val="both"/>
        <w:rPr>
          <w:lang w:val="en-US"/>
        </w:rPr>
      </w:pPr>
    </w:p>
    <w:p w14:paraId="063C32E7" w14:textId="77777777" w:rsidR="00921921" w:rsidRDefault="00921921" w:rsidP="00283C3A">
      <w:pPr>
        <w:jc w:val="both"/>
        <w:rPr>
          <w:lang w:val="en-US"/>
        </w:rPr>
      </w:pPr>
    </w:p>
    <w:p w14:paraId="1F1B5B18" w14:textId="6D41B4F7" w:rsidR="009E5055" w:rsidRDefault="009E5055" w:rsidP="00283C3A">
      <w:pPr>
        <w:jc w:val="both"/>
        <w:rPr>
          <w:lang w:val="en-US"/>
        </w:rPr>
      </w:pPr>
      <w:r>
        <w:rPr>
          <w:lang w:val="en-US"/>
        </w:rPr>
        <w:lastRenderedPageBreak/>
        <w:t xml:space="preserve">Table 1, </w:t>
      </w:r>
      <w:r w:rsidRPr="0056233A">
        <w:rPr>
          <w:i/>
          <w:iCs/>
          <w:lang w:val="en-US"/>
        </w:rPr>
        <w:t>S. aure</w:t>
      </w:r>
      <w:r w:rsidR="0056233A" w:rsidRPr="0056233A">
        <w:rPr>
          <w:i/>
          <w:iCs/>
          <w:lang w:val="en-US"/>
        </w:rPr>
        <w:t>us</w:t>
      </w:r>
    </w:p>
    <w:tbl>
      <w:tblPr>
        <w:tblW w:w="290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01"/>
        <w:gridCol w:w="737"/>
        <w:gridCol w:w="535"/>
        <w:gridCol w:w="927"/>
        <w:gridCol w:w="477"/>
        <w:gridCol w:w="562"/>
        <w:gridCol w:w="565"/>
      </w:tblGrid>
      <w:tr w:rsidR="00921921" w:rsidRPr="00C55094" w14:paraId="0ABD2458" w14:textId="77777777" w:rsidTr="00921921">
        <w:trPr>
          <w:trHeight w:val="514"/>
        </w:trPr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29FCF" w:fill="729FCF"/>
            <w:vAlign w:val="bottom"/>
            <w:hideMark/>
          </w:tcPr>
          <w:p w14:paraId="5F146D27" w14:textId="3357DB9A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Num</w:t>
            </w:r>
            <w: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ber</w:t>
            </w: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 xml:space="preserve"> </w:t>
            </w:r>
            <w:r w:rsidRPr="00C55094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 xml:space="preserve">Hidden </w:t>
            </w: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 xml:space="preserve">Neurons </w:t>
            </w:r>
          </w:p>
        </w:tc>
        <w:tc>
          <w:tcPr>
            <w:tcW w:w="68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29FCF" w:fill="729FCF"/>
            <w:noWrap/>
            <w:vAlign w:val="bottom"/>
            <w:hideMark/>
          </w:tcPr>
          <w:p w14:paraId="2DAC5DAA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Activation</w:t>
            </w:r>
          </w:p>
        </w:tc>
        <w:tc>
          <w:tcPr>
            <w:tcW w:w="7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29FCF" w:fill="729FCF"/>
            <w:noWrap/>
            <w:vAlign w:val="bottom"/>
            <w:hideMark/>
          </w:tcPr>
          <w:p w14:paraId="48921D32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Solver</w:t>
            </w:r>
          </w:p>
        </w:tc>
        <w:tc>
          <w:tcPr>
            <w:tcW w:w="5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29FCF" w:fill="729FCF"/>
            <w:noWrap/>
            <w:vAlign w:val="bottom"/>
            <w:hideMark/>
          </w:tcPr>
          <w:p w14:paraId="2876EA39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Alpha</w:t>
            </w:r>
          </w:p>
        </w:tc>
        <w:tc>
          <w:tcPr>
            <w:tcW w:w="90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29FCF" w:fill="729FCF"/>
            <w:noWrap/>
            <w:vAlign w:val="bottom"/>
            <w:hideMark/>
          </w:tcPr>
          <w:p w14:paraId="75044520" w14:textId="7EFDD6B1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Max  iterations</w:t>
            </w:r>
          </w:p>
        </w:tc>
        <w:tc>
          <w:tcPr>
            <w:tcW w:w="45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BE33D" w:fill="BBE33D"/>
            <w:noWrap/>
            <w:vAlign w:val="bottom"/>
            <w:hideMark/>
          </w:tcPr>
          <w:p w14:paraId="15C5F190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RMSE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EB91E" w:fill="5EB91E"/>
            <w:noWrap/>
            <w:vAlign w:val="bottom"/>
            <w:hideMark/>
          </w:tcPr>
          <w:p w14:paraId="65D0E1E6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MAE</w:t>
            </w:r>
          </w:p>
        </w:tc>
        <w:tc>
          <w:tcPr>
            <w:tcW w:w="55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69A2E" w:fill="069A2E"/>
            <w:noWrap/>
            <w:vAlign w:val="bottom"/>
            <w:hideMark/>
          </w:tcPr>
          <w:p w14:paraId="1977246D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R2</w:t>
            </w:r>
          </w:p>
        </w:tc>
      </w:tr>
      <w:tr w:rsidR="00921921" w:rsidRPr="00C55094" w14:paraId="002AD199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80708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200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28730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ReLu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908A3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D4B00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0.0001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32D85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100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FD261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0.0310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691A7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0.0210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E9946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0.9820</w:t>
            </w:r>
          </w:p>
        </w:tc>
      </w:tr>
      <w:tr w:rsidR="00921921" w:rsidRPr="00C55094" w14:paraId="7C64A804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792C8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250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6BEF9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ReLu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94723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AD3F7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0.0001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2AB29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100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932F1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0.0300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40EA9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0.0200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34256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0.9830</w:t>
            </w:r>
          </w:p>
        </w:tc>
      </w:tr>
      <w:tr w:rsidR="00921921" w:rsidRPr="00C55094" w14:paraId="078BA538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EAC4C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150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4A96A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ReLu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41E20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48A90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0.0001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4A774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100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A2A90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0.0300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FD34B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0.0200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9BD30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0.9830</w:t>
            </w:r>
          </w:p>
        </w:tc>
      </w:tr>
      <w:tr w:rsidR="00921921" w:rsidRPr="00C55094" w14:paraId="25B3448A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E1376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121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D5F99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ReLu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9403A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1F47F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0.0001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D76B1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100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5EE79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0.0310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A401F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0.0200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AA685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0.9830</w:t>
            </w:r>
          </w:p>
        </w:tc>
      </w:tr>
      <w:tr w:rsidR="00921921" w:rsidRPr="00C55094" w14:paraId="100592E4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91E4C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121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C4458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Identity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6ABAC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4DF2C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0.0001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24DDD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100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7F666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0.1880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4725B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0.1433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3FBF4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0.0339</w:t>
            </w:r>
          </w:p>
        </w:tc>
      </w:tr>
      <w:tr w:rsidR="00921921" w:rsidRPr="00C55094" w14:paraId="574CB6F2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0E0BD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121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A7713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Logistic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6C129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D10A5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0.0001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4601B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100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F4857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0.1880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6F472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0.1430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C6DCB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0.3390</w:t>
            </w:r>
          </w:p>
        </w:tc>
      </w:tr>
      <w:tr w:rsidR="00921921" w:rsidRPr="00C55094" w14:paraId="72B155DF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35694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121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D3E7D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Tanh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30944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756F6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0.0001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FEC5D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100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A6563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0.0370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075C8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0.0280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36C5F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0.9750</w:t>
            </w:r>
          </w:p>
        </w:tc>
      </w:tr>
      <w:tr w:rsidR="00921921" w:rsidRPr="00C55094" w14:paraId="3EC3BCD6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8324B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121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E1879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ReLu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DC0C2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SGD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8B469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0.0001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DE321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100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CB715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0.2070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86FAE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0.1470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131E4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0.1980</w:t>
            </w:r>
          </w:p>
        </w:tc>
      </w:tr>
      <w:tr w:rsidR="00921921" w:rsidRPr="00C55094" w14:paraId="2D3F9CA0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042BE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121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D6D88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ReLu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FD3A5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Adam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74799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0.0001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26638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100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F342F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0.1180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1B715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0.0790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96975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0.7390</w:t>
            </w:r>
          </w:p>
        </w:tc>
      </w:tr>
      <w:tr w:rsidR="00921921" w:rsidRPr="00C55094" w14:paraId="22A2A3E4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867FC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121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A21C9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ReLu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F03F3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73248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0.0005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0C60D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100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4B4AE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0.0310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4442A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0.0200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7C7A4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0.9820</w:t>
            </w:r>
          </w:p>
        </w:tc>
      </w:tr>
      <w:tr w:rsidR="00921921" w:rsidRPr="00C55094" w14:paraId="114D8C3F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615FA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121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601D8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ReLu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19622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967F4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5A7B2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100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B3E53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0.0310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2F2FD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0.0200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0788D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0.9820</w:t>
            </w:r>
          </w:p>
        </w:tc>
      </w:tr>
      <w:tr w:rsidR="00921921" w:rsidRPr="00C55094" w14:paraId="27B07801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A15B7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121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FFC9A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ReLu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A61BB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42F34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3C9DD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100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CD71D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0.0310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52536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0.0220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172DE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0.9820</w:t>
            </w:r>
          </w:p>
        </w:tc>
      </w:tr>
      <w:tr w:rsidR="00921921" w:rsidRPr="00C55094" w14:paraId="6AB16FE7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89189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121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40012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ReLu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3A170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4F291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A9D50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100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15793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0.0660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99783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0.0430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6791F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0.9190</w:t>
            </w:r>
          </w:p>
        </w:tc>
      </w:tr>
      <w:tr w:rsidR="00921921" w:rsidRPr="00C55094" w14:paraId="02D51F50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EE25C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121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EBD6A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ReLu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544C1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B7143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4E651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70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4E5D9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0.0320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27418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0.0240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CBAC0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0.9800</w:t>
            </w:r>
          </w:p>
        </w:tc>
      </w:tr>
      <w:tr w:rsidR="00921921" w:rsidRPr="00C55094" w14:paraId="6DAA80A9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EDF15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121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10A1D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ReLu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DD114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ABE3E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0F90F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85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C4CD6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0.0320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C91FF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0.0230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9BED4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color w:val="000000"/>
                <w:sz w:val="11"/>
                <w:szCs w:val="11"/>
                <w:lang w:eastAsia="es-MX"/>
              </w:rPr>
              <w:t>0.9810</w:t>
            </w:r>
          </w:p>
        </w:tc>
      </w:tr>
      <w:tr w:rsidR="00921921" w:rsidRPr="00C55094" w14:paraId="402D9546" w14:textId="77777777" w:rsidTr="00921921">
        <w:trPr>
          <w:trHeight w:val="320"/>
        </w:trPr>
        <w:tc>
          <w:tcPr>
            <w:tcW w:w="6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4116D5B2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  <w:t>121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2410E2B6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  <w:t>ReLu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36D619D0" w14:textId="77777777" w:rsidR="00921921" w:rsidRPr="009E5055" w:rsidRDefault="00921921" w:rsidP="009E5055">
            <w:pPr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  <w:t>L-BFGS-B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4EA91528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  <w:t>0.0001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479D7C24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  <w:t>95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2C22496B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  <w:t>0.0300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3A676A1C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  <w:t>0.0200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2C5E7EA7" w14:textId="77777777" w:rsidR="00921921" w:rsidRPr="009E5055" w:rsidRDefault="00921921" w:rsidP="009E5055">
            <w:pPr>
              <w:jc w:val="right"/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</w:pPr>
            <w:r w:rsidRPr="009E5055">
              <w:rPr>
                <w:rFonts w:ascii="Liberation Sans" w:eastAsia="Times New Roman" w:hAnsi="Liberation Sans" w:cs="Calibri"/>
                <w:b/>
                <w:bCs/>
                <w:color w:val="000000"/>
                <w:sz w:val="11"/>
                <w:szCs w:val="11"/>
                <w:lang w:eastAsia="es-MX"/>
              </w:rPr>
              <w:t>0.9830</w:t>
            </w:r>
          </w:p>
        </w:tc>
      </w:tr>
    </w:tbl>
    <w:p w14:paraId="67899053" w14:textId="2372B412" w:rsidR="009E5055" w:rsidRDefault="009E5055" w:rsidP="00283C3A">
      <w:pPr>
        <w:jc w:val="both"/>
        <w:rPr>
          <w:lang w:val="en-US"/>
        </w:rPr>
      </w:pPr>
    </w:p>
    <w:p w14:paraId="0272C9F2" w14:textId="08B9ED42" w:rsidR="009E5055" w:rsidRDefault="009E5055" w:rsidP="00283C3A">
      <w:pPr>
        <w:jc w:val="both"/>
        <w:rPr>
          <w:lang w:val="en-US"/>
        </w:rPr>
      </w:pPr>
    </w:p>
    <w:p w14:paraId="5FCFB420" w14:textId="3E3E1478" w:rsidR="009E5055" w:rsidRDefault="009E5055" w:rsidP="00283C3A">
      <w:pPr>
        <w:jc w:val="both"/>
        <w:rPr>
          <w:lang w:val="en-US"/>
        </w:rPr>
      </w:pPr>
    </w:p>
    <w:p w14:paraId="6EA41CE0" w14:textId="28F4C30C" w:rsidR="009E5055" w:rsidRDefault="009E5055" w:rsidP="00283C3A">
      <w:pPr>
        <w:jc w:val="both"/>
        <w:rPr>
          <w:lang w:val="en-US"/>
        </w:rPr>
      </w:pPr>
    </w:p>
    <w:p w14:paraId="50EB7EFF" w14:textId="77777777" w:rsidR="009E5055" w:rsidRDefault="009E5055" w:rsidP="00283C3A">
      <w:pPr>
        <w:jc w:val="both"/>
        <w:rPr>
          <w:lang w:val="en-US"/>
        </w:rPr>
      </w:pPr>
    </w:p>
    <w:p w14:paraId="124F16D2" w14:textId="6A79FD17" w:rsidR="009E5055" w:rsidRDefault="009E5055" w:rsidP="00283C3A">
      <w:pPr>
        <w:jc w:val="both"/>
        <w:rPr>
          <w:lang w:val="en-US"/>
        </w:rPr>
      </w:pPr>
      <w:r>
        <w:rPr>
          <w:lang w:val="en-US"/>
        </w:rPr>
        <w:t>Table 2, E. coli.</w:t>
      </w:r>
    </w:p>
    <w:tbl>
      <w:tblPr>
        <w:tblW w:w="61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102"/>
        <w:gridCol w:w="682"/>
        <w:gridCol w:w="568"/>
        <w:gridCol w:w="766"/>
        <w:gridCol w:w="935"/>
        <w:gridCol w:w="568"/>
        <w:gridCol w:w="568"/>
      </w:tblGrid>
      <w:tr w:rsidR="00921921" w:rsidRPr="00CC311A" w14:paraId="509DAED9" w14:textId="77777777" w:rsidTr="00921921">
        <w:trPr>
          <w:trHeight w:val="41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29FCF" w:fill="729FCF"/>
            <w:vAlign w:val="bottom"/>
            <w:hideMark/>
          </w:tcPr>
          <w:p w14:paraId="06873D59" w14:textId="51F5D1BB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Num</w:t>
            </w:r>
            <w: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 xml:space="preserve">ber Hidden </w:t>
            </w: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Neurons</w:t>
            </w:r>
          </w:p>
        </w:tc>
        <w:tc>
          <w:tcPr>
            <w:tcW w:w="11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29FCF" w:fill="729FCF"/>
            <w:noWrap/>
            <w:vAlign w:val="bottom"/>
            <w:hideMark/>
          </w:tcPr>
          <w:p w14:paraId="0D4924CD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Activation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29FCF" w:fill="729FCF"/>
            <w:noWrap/>
            <w:vAlign w:val="bottom"/>
            <w:hideMark/>
          </w:tcPr>
          <w:p w14:paraId="4A15790E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Solver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29FCF" w:fill="729FCF"/>
            <w:noWrap/>
            <w:vAlign w:val="bottom"/>
            <w:hideMark/>
          </w:tcPr>
          <w:p w14:paraId="34D1EAD9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Alpha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29FCF" w:fill="729FCF"/>
            <w:noWrap/>
            <w:vAlign w:val="bottom"/>
            <w:hideMark/>
          </w:tcPr>
          <w:p w14:paraId="742B5BB9" w14:textId="315153ED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Max iterations</w:t>
            </w: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BE33D" w:fill="BBE33D"/>
            <w:noWrap/>
            <w:vAlign w:val="bottom"/>
            <w:hideMark/>
          </w:tcPr>
          <w:p w14:paraId="62A3D193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RMSE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EB91E" w:fill="5EB91E"/>
            <w:noWrap/>
            <w:vAlign w:val="bottom"/>
            <w:hideMark/>
          </w:tcPr>
          <w:p w14:paraId="41ABE8C4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MAE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69A2E" w:fill="069A2E"/>
            <w:noWrap/>
            <w:vAlign w:val="bottom"/>
            <w:hideMark/>
          </w:tcPr>
          <w:p w14:paraId="7B0D8469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R2</w:t>
            </w:r>
          </w:p>
        </w:tc>
      </w:tr>
      <w:tr w:rsidR="00921921" w:rsidRPr="00CC311A" w14:paraId="41829CC8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99AAA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150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F51D0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25B2C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0932E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B30A4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6E742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0.0380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284A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0.0270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6CA1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0.9830</w:t>
            </w:r>
          </w:p>
        </w:tc>
      </w:tr>
      <w:tr w:rsidR="00921921" w:rsidRPr="00CC311A" w14:paraId="5B1D3FDD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57DBF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5E11B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97EAE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DCA0E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D43B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FFD98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0.0390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08050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0.0280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783EF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0.9820</w:t>
            </w:r>
          </w:p>
        </w:tc>
      </w:tr>
      <w:tr w:rsidR="00921921" w:rsidRPr="00CC311A" w14:paraId="31E8AF4F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7EB89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75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3AFF9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2CF0E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E1FA2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051A2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CF532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0.0400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72947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0.0290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73F6A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0.9810</w:t>
            </w:r>
          </w:p>
        </w:tc>
      </w:tr>
      <w:tr w:rsidR="00921921" w:rsidRPr="00CC311A" w14:paraId="3E9A11B3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A2F75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50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B7977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F9B87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E66F4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08179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CB039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0.0500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16C99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0.0360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00706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0.9700</w:t>
            </w:r>
          </w:p>
        </w:tc>
      </w:tr>
      <w:tr w:rsidR="00921921" w:rsidRPr="00CC311A" w14:paraId="4B172749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5D36C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175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CB671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FEF95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6FB92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E0515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34E99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0.0390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B2956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0.0280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D9557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0.9820</w:t>
            </w:r>
          </w:p>
        </w:tc>
      </w:tr>
      <w:tr w:rsidR="00921921" w:rsidRPr="00CC311A" w14:paraId="42277C73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AFEF3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200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38B8B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D101D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0005A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A520A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42830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0.0370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6795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0.0270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A4936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0.9840</w:t>
            </w:r>
          </w:p>
        </w:tc>
      </w:tr>
      <w:tr w:rsidR="00921921" w:rsidRPr="00CC311A" w14:paraId="21D2F0A5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E2DD3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500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106FE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6042F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B449C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3DDBA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A0ED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0.0360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729DE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0.0260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DD72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0.9850</w:t>
            </w:r>
          </w:p>
        </w:tc>
      </w:tr>
      <w:tr w:rsidR="00921921" w:rsidRPr="00CC311A" w14:paraId="3500DC57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6B3BF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A7D01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A684E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0431E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B9403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E6746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0.0390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C8CA0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0.0280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B7F57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0.9830</w:t>
            </w:r>
          </w:p>
        </w:tc>
      </w:tr>
      <w:tr w:rsidR="00921921" w:rsidRPr="00CC311A" w14:paraId="3042DEE9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1B4C4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0C821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Identity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A5674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3906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6DD2F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0D6D6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0.1680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EAB9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0.1290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A274E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0.6680</w:t>
            </w:r>
          </w:p>
        </w:tc>
      </w:tr>
      <w:tr w:rsidR="00921921" w:rsidRPr="00CC311A" w14:paraId="544FA0C6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E68FD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E6B4D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Logistic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76E6D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3EC0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32E6D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37EE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0.1680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8D99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0.1280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10026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0.6690</w:t>
            </w:r>
          </w:p>
        </w:tc>
      </w:tr>
      <w:tr w:rsidR="00921921" w:rsidRPr="00CC311A" w14:paraId="6AE8ADE0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7A639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08777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tanh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9A0E6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E41A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9F3BE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69F2E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0.0700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57FFA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0.0530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B729D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0.9420</w:t>
            </w:r>
          </w:p>
        </w:tc>
      </w:tr>
      <w:tr w:rsidR="00921921" w:rsidRPr="00CC311A" w14:paraId="5686CA37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35718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12323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DD374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5C588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7DBAF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AFA9A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0.0390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CB524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0.0280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E260E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0.9850</w:t>
            </w:r>
          </w:p>
        </w:tc>
      </w:tr>
      <w:tr w:rsidR="00921921" w:rsidRPr="00CC311A" w14:paraId="342065C3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885BD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F4A66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60160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SGD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F7CF0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904D0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3342F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0.1720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5EBC2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0.1310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22E8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0.6520</w:t>
            </w:r>
          </w:p>
        </w:tc>
      </w:tr>
      <w:tr w:rsidR="00921921" w:rsidRPr="00CC311A" w14:paraId="1DFA61B8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CA675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AAE51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E5522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Adam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4CEE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2F7D8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3E690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0.1110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0DFE7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0.0830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A8698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0.8540</w:t>
            </w:r>
          </w:p>
        </w:tc>
      </w:tr>
      <w:tr w:rsidR="00921921" w:rsidRPr="00CC311A" w14:paraId="0988A565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383EC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lastRenderedPageBreak/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8B16D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B8163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F5DD4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F3D98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DA884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0.0400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6B960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0.0280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28799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0.9820</w:t>
            </w:r>
          </w:p>
        </w:tc>
      </w:tr>
      <w:tr w:rsidR="00921921" w:rsidRPr="00CC311A" w14:paraId="4DA65948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DB8A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0E763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96DD9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7F01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30038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6BDD9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0.0400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E29B0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0.0280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2287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0.9820</w:t>
            </w:r>
          </w:p>
        </w:tc>
      </w:tr>
      <w:tr w:rsidR="00921921" w:rsidRPr="00CC311A" w14:paraId="66BE0319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BFE05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CB7A5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E06C5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6652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405E6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ED373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0.0400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2E587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0.0290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C4488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0.9810</w:t>
            </w:r>
          </w:p>
        </w:tc>
      </w:tr>
      <w:tr w:rsidR="00921921" w:rsidRPr="00CC311A" w14:paraId="2B31E1D0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9D34A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B855E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82590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5EAE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1F88A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C438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0.0800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8184A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0.0580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8C53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0.9240</w:t>
            </w:r>
          </w:p>
        </w:tc>
      </w:tr>
      <w:tr w:rsidR="00921921" w:rsidRPr="00CC311A" w14:paraId="6FA8DC67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0A974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18628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47D28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22C17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24FE9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150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CD955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0.0340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A6E6A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0.0240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ABEDC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0.9860</w:t>
            </w:r>
          </w:p>
        </w:tc>
      </w:tr>
      <w:tr w:rsidR="00921921" w:rsidRPr="00CC311A" w14:paraId="59495493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C5D7E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B9134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E36FB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012C6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D1CB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48566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0.0330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E6643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0.0220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5C166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0.9870</w:t>
            </w:r>
          </w:p>
        </w:tc>
      </w:tr>
      <w:tr w:rsidR="00921921" w:rsidRPr="00CC311A" w14:paraId="64DB6E7C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E623E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BD25F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24514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0DD72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C1556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250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61E6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0.0330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858D0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0.0220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3FAD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0.9870</w:t>
            </w:r>
          </w:p>
        </w:tc>
      </w:tr>
      <w:tr w:rsidR="00921921" w:rsidRPr="00CC311A" w14:paraId="4A5C2EF5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A7D76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BFFB7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E063E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24E8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BF20D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500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20FCF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0.0330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52CE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0.0210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75B72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0.9870</w:t>
            </w:r>
          </w:p>
        </w:tc>
      </w:tr>
      <w:tr w:rsidR="00921921" w:rsidRPr="00CC311A" w14:paraId="50467AC2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2414C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FE7B7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90890" w14:textId="77777777" w:rsidR="00921921" w:rsidRPr="00CC311A" w:rsidRDefault="00921921" w:rsidP="00CC311A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A2ED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2CBBC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75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4A8D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0.0450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D2561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0.0330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FD0B5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es-MX"/>
              </w:rPr>
              <w:t>0.9760</w:t>
            </w:r>
          </w:p>
        </w:tc>
      </w:tr>
      <w:tr w:rsidR="00921921" w:rsidRPr="00CC311A" w14:paraId="50AFD9A8" w14:textId="77777777" w:rsidTr="00921921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3AE0377F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46BDE6DE" w14:textId="77777777" w:rsidR="00921921" w:rsidRPr="00CC311A" w:rsidRDefault="00921921" w:rsidP="00CC311A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  <w:t>ReLu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7E4EA36B" w14:textId="77777777" w:rsidR="00921921" w:rsidRPr="00CC311A" w:rsidRDefault="00921921" w:rsidP="00CC311A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  <w:t>L-BFGS-B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29E038BB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  <w:t>0.0001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19ED3753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  <w:t>165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57CA2140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  <w:t>0.0340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006A7523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  <w:t>0.0230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905" w:fill="E6E905"/>
            <w:noWrap/>
            <w:vAlign w:val="bottom"/>
            <w:hideMark/>
          </w:tcPr>
          <w:p w14:paraId="0F1C6DE0" w14:textId="77777777" w:rsidR="00921921" w:rsidRPr="00CC311A" w:rsidRDefault="00921921" w:rsidP="00CC311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</w:pPr>
            <w:r w:rsidRPr="00CC311A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lang w:eastAsia="es-MX"/>
              </w:rPr>
              <w:t>0.9870</w:t>
            </w:r>
          </w:p>
        </w:tc>
      </w:tr>
    </w:tbl>
    <w:p w14:paraId="4E4A5A49" w14:textId="77777777" w:rsidR="00CC311A" w:rsidRPr="00385A5B" w:rsidRDefault="00CC311A" w:rsidP="00283C3A">
      <w:pPr>
        <w:jc w:val="both"/>
        <w:rPr>
          <w:lang w:val="en-US"/>
        </w:rPr>
      </w:pPr>
    </w:p>
    <w:p w14:paraId="770A77CF" w14:textId="77777777" w:rsidR="002C3978" w:rsidRDefault="002C3978" w:rsidP="00385A5B">
      <w:pPr>
        <w:jc w:val="both"/>
        <w:rPr>
          <w:lang w:val="en-US"/>
        </w:rPr>
      </w:pPr>
    </w:p>
    <w:p w14:paraId="7131C46A" w14:textId="1D160EDA" w:rsidR="00385A5B" w:rsidRDefault="008639B1" w:rsidP="00385A5B">
      <w:pPr>
        <w:jc w:val="both"/>
        <w:rPr>
          <w:lang w:val="en-US"/>
        </w:rPr>
      </w:pPr>
      <w:r>
        <w:rPr>
          <w:lang w:val="en-US"/>
        </w:rPr>
        <w:t xml:space="preserve">. </w:t>
      </w:r>
    </w:p>
    <w:p w14:paraId="165288CE" w14:textId="77777777" w:rsidR="00385A5B" w:rsidRDefault="00385A5B" w:rsidP="00385A5B">
      <w:pPr>
        <w:jc w:val="both"/>
        <w:rPr>
          <w:lang w:val="en-US"/>
        </w:rPr>
      </w:pPr>
    </w:p>
    <w:p w14:paraId="18D65813" w14:textId="7C8496AF" w:rsidR="00385A5B" w:rsidRDefault="00385A5B" w:rsidP="002936F8">
      <w:pPr>
        <w:jc w:val="both"/>
        <w:rPr>
          <w:lang w:val="en-US"/>
        </w:rPr>
      </w:pPr>
    </w:p>
    <w:p w14:paraId="263989FF" w14:textId="77777777" w:rsidR="00385A5B" w:rsidRDefault="00385A5B" w:rsidP="002936F8">
      <w:pPr>
        <w:jc w:val="both"/>
        <w:rPr>
          <w:lang w:val="en-US"/>
        </w:rPr>
      </w:pPr>
    </w:p>
    <w:p w14:paraId="44D38133" w14:textId="77777777" w:rsidR="00385A5B" w:rsidRDefault="00385A5B" w:rsidP="002936F8">
      <w:pPr>
        <w:jc w:val="both"/>
        <w:rPr>
          <w:lang w:val="en-US"/>
        </w:rPr>
      </w:pPr>
    </w:p>
    <w:p w14:paraId="21B19B3A" w14:textId="086FD1E2" w:rsidR="00323D70" w:rsidRDefault="00974CD2" w:rsidP="002936F8">
      <w:pPr>
        <w:jc w:val="both"/>
        <w:rPr>
          <w:lang w:val="en-US"/>
        </w:rPr>
      </w:pPr>
      <w:r w:rsidRPr="00385A5B">
        <w:rPr>
          <w:lang w:val="en-US"/>
        </w:rPr>
        <w:t xml:space="preserve">In a previous work (Navarro 2021), we have done this for </w:t>
      </w:r>
      <w:proofErr w:type="spellStart"/>
      <w:r w:rsidRPr="00385A5B">
        <w:rPr>
          <w:lang w:val="en-US"/>
        </w:rPr>
        <w:t>ZnO</w:t>
      </w:r>
      <w:proofErr w:type="spellEnd"/>
      <w:r w:rsidRPr="00385A5B">
        <w:rPr>
          <w:lang w:val="en-US"/>
        </w:rPr>
        <w:t xml:space="preserve"> dopped with </w:t>
      </w:r>
      <w:proofErr w:type="spellStart"/>
      <w:r w:rsidRPr="00385A5B">
        <w:rPr>
          <w:lang w:val="en-US"/>
        </w:rPr>
        <w:t>Yterbium</w:t>
      </w:r>
      <w:proofErr w:type="spellEnd"/>
      <w:r w:rsidRPr="00385A5B">
        <w:rPr>
          <w:lang w:val="en-US"/>
        </w:rPr>
        <w:t xml:space="preserve">. In future work we would like to determine whether such methodology could be generalized to represent the effect of more rare earth elements. </w:t>
      </w:r>
    </w:p>
    <w:p w14:paraId="34E8CC0C" w14:textId="61E8B3F6" w:rsidR="00385A5B" w:rsidRDefault="00385A5B" w:rsidP="002936F8">
      <w:pPr>
        <w:jc w:val="both"/>
        <w:rPr>
          <w:lang w:val="en-US"/>
        </w:rPr>
      </w:pPr>
    </w:p>
    <w:p w14:paraId="374CC8C6" w14:textId="77777777" w:rsidR="00385A5B" w:rsidRPr="00385A5B" w:rsidRDefault="00385A5B" w:rsidP="002936F8">
      <w:pPr>
        <w:jc w:val="both"/>
        <w:rPr>
          <w:lang w:val="en-US"/>
        </w:rPr>
      </w:pPr>
    </w:p>
    <w:p w14:paraId="587B49B4" w14:textId="77777777" w:rsidR="00323D70" w:rsidRPr="00385A5B" w:rsidRDefault="00323D70">
      <w:pPr>
        <w:rPr>
          <w:lang w:val="en-US"/>
        </w:rPr>
      </w:pPr>
    </w:p>
    <w:p w14:paraId="558DECBE" w14:textId="77777777" w:rsidR="00323D70" w:rsidRPr="00385A5B" w:rsidRDefault="00323D70">
      <w:pPr>
        <w:rPr>
          <w:lang w:val="en-US"/>
        </w:rPr>
      </w:pPr>
    </w:p>
    <w:p w14:paraId="26CCDA81" w14:textId="77777777" w:rsidR="00323D70" w:rsidRPr="00385A5B" w:rsidRDefault="00323D70">
      <w:pPr>
        <w:rPr>
          <w:lang w:val="en-US"/>
        </w:rPr>
      </w:pPr>
    </w:p>
    <w:p w14:paraId="15DA720D" w14:textId="77777777" w:rsidR="00323D70" w:rsidRPr="00385A5B" w:rsidRDefault="00323D70">
      <w:pPr>
        <w:rPr>
          <w:lang w:val="en-US"/>
        </w:rPr>
      </w:pPr>
    </w:p>
    <w:p w14:paraId="0416784D" w14:textId="77777777" w:rsidR="00323D70" w:rsidRPr="00385A5B" w:rsidRDefault="00323D70">
      <w:pPr>
        <w:rPr>
          <w:lang w:val="en-US"/>
        </w:rPr>
      </w:pPr>
      <w:r w:rsidRPr="00385A5B">
        <w:rPr>
          <w:lang w:val="en-US"/>
        </w:rPr>
        <w:t>References</w:t>
      </w:r>
    </w:p>
    <w:p w14:paraId="624476C8" w14:textId="79796E41" w:rsidR="00323D70" w:rsidRDefault="00323D70">
      <w:pPr>
        <w:rPr>
          <w:lang w:val="en-US"/>
        </w:rPr>
      </w:pPr>
    </w:p>
    <w:p w14:paraId="21EC76AB" w14:textId="77777777" w:rsidR="00F4692C" w:rsidRPr="00F4692C" w:rsidRDefault="00F4692C" w:rsidP="00F4692C">
      <w:pPr>
        <w:rPr>
          <w:lang w:val="en-US"/>
        </w:rPr>
      </w:pP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Demsar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J, </w:t>
      </w: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Curk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T, Erjavec A, </w:t>
      </w: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Gorup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C, </w:t>
      </w: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Hocevar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T, </w:t>
      </w: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Milutinovic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M, </w:t>
      </w: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Mozina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M, </w:t>
      </w: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Polajnar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M, </w:t>
      </w: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Toplak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M, </w:t>
      </w: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Staric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A, </w:t>
      </w: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Stajdohar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M, </w:t>
      </w: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Umek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L, </w:t>
      </w: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Zagar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L, </w:t>
      </w: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Zbontar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J, </w:t>
      </w:r>
      <w:proofErr w:type="spellStart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Zitnik</w:t>
      </w:r>
      <w:proofErr w:type="spellEnd"/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 xml:space="preserve"> M, Zupan B (2013)</w:t>
      </w:r>
      <w:r w:rsidRPr="00F4692C">
        <w:rPr>
          <w:rStyle w:val="apple-converted-space"/>
          <w:rFonts w:ascii="Helvetica Neue" w:hAnsi="Helvetica Neue"/>
          <w:color w:val="351400"/>
          <w:shd w:val="clear" w:color="auto" w:fill="FFFFFF"/>
          <w:lang w:val="en-US"/>
        </w:rPr>
        <w:t> </w:t>
      </w:r>
      <w:hyperlink r:id="rId4" w:tgtFrame="_blank" w:history="1">
        <w:r w:rsidRPr="00F4692C">
          <w:rPr>
            <w:rStyle w:val="Hipervnculo"/>
            <w:rFonts w:ascii="Helvetica Neue" w:hAnsi="Helvetica Neue"/>
            <w:color w:val="F79211"/>
            <w:lang w:val="en-US"/>
          </w:rPr>
          <w:t>Orange: Data Mining Toolbox in Python</w:t>
        </w:r>
      </w:hyperlink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,</w:t>
      </w:r>
      <w:r w:rsidRPr="00F4692C">
        <w:rPr>
          <w:rStyle w:val="apple-converted-space"/>
          <w:rFonts w:ascii="Helvetica Neue" w:hAnsi="Helvetica Neue"/>
          <w:color w:val="351400"/>
          <w:shd w:val="clear" w:color="auto" w:fill="FFFFFF"/>
          <w:lang w:val="en-US"/>
        </w:rPr>
        <w:t> </w:t>
      </w:r>
      <w:r w:rsidRPr="00F4692C">
        <w:rPr>
          <w:rStyle w:val="nfasis"/>
          <w:rFonts w:ascii="Helvetica Neue" w:hAnsi="Helvetica Neue"/>
          <w:color w:val="351400"/>
          <w:lang w:val="en-US"/>
        </w:rPr>
        <w:t>Journal of Machine Learning Research</w:t>
      </w:r>
      <w:r w:rsidRPr="00F4692C">
        <w:rPr>
          <w:rStyle w:val="apple-converted-space"/>
          <w:rFonts w:ascii="Helvetica Neue" w:hAnsi="Helvetica Neue"/>
          <w:color w:val="351400"/>
          <w:shd w:val="clear" w:color="auto" w:fill="FFFFFF"/>
          <w:lang w:val="en-US"/>
        </w:rPr>
        <w:t> </w:t>
      </w:r>
      <w:r w:rsidRPr="00F4692C">
        <w:rPr>
          <w:rFonts w:ascii="Helvetica Neue" w:hAnsi="Helvetica Neue"/>
          <w:color w:val="351400"/>
          <w:shd w:val="clear" w:color="auto" w:fill="FFFFFF"/>
          <w:lang w:val="en-US"/>
        </w:rPr>
        <w:t>14(Aug): 2349−2353.</w:t>
      </w:r>
    </w:p>
    <w:p w14:paraId="42879AA4" w14:textId="77777777" w:rsidR="00F4692C" w:rsidRDefault="00F4692C">
      <w:pPr>
        <w:rPr>
          <w:lang w:val="en-US"/>
        </w:rPr>
      </w:pPr>
    </w:p>
    <w:p w14:paraId="0EE4C580" w14:textId="77777777" w:rsidR="00F4692C" w:rsidRPr="00385A5B" w:rsidRDefault="00F4692C">
      <w:pPr>
        <w:rPr>
          <w:lang w:val="en-US"/>
        </w:rPr>
      </w:pPr>
    </w:p>
    <w:p w14:paraId="6A40327F" w14:textId="3BDE2035" w:rsidR="00323D70" w:rsidRPr="00385A5B" w:rsidRDefault="00323D70" w:rsidP="00323D70">
      <w:pPr>
        <w:rPr>
          <w:rFonts w:ascii="Times New Roman" w:eastAsia="Times New Roman" w:hAnsi="Times New Roman" w:cs="Times New Roman"/>
          <w:lang w:val="en-US" w:eastAsia="es-MX"/>
        </w:rPr>
      </w:pPr>
      <w:r w:rsidRPr="00323D70">
        <w:rPr>
          <w:rFonts w:ascii="Open Sans" w:eastAsia="Times New Roman" w:hAnsi="Open Sans" w:cs="Open Sans"/>
          <w:color w:val="1C1D1E"/>
          <w:sz w:val="21"/>
          <w:szCs w:val="21"/>
          <w:shd w:val="clear" w:color="auto" w:fill="FFFFFF"/>
          <w:lang w:val="en-US" w:eastAsia="es-MX"/>
        </w:rPr>
        <w:t xml:space="preserve">Mueller, T., </w:t>
      </w:r>
      <w:proofErr w:type="spellStart"/>
      <w:r w:rsidRPr="00323D70">
        <w:rPr>
          <w:rFonts w:ascii="Open Sans" w:eastAsia="Times New Roman" w:hAnsi="Open Sans" w:cs="Open Sans"/>
          <w:color w:val="1C1D1E"/>
          <w:sz w:val="21"/>
          <w:szCs w:val="21"/>
          <w:shd w:val="clear" w:color="auto" w:fill="FFFFFF"/>
          <w:lang w:val="en-US" w:eastAsia="es-MX"/>
        </w:rPr>
        <w:t>Kusne</w:t>
      </w:r>
      <w:proofErr w:type="spellEnd"/>
      <w:r w:rsidRPr="00323D70">
        <w:rPr>
          <w:rFonts w:ascii="Open Sans" w:eastAsia="Times New Roman" w:hAnsi="Open Sans" w:cs="Open Sans"/>
          <w:color w:val="1C1D1E"/>
          <w:sz w:val="21"/>
          <w:szCs w:val="21"/>
          <w:shd w:val="clear" w:color="auto" w:fill="FFFFFF"/>
          <w:lang w:val="en-US" w:eastAsia="es-MX"/>
        </w:rPr>
        <w:t xml:space="preserve">, A.G. and Ramprasad, R. (2016). Machine Learning in Materials Science. In Reviews in Computational Chemistry (eds A.L. </w:t>
      </w:r>
      <w:proofErr w:type="spellStart"/>
      <w:r w:rsidRPr="00323D70">
        <w:rPr>
          <w:rFonts w:ascii="Open Sans" w:eastAsia="Times New Roman" w:hAnsi="Open Sans" w:cs="Open Sans"/>
          <w:color w:val="1C1D1E"/>
          <w:sz w:val="21"/>
          <w:szCs w:val="21"/>
          <w:shd w:val="clear" w:color="auto" w:fill="FFFFFF"/>
          <w:lang w:val="en-US" w:eastAsia="es-MX"/>
        </w:rPr>
        <w:t>Parrill</w:t>
      </w:r>
      <w:proofErr w:type="spellEnd"/>
      <w:r w:rsidRPr="00323D70">
        <w:rPr>
          <w:rFonts w:ascii="Open Sans" w:eastAsia="Times New Roman" w:hAnsi="Open Sans" w:cs="Open Sans"/>
          <w:color w:val="1C1D1E"/>
          <w:sz w:val="21"/>
          <w:szCs w:val="21"/>
          <w:shd w:val="clear" w:color="auto" w:fill="FFFFFF"/>
          <w:lang w:val="en-US" w:eastAsia="es-MX"/>
        </w:rPr>
        <w:t xml:space="preserve"> and K.B. </w:t>
      </w:r>
      <w:proofErr w:type="spellStart"/>
      <w:r w:rsidRPr="00323D70">
        <w:rPr>
          <w:rFonts w:ascii="Open Sans" w:eastAsia="Times New Roman" w:hAnsi="Open Sans" w:cs="Open Sans"/>
          <w:color w:val="1C1D1E"/>
          <w:sz w:val="21"/>
          <w:szCs w:val="21"/>
          <w:shd w:val="clear" w:color="auto" w:fill="FFFFFF"/>
          <w:lang w:val="en-US" w:eastAsia="es-MX"/>
        </w:rPr>
        <w:t>Lipkowitz</w:t>
      </w:r>
      <w:proofErr w:type="spellEnd"/>
      <w:r w:rsidRPr="00323D70">
        <w:rPr>
          <w:rFonts w:ascii="Open Sans" w:eastAsia="Times New Roman" w:hAnsi="Open Sans" w:cs="Open Sans"/>
          <w:color w:val="1C1D1E"/>
          <w:sz w:val="21"/>
          <w:szCs w:val="21"/>
          <w:shd w:val="clear" w:color="auto" w:fill="FFFFFF"/>
          <w:lang w:val="en-US" w:eastAsia="es-MX"/>
        </w:rPr>
        <w:t>). </w:t>
      </w:r>
      <w:hyperlink r:id="rId5" w:history="1">
        <w:r w:rsidRPr="00323D70">
          <w:rPr>
            <w:rFonts w:ascii="Open Sans" w:eastAsia="Times New Roman" w:hAnsi="Open Sans" w:cs="Open Sans"/>
            <w:color w:val="0000FF"/>
            <w:sz w:val="21"/>
            <w:szCs w:val="21"/>
            <w:u w:val="single"/>
            <w:lang w:val="en-US" w:eastAsia="es-MX"/>
          </w:rPr>
          <w:t>https://doi.org/10.1002/9781119148739.ch4</w:t>
        </w:r>
      </w:hyperlink>
    </w:p>
    <w:p w14:paraId="53866493" w14:textId="65CD34A4" w:rsidR="00323D70" w:rsidRPr="00385A5B" w:rsidRDefault="00323D70" w:rsidP="00323D70">
      <w:pPr>
        <w:rPr>
          <w:rFonts w:ascii="Times New Roman" w:eastAsia="Times New Roman" w:hAnsi="Times New Roman" w:cs="Times New Roman"/>
          <w:lang w:val="en-US" w:eastAsia="es-MX"/>
        </w:rPr>
      </w:pPr>
    </w:p>
    <w:p w14:paraId="0C695E3C" w14:textId="06FBB088" w:rsidR="00323D70" w:rsidRPr="00385A5B" w:rsidRDefault="00323D70" w:rsidP="00323D70">
      <w:pPr>
        <w:rPr>
          <w:rFonts w:ascii="Segoe UI" w:eastAsia="Times New Roman" w:hAnsi="Segoe UI" w:cs="Segoe UI"/>
          <w:color w:val="222222"/>
          <w:shd w:val="clear" w:color="auto" w:fill="FFFFFF"/>
          <w:lang w:val="en-US" w:eastAsia="es-MX"/>
        </w:rPr>
      </w:pPr>
      <w:r w:rsidRPr="00323D70">
        <w:rPr>
          <w:rFonts w:ascii="Segoe UI" w:eastAsia="Times New Roman" w:hAnsi="Segoe UI" w:cs="Segoe UI"/>
          <w:color w:val="222222"/>
          <w:shd w:val="clear" w:color="auto" w:fill="FFFFFF"/>
          <w:lang w:val="en-US" w:eastAsia="es-MX"/>
        </w:rPr>
        <w:t>Butler, K.T., Davies, D.W., Cartwright, H. </w:t>
      </w:r>
      <w:r w:rsidRPr="00323D70">
        <w:rPr>
          <w:rFonts w:ascii="Segoe UI" w:eastAsia="Times New Roman" w:hAnsi="Segoe UI" w:cs="Segoe UI"/>
          <w:i/>
          <w:iCs/>
          <w:color w:val="222222"/>
          <w:lang w:val="en-US" w:eastAsia="es-MX"/>
        </w:rPr>
        <w:t>et al.</w:t>
      </w:r>
      <w:r w:rsidRPr="00323D70">
        <w:rPr>
          <w:rFonts w:ascii="Segoe UI" w:eastAsia="Times New Roman" w:hAnsi="Segoe UI" w:cs="Segoe UI"/>
          <w:color w:val="222222"/>
          <w:shd w:val="clear" w:color="auto" w:fill="FFFFFF"/>
          <w:lang w:val="en-US" w:eastAsia="es-MX"/>
        </w:rPr>
        <w:t> Machine learning for molecular and materials science. </w:t>
      </w:r>
      <w:r w:rsidRPr="00323D70">
        <w:rPr>
          <w:rFonts w:ascii="Segoe UI" w:eastAsia="Times New Roman" w:hAnsi="Segoe UI" w:cs="Segoe UI"/>
          <w:i/>
          <w:iCs/>
          <w:color w:val="222222"/>
          <w:lang w:val="en-US" w:eastAsia="es-MX"/>
        </w:rPr>
        <w:t>Nature</w:t>
      </w:r>
      <w:r w:rsidRPr="00323D70">
        <w:rPr>
          <w:rFonts w:ascii="Segoe UI" w:eastAsia="Times New Roman" w:hAnsi="Segoe UI" w:cs="Segoe UI"/>
          <w:color w:val="222222"/>
          <w:shd w:val="clear" w:color="auto" w:fill="FFFFFF"/>
          <w:lang w:val="en-US" w:eastAsia="es-MX"/>
        </w:rPr>
        <w:t> </w:t>
      </w:r>
      <w:r w:rsidRPr="00323D70">
        <w:rPr>
          <w:rFonts w:ascii="Segoe UI" w:eastAsia="Times New Roman" w:hAnsi="Segoe UI" w:cs="Segoe UI"/>
          <w:b/>
          <w:bCs/>
          <w:color w:val="222222"/>
          <w:lang w:val="en-US" w:eastAsia="es-MX"/>
        </w:rPr>
        <w:t>559, </w:t>
      </w:r>
      <w:r w:rsidRPr="00323D70">
        <w:rPr>
          <w:rFonts w:ascii="Segoe UI" w:eastAsia="Times New Roman" w:hAnsi="Segoe UI" w:cs="Segoe UI"/>
          <w:color w:val="222222"/>
          <w:shd w:val="clear" w:color="auto" w:fill="FFFFFF"/>
          <w:lang w:val="en-US" w:eastAsia="es-MX"/>
        </w:rPr>
        <w:t xml:space="preserve">547–555 (2018). </w:t>
      </w:r>
      <w:hyperlink r:id="rId6" w:history="1">
        <w:r w:rsidR="002936F8" w:rsidRPr="00323D70">
          <w:rPr>
            <w:rStyle w:val="Hipervnculo"/>
            <w:rFonts w:ascii="Segoe UI" w:eastAsia="Times New Roman" w:hAnsi="Segoe UI" w:cs="Segoe UI"/>
            <w:shd w:val="clear" w:color="auto" w:fill="FFFFFF"/>
            <w:lang w:val="en-US" w:eastAsia="es-MX"/>
          </w:rPr>
          <w:t>https://doi.org/10.1038/s41586-018-0337-2</w:t>
        </w:r>
      </w:hyperlink>
    </w:p>
    <w:p w14:paraId="69BFABE6" w14:textId="00B00BB4" w:rsidR="002936F8" w:rsidRPr="00385A5B" w:rsidRDefault="002936F8" w:rsidP="00323D70">
      <w:pPr>
        <w:rPr>
          <w:rFonts w:ascii="Segoe UI" w:eastAsia="Times New Roman" w:hAnsi="Segoe UI" w:cs="Segoe UI"/>
          <w:color w:val="222222"/>
          <w:shd w:val="clear" w:color="auto" w:fill="FFFFFF"/>
          <w:lang w:val="en-US" w:eastAsia="es-MX"/>
        </w:rPr>
      </w:pPr>
    </w:p>
    <w:p w14:paraId="01CA2E15" w14:textId="77777777" w:rsidR="002936F8" w:rsidRPr="002936F8" w:rsidRDefault="002936F8" w:rsidP="002936F8">
      <w:pPr>
        <w:rPr>
          <w:rFonts w:ascii="Source Sans Pro" w:eastAsia="Times New Roman" w:hAnsi="Source Sans Pro" w:cs="Times New Roman"/>
          <w:color w:val="333333"/>
          <w:spacing w:val="4"/>
          <w:sz w:val="21"/>
          <w:szCs w:val="21"/>
          <w:lang w:val="en-US" w:eastAsia="es-MX"/>
        </w:rPr>
      </w:pPr>
      <w:proofErr w:type="spellStart"/>
      <w:r w:rsidRPr="002936F8">
        <w:rPr>
          <w:rFonts w:ascii="Source Sans Pro" w:eastAsia="Times New Roman" w:hAnsi="Source Sans Pro" w:cs="Times New Roman"/>
          <w:color w:val="333333"/>
          <w:spacing w:val="4"/>
          <w:sz w:val="21"/>
          <w:szCs w:val="21"/>
          <w:lang w:val="en-US" w:eastAsia="es-MX"/>
        </w:rPr>
        <w:lastRenderedPageBreak/>
        <w:t>Dieb</w:t>
      </w:r>
      <w:proofErr w:type="spellEnd"/>
      <w:r w:rsidRPr="002936F8">
        <w:rPr>
          <w:rFonts w:ascii="Source Sans Pro" w:eastAsia="Times New Roman" w:hAnsi="Source Sans Pro" w:cs="Times New Roman"/>
          <w:color w:val="333333"/>
          <w:spacing w:val="4"/>
          <w:sz w:val="21"/>
          <w:szCs w:val="21"/>
          <w:lang w:val="en-US" w:eastAsia="es-MX"/>
        </w:rPr>
        <w:t xml:space="preserve"> T.M., Tsuda K. (2018) Machine Learning-Based Experimental Design in Materials Science. In: Tanaka I. (eds) </w:t>
      </w:r>
      <w:proofErr w:type="spellStart"/>
      <w:r w:rsidRPr="002936F8">
        <w:rPr>
          <w:rFonts w:ascii="Source Sans Pro" w:eastAsia="Times New Roman" w:hAnsi="Source Sans Pro" w:cs="Times New Roman"/>
          <w:color w:val="333333"/>
          <w:spacing w:val="4"/>
          <w:sz w:val="21"/>
          <w:szCs w:val="21"/>
          <w:lang w:val="en-US" w:eastAsia="es-MX"/>
        </w:rPr>
        <w:t>Nanoinformatics</w:t>
      </w:r>
      <w:proofErr w:type="spellEnd"/>
      <w:r w:rsidRPr="002936F8">
        <w:rPr>
          <w:rFonts w:ascii="Source Sans Pro" w:eastAsia="Times New Roman" w:hAnsi="Source Sans Pro" w:cs="Times New Roman"/>
          <w:color w:val="333333"/>
          <w:spacing w:val="4"/>
          <w:sz w:val="21"/>
          <w:szCs w:val="21"/>
          <w:lang w:val="en-US" w:eastAsia="es-MX"/>
        </w:rPr>
        <w:t>. Springer, Singapore. https://doi.org/10.1007/978-981-10-7617-6_4</w:t>
      </w:r>
    </w:p>
    <w:p w14:paraId="57DF3B99" w14:textId="77777777" w:rsidR="00323D70" w:rsidRPr="00385A5B" w:rsidRDefault="00323D70">
      <w:pPr>
        <w:rPr>
          <w:lang w:val="en-US"/>
        </w:rPr>
      </w:pPr>
    </w:p>
    <w:p w14:paraId="3F3617A4" w14:textId="77777777" w:rsidR="00323D70" w:rsidRPr="00323D70" w:rsidRDefault="00323D70" w:rsidP="00323D70">
      <w:pPr>
        <w:rPr>
          <w:rFonts w:ascii="Times New Roman" w:eastAsia="Times New Roman" w:hAnsi="Times New Roman" w:cs="Times New Roman"/>
          <w:lang w:val="en-US" w:eastAsia="es-MX"/>
        </w:rPr>
      </w:pPr>
      <w:r w:rsidRPr="00323D70">
        <w:rPr>
          <w:rFonts w:ascii="Open Sans" w:eastAsia="Times New Roman" w:hAnsi="Open Sans" w:cs="Open Sans"/>
          <w:color w:val="1C1D1E"/>
          <w:sz w:val="21"/>
          <w:szCs w:val="21"/>
          <w:shd w:val="clear" w:color="auto" w:fill="FFFFFF"/>
          <w:lang w:val="en-US" w:eastAsia="es-MX"/>
        </w:rPr>
        <w:t xml:space="preserve">Sha, W., Guo, Y., Yuan, Q., Tang, S., Zhang, X., Lu, S., Guo, X., Cao, Y. and Cheng, S. (2020), Artificial Intelligence to Power the Future of Materials Science and Engineering. Adv. </w:t>
      </w:r>
      <w:proofErr w:type="spellStart"/>
      <w:r w:rsidRPr="00323D70">
        <w:rPr>
          <w:rFonts w:ascii="Open Sans" w:eastAsia="Times New Roman" w:hAnsi="Open Sans" w:cs="Open Sans"/>
          <w:color w:val="1C1D1E"/>
          <w:sz w:val="21"/>
          <w:szCs w:val="21"/>
          <w:shd w:val="clear" w:color="auto" w:fill="FFFFFF"/>
          <w:lang w:val="en-US" w:eastAsia="es-MX"/>
        </w:rPr>
        <w:t>Intell</w:t>
      </w:r>
      <w:proofErr w:type="spellEnd"/>
      <w:r w:rsidRPr="00323D70">
        <w:rPr>
          <w:rFonts w:ascii="Open Sans" w:eastAsia="Times New Roman" w:hAnsi="Open Sans" w:cs="Open Sans"/>
          <w:color w:val="1C1D1E"/>
          <w:sz w:val="21"/>
          <w:szCs w:val="21"/>
          <w:shd w:val="clear" w:color="auto" w:fill="FFFFFF"/>
          <w:lang w:val="en-US" w:eastAsia="es-MX"/>
        </w:rPr>
        <w:t>. Syst., 2: 1900143. </w:t>
      </w:r>
      <w:hyperlink r:id="rId7" w:history="1">
        <w:r w:rsidRPr="00323D70">
          <w:rPr>
            <w:rFonts w:ascii="Open Sans" w:eastAsia="Times New Roman" w:hAnsi="Open Sans" w:cs="Open Sans"/>
            <w:color w:val="005274"/>
            <w:sz w:val="21"/>
            <w:szCs w:val="21"/>
            <w:u w:val="single"/>
            <w:lang w:val="en-US" w:eastAsia="es-MX"/>
          </w:rPr>
          <w:t>https://doi.org/10.1002/aisy.201900143</w:t>
        </w:r>
      </w:hyperlink>
    </w:p>
    <w:p w14:paraId="65A5997A" w14:textId="77777777" w:rsidR="00974CD2" w:rsidRPr="00385A5B" w:rsidRDefault="00974CD2">
      <w:pPr>
        <w:rPr>
          <w:lang w:val="en-US"/>
        </w:rPr>
      </w:pPr>
    </w:p>
    <w:p w14:paraId="36C5739D" w14:textId="6F31373E" w:rsidR="005954DC" w:rsidRPr="00385A5B" w:rsidRDefault="00974CD2" w:rsidP="00974CD2">
      <w:pPr>
        <w:rPr>
          <w:lang w:val="en-US"/>
        </w:rPr>
      </w:pPr>
      <w:r w:rsidRPr="00385A5B">
        <w:rPr>
          <w:lang w:val="en-US"/>
        </w:rPr>
        <w:t xml:space="preserve">D. E. Navarro-López, R. Garcia-Varela, O. Ceballos-Sanchez, A. Sanchez-Martinez, G. Sanchez-Ante, K. Corona-Romero, D.A. </w:t>
      </w:r>
      <w:proofErr w:type="spellStart"/>
      <w:r w:rsidRPr="00385A5B">
        <w:rPr>
          <w:lang w:val="en-US"/>
        </w:rPr>
        <w:t>Buentello</w:t>
      </w:r>
      <w:proofErr w:type="spellEnd"/>
      <w:r w:rsidRPr="00385A5B">
        <w:rPr>
          <w:lang w:val="en-US"/>
        </w:rPr>
        <w:t>-Montoya, A. Elías-</w:t>
      </w:r>
      <w:proofErr w:type="spellStart"/>
      <w:r w:rsidRPr="00385A5B">
        <w:rPr>
          <w:lang w:val="en-US"/>
        </w:rPr>
        <w:t>Zuñiga</w:t>
      </w:r>
      <w:proofErr w:type="spellEnd"/>
      <w:r w:rsidRPr="00385A5B">
        <w:rPr>
          <w:lang w:val="en-US"/>
        </w:rPr>
        <w:t xml:space="preserve">, E. R. López-Mena, Effective antimicrobial activity of </w:t>
      </w:r>
      <w:proofErr w:type="spellStart"/>
      <w:r w:rsidRPr="00385A5B">
        <w:rPr>
          <w:lang w:val="en-US"/>
        </w:rPr>
        <w:t>ZnO</w:t>
      </w:r>
      <w:proofErr w:type="spellEnd"/>
      <w:r w:rsidRPr="00385A5B">
        <w:rPr>
          <w:lang w:val="en-US"/>
        </w:rPr>
        <w:t xml:space="preserve"> and Yb-doped </w:t>
      </w:r>
      <w:proofErr w:type="spellStart"/>
      <w:r w:rsidRPr="00385A5B">
        <w:rPr>
          <w:lang w:val="en-US"/>
        </w:rPr>
        <w:t>ZnO</w:t>
      </w:r>
      <w:proofErr w:type="spellEnd"/>
      <w:r w:rsidRPr="00385A5B">
        <w:rPr>
          <w:lang w:val="en-US"/>
        </w:rPr>
        <w:t xml:space="preserve"> nanoparticles against Staphylococcus aureus and Escherichia coli, Materials Science and Engineering: C, Volume 123, 2021, 112004, ISSN 0928-</w:t>
      </w:r>
      <w:proofErr w:type="gramStart"/>
      <w:r w:rsidRPr="00385A5B">
        <w:rPr>
          <w:lang w:val="en-US"/>
        </w:rPr>
        <w:t>4931,https://doi.org/10.1016/j.msec.2021.112004</w:t>
      </w:r>
      <w:proofErr w:type="gramEnd"/>
      <w:r w:rsidRPr="00385A5B">
        <w:rPr>
          <w:lang w:val="en-US"/>
        </w:rPr>
        <w:t>.</w:t>
      </w:r>
      <w:r w:rsidR="00F133EF" w:rsidRPr="00385A5B">
        <w:rPr>
          <w:lang w:val="en-US"/>
        </w:rPr>
        <w:t xml:space="preserve"> </w:t>
      </w:r>
    </w:p>
    <w:sectPr w:rsidR="005954DC" w:rsidRPr="00385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EF"/>
    <w:rsid w:val="00064553"/>
    <w:rsid w:val="001772F0"/>
    <w:rsid w:val="00236EB1"/>
    <w:rsid w:val="00283C3A"/>
    <w:rsid w:val="002936F8"/>
    <w:rsid w:val="002C3978"/>
    <w:rsid w:val="00323D70"/>
    <w:rsid w:val="00385A5B"/>
    <w:rsid w:val="0056233A"/>
    <w:rsid w:val="005B673A"/>
    <w:rsid w:val="006809DA"/>
    <w:rsid w:val="007345AE"/>
    <w:rsid w:val="007B3D1C"/>
    <w:rsid w:val="008639B1"/>
    <w:rsid w:val="00921921"/>
    <w:rsid w:val="00974CD2"/>
    <w:rsid w:val="009E5055"/>
    <w:rsid w:val="00B74263"/>
    <w:rsid w:val="00C55094"/>
    <w:rsid w:val="00C749D1"/>
    <w:rsid w:val="00CC311A"/>
    <w:rsid w:val="00EF0E62"/>
    <w:rsid w:val="00F133EF"/>
    <w:rsid w:val="00F4692C"/>
    <w:rsid w:val="00FA509C"/>
    <w:rsid w:val="00FC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20E81"/>
  <w15:chartTrackingRefBased/>
  <w15:docId w15:val="{E9B3585B-DBF1-414C-8CD8-D711A858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23D70"/>
  </w:style>
  <w:style w:type="character" w:styleId="Hipervnculo">
    <w:name w:val="Hyperlink"/>
    <w:basedOn w:val="Fuentedeprrafopredeter"/>
    <w:uiPriority w:val="99"/>
    <w:unhideWhenUsed/>
    <w:rsid w:val="00323D7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36F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4692C"/>
    <w:rPr>
      <w:i/>
      <w:iCs/>
    </w:rPr>
  </w:style>
  <w:style w:type="table" w:styleId="Tablaconcuadrcula">
    <w:name w:val="Table Grid"/>
    <w:basedOn w:val="Tablanormal"/>
    <w:uiPriority w:val="39"/>
    <w:rsid w:val="00CC3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2/aisy.2019001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s41586-018-0337-2" TargetMode="External"/><Relationship Id="rId5" Type="http://schemas.openxmlformats.org/officeDocument/2006/relationships/hyperlink" Target="https://doi.org/10.1002/9781119148739.ch4" TargetMode="External"/><Relationship Id="rId4" Type="http://schemas.openxmlformats.org/officeDocument/2006/relationships/hyperlink" Target="http://jmlr.org/papers/volume14/demsar13a/demsar13a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1193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Gildardo Sánchez</dc:creator>
  <cp:keywords/>
  <dc:description/>
  <cp:lastModifiedBy>Gildardo Sánchez</cp:lastModifiedBy>
  <cp:revision>9</cp:revision>
  <dcterms:created xsi:type="dcterms:W3CDTF">2021-05-17T20:47:00Z</dcterms:created>
  <dcterms:modified xsi:type="dcterms:W3CDTF">2021-05-19T16:26:00Z</dcterms:modified>
</cp:coreProperties>
</file>