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000077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Pinhas Hector HOUNKPONOU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49.50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7.75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18.20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12.71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25.41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214.00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12.59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douze virgule cinquante-neuf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2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Assez-Bien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