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 w:before="0"/>
        <w:jc w:val="center"/>
      </w:pPr>
      <w:r>
        <w:rPr>
          <w:rFonts w:ascii="Arial" w:hAnsi="Arial"/>
          <w:b/>
          <w:color w:val="1A1A2E"/>
          <w:sz w:val="52"/>
        </w:rPr>
        <w:t>GTM Acceleration &amp; Revenue Growth</w:t>
      </w:r>
    </w:p>
    <w:p>
      <w:pPr>
        <w:spacing w:after="480" w:before="0"/>
        <w:jc w:val="center"/>
      </w:pPr>
      <w:r>
        <w:rPr>
          <w:rFonts w:ascii="Arial" w:hAnsi="Arial"/>
          <w:b w:val="0"/>
          <w:color w:val="2D5BA0"/>
          <w:sz w:val="36"/>
        </w:rPr>
        <w:t>Master Plan</w:t>
      </w:r>
    </w:p>
    <w:p>
      <w:pPr>
        <w:jc w:val="center"/>
      </w:pPr>
      <w:r>
        <w:rPr>
          <w:color w:val="2D5BA0"/>
          <w:sz w:val="20"/>
        </w:rPr>
        <w:t>━━━━━━━━━━━━━━━━━━━━━━━━━━━━━━━━━━━━━━━━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hAnsi="Arial"/>
          <w:b w:val="0"/>
          <w:color w:val="555555"/>
          <w:sz w:val="26"/>
        </w:rPr>
        <w:t>Parnell Systems — Voice AI</w:t>
      </w:r>
    </w:p>
    <w:p>
      <w:pPr>
        <w:spacing w:after="80" w:before="0"/>
        <w:jc w:val="center"/>
      </w:pPr>
      <w:r>
        <w:rPr>
          <w:rFonts w:ascii="Arial" w:hAnsi="Arial"/>
          <w:b w:val="0"/>
          <w:color w:val="555555"/>
          <w:sz w:val="24"/>
        </w:rPr>
        <w:t>Giles Parnell</w:t>
      </w:r>
    </w:p>
    <w:p>
      <w:pPr>
        <w:spacing w:after="480" w:before="0"/>
        <w:jc w:val="center"/>
      </w:pPr>
      <w:r>
        <w:rPr>
          <w:rFonts w:ascii="Arial" w:hAnsi="Arial"/>
          <w:b w:val="0"/>
          <w:color w:val="555555"/>
          <w:sz w:val="24"/>
        </w:rPr>
        <w:t>31 March 2026</w:t>
      </w:r>
    </w:p>
    <w:p>
      <w:pPr>
        <w:spacing w:after="80" w:before="0"/>
        <w:jc w:val="center"/>
      </w:pPr>
      <w:r>
        <w:rPr>
          <w:rFonts w:ascii="Arial" w:hAnsi="Arial"/>
          <w:b/>
          <w:color w:val="2D5BA0"/>
          <w:sz w:val="22"/>
        </w:rPr>
        <w:t>Status: Active — Planning → Execution</w:t>
      </w:r>
    </w:p>
    <w:p>
      <w:pPr>
        <w:spacing w:after="80" w:before="0"/>
        <w:jc w:val="center"/>
      </w:pPr>
      <w:r>
        <w:rPr>
          <w:rFonts w:ascii="Arial" w:hAnsi="Arial"/>
          <w:b w:val="0"/>
          <w:color w:val="555555"/>
          <w:sz w:val="20"/>
        </w:rPr>
        <w:t>Platform: GHL Native Voice Agents</w:t>
      </w:r>
    </w:p>
    <w:p>
      <w:pPr>
        <w:spacing w:after="120" w:before="0"/>
        <w:jc w:val="center"/>
      </w:pPr>
      <w:r>
        <w:rPr>
          <w:rFonts w:ascii="Arial" w:hAnsi="Arial"/>
          <w:b w:val="0"/>
          <w:color w:val="555555"/>
          <w:sz w:val="20"/>
        </w:rPr>
        <w:t>Current Revenue: 2 customers × $399/mo = $798/mo MRR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Executive Summary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This is the master plan for taking Parnell Systems voice AI from "website live" to "revenue flowing." It coordinates seven workstreams that transform the current demo site into a lead-generating, client-onboarding machine. Everything is prioritised by speed-to-revenue.</w:t>
      </w:r>
    </w:p>
    <w:p>
      <w:pPr>
        <w:spacing w:after="120" w:before="240"/>
      </w:pPr>
      <w:r>
        <w:rPr>
          <w:rFonts w:ascii="Arial" w:hAnsi="Arial"/>
          <w:b/>
          <w:color w:val="2D5BA0"/>
          <w:sz w:val="24"/>
        </w:rPr>
        <w:t>Current State (31 March 2026)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voice.parnellsystems.com is live with 7 demo pages, voice orb, pricing, and a working contact form (GHL webhook)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2 paying customers at $399/mo each, no automated payments (Stripe not wired)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 xml:space="preserve">Current delivery platform: </w:t>
      </w:r>
      <w:r>
        <w:rPr>
          <w:rFonts w:ascii="Arial" w:hAnsi="Arial"/>
          <w:b/>
          <w:color w:val="1A1A2E"/>
          <w:sz w:val="22"/>
        </w:rPr>
        <w:t>GHL native voice agents</w:t>
      </w:r>
      <w:r>
        <w:rPr>
          <w:rFonts w:ascii="Arial" w:hAnsi="Arial"/>
          <w:color w:val="1A1A2E"/>
          <w:sz w:val="22"/>
        </w:rPr>
        <w:t xml:space="preserve"> (not LiveKit or Vapi — those are future-state)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No analytics, no tracking, no SEO beyond basic meta tags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No ad campaigns running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Manual onboarding process (hours per client)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No nurture sequences or lead management workflows</w:t>
      </w:r>
    </w:p>
    <w:p>
      <w:pPr>
        <w:spacing w:after="120" w:before="240"/>
      </w:pPr>
      <w:r>
        <w:rPr>
          <w:rFonts w:ascii="Arial" w:hAnsi="Arial"/>
          <w:b/>
          <w:color w:val="2D5BA0"/>
          <w:sz w:val="24"/>
        </w:rPr>
        <w:t>Target State (8 Weeks)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Facebook Pixel + Google Analytics tracking every visitor and conversion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SEO-optimised pages ranking for "AI receptionist [niche] Australia"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Facebook/Instagram ads driving qualified traffic at &lt; $40 AUD CPL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HeyGen VSL videos on every demo page and in ad creative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GHL workflows handling speed-to-lead (&lt; 60 seconds) + 90-day nurture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Stripe recurring payments live on pricing page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Database Reactivation marketed as a standalone product + onboarding wedge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Client onboarding form collecting everything needed for setup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Automated outreach pipeline targeting businesses with missed-call complaints (planned, built later)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Critical Blockers</w:t>
      </w:r>
    </w:p>
    <w:p>
      <w:pPr>
        <w:spacing w:after="240" w:before="0"/>
      </w:pPr>
      <w:r>
        <w:rPr>
          <w:rFonts w:ascii="Arial" w:hAnsi="Arial"/>
          <w:b w:val="0"/>
          <w:color w:val="1A1A2E"/>
          <w:sz w:val="22"/>
        </w:rPr>
        <w:t>These issues must be resolved before ads launch.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Blocker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B1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Stripe URLs are placeholders — Pricing page CTAs go nowhere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Critical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Giles: Create Stripe Payment Links, Claude: wire in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B2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No /privacy or /terms pages — Footer links 404. Facebook rejects ads without a privacy policy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Critical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Claude: Create basic Privacy + Terms pages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B3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No /demos index route — "All demos" back-link on demo pages 404s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High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Claude: Add route redirect or listing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B4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Placeholder testimonials — fictional names, risk under AU Consumer Law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High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Remove section or replace with real quotes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B5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UTM parameters lost at booking CTA — no attribution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High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Claude: Append UTM params to booking link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B6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SPA OG tags are static — wrong metadata on social shares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Medium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Claude: Pre-rendering for OG injection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Workstream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W1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WS1: Tracking &amp; SEO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Facebook Pixel, GA4, pre-rendering, structured data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 + Giles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W1–2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WS2: Demo Enhancement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Pain-point copy, HeyGen VSL videos, social proof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 + Claude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W2–3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WS3: Facebook Ads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Meta Business setup, ad creative, audience targeting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W3–4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WS4: GHL Workflows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Speed-to-lead, nurture sequences, AI workflow builder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W2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WS5: Pricing &amp; Payments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Stripe Payment Links, annual billing, setup fee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 + Giles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W4–5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WS6: Cold Outreach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 sequences, compliance framework, call scripts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W5–6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WS7: DB Reactivation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Permission-pass campaigns, reactivation pricing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Giles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W6+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WS8: Client Onboarding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Self-serve form, offshore team handoff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Claude + Giles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WS1 — Tracking &amp; SEO Foundation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 1</w:t>
      </w:r>
    </w:p>
    <w:p>
      <w:pPr>
        <w:pStyle w:val="Heading2"/>
      </w:pPr>
      <w:r>
        <w:rPr>
          <w:rFonts w:ascii="Arial" w:hAnsi="Arial"/>
        </w:rPr>
        <w:t>Facebook Pixel Installation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Track every visitor, page view, and conversion event.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Add fbq('init', 'PIXEL_ID') to index.html &lt;head&gt;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Fire PageView on every route change via React Router listener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Fire Lead event on contact form submission + booking CTA click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Fire Schedule event on booking confirmation</w:t>
      </w:r>
    </w:p>
    <w:p>
      <w:pPr>
        <w:spacing w:after="120" w:before="120"/>
      </w:pPr>
      <w:r>
        <w:rPr>
          <w:rFonts w:ascii="Arial" w:hAnsi="Arial"/>
          <w:b/>
          <w:color w:val="2D5BA0"/>
          <w:sz w:val="20"/>
        </w:rPr>
        <w:t>Giles Action: Create Facebook Pixel in Meta Business Suite → Events Manager → Connect Data Sources.</w:t>
      </w:r>
    </w:p>
    <w:p>
      <w:pPr>
        <w:pStyle w:val="Heading2"/>
      </w:pPr>
      <w:r>
        <w:rPr>
          <w:rFonts w:ascii="Arial" w:hAnsi="Arial"/>
        </w:rPr>
        <w:t>Google Analytics 4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Add GA4 gtag.js snippet to index.html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Configure events matching Pixel events (page_view, generate_lead, schedule_appointment)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Connect to Google Search Console once sitemap is submitted</w:t>
      </w:r>
    </w:p>
    <w:p>
      <w:pPr>
        <w:pStyle w:val="Heading2"/>
      </w:pPr>
      <w:r>
        <w:rPr>
          <w:rFonts w:ascii="Arial" w:hAnsi="Arial"/>
        </w:rPr>
        <w:t>Meta Tags &amp; Open Graph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Every page gets unique, crawlable meta tags for SEO and social sharing.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 xml:space="preserve">Build a zero-dependency </w:t>
      </w:r>
      <w:r>
        <w:rPr>
          <w:rFonts w:ascii="Arial" w:hAnsi="Arial"/>
          <w:b/>
          <w:color w:val="1A1A2E"/>
          <w:sz w:val="22"/>
        </w:rPr>
        <w:t>useSEO</w:t>
      </w:r>
      <w:r>
        <w:rPr>
          <w:rFonts w:ascii="Arial" w:hAnsi="Arial"/>
          <w:color w:val="1A1A2E"/>
          <w:sz w:val="22"/>
        </w:rPr>
        <w:t xml:space="preserve"> custom hook — no runtime library needed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The pre-renderer captures meta tags into static HTML at build time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Each page calls useSEO({ title, description, canonical, ogImage })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Dynamic OG images via @vercel/og edge function at /api/og</w:t>
      </w:r>
    </w:p>
    <w:p>
      <w:pPr>
        <w:pStyle w:val="Heading2"/>
      </w:pPr>
      <w:r>
        <w:rPr>
          <w:rFonts w:ascii="Arial" w:hAnsi="Arial"/>
        </w:rPr>
        <w:t>Pre-Rendering &amp; Structured Data</w:t>
      </w:r>
    </w:p>
    <w:p>
      <w:pPr>
        <w:spacing w:after="120" w:before="0"/>
      </w:pPr>
      <w:r>
        <w:rPr>
          <w:rFonts w:ascii="Arial" w:hAnsi="Arial"/>
          <w:b/>
          <w:color w:val="1A1A2E"/>
          <w:sz w:val="22"/>
        </w:rPr>
        <w:t>Committed approach: @prerenderer/rollup-plugin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Generates static HTML for every route at build time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Covers homepage, pricing, all 7 demo pages, privacy, terms (~15 pages)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No Node.js server needed in production — static files served from Vercel edge</w:t>
      </w:r>
    </w:p>
    <w:p>
      <w:pPr>
        <w:spacing w:after="120" w:before="160"/>
      </w:pPr>
      <w:r>
        <w:rPr>
          <w:rFonts w:ascii="Arial" w:hAnsi="Arial"/>
          <w:b/>
          <w:color w:val="1A1A2E"/>
          <w:sz w:val="22"/>
        </w:rPr>
        <w:t>Structured Data: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Organisation</w:t>
      </w:r>
      <w:r>
        <w:rPr>
          <w:rFonts w:ascii="Arial" w:hAnsi="Arial"/>
          <w:color w:val="1A1A2E"/>
          <w:sz w:val="22"/>
        </w:rPr>
        <w:t xml:space="preserve"> schema on homepage (NOT LocalBusiness — no physical office)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SoftwareApplication</w:t>
      </w:r>
      <w:r>
        <w:rPr>
          <w:rFonts w:ascii="Arial" w:hAnsi="Arial"/>
          <w:color w:val="1A1A2E"/>
          <w:sz w:val="22"/>
        </w:rPr>
        <w:t xml:space="preserve"> schema on pricing page with offers for each tier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FAQPage</w:t>
      </w:r>
      <w:r>
        <w:rPr>
          <w:rFonts w:ascii="Arial" w:hAnsi="Arial"/>
          <w:color w:val="1A1A2E"/>
          <w:sz w:val="22"/>
        </w:rPr>
        <w:t xml:space="preserve"> schema on pricing page (highest SERP real estate impact)</w:t>
      </w:r>
    </w:p>
    <w:p>
      <w:pPr>
        <w:spacing w:after="120" w:before="160"/>
      </w:pPr>
      <w:r>
        <w:rPr>
          <w:rFonts w:ascii="Arial" w:hAnsi="Arial"/>
          <w:b w:val="0"/>
          <w:color w:val="555555"/>
          <w:sz w:val="20"/>
        </w:rPr>
        <w:t>Target keywords: "AI receptionist [niche] Australia", "AI phone answering service", "never miss a call AI"</w:t>
      </w:r>
    </w:p>
    <w:p>
      <w:pPr>
        <w:pStyle w:val="Heading2"/>
      </w:pPr>
      <w:r>
        <w:rPr>
          <w:rFonts w:ascii="Arial" w:hAnsi="Arial"/>
        </w:rPr>
        <w:t>Monitoring &amp; Dashboards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Daily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Pixel firing correctly, event match quality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Meta Events Manager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Daily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Traffic sources, active pages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GA4 Realtime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Weekly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CPL trend (target: &lt; $40 AUD)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Meta Ads Manager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Weekly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Organic impressions and click-through rate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Search Console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Weekly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Top landing pages by conversion rate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GA4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WS2 — Demo Page Enhancement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Weeks 1–2</w:t>
      </w:r>
    </w:p>
    <w:p>
      <w:pPr>
        <w:pStyle w:val="Heading2"/>
      </w:pPr>
      <w:r>
        <w:rPr>
          <w:rFonts w:ascii="Arial" w:hAnsi="Arial"/>
        </w:rPr>
        <w:t>HeyGen VSL Videos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A 60–90 second Video Sales Letter on every demo page featuring a digital twin of Giles.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Write scripts per niche — problem → solution → demo → CTA structure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Record in HeyGen using avatar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Host on Cloudflare R2 (not YouTube — control the experience)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Embed above the voice orb on each demo page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Reuse same videos as Facebook ad creative</w:t>
      </w:r>
    </w:p>
    <w:p>
      <w:pPr>
        <w:pStyle w:val="Heading2"/>
      </w:pPr>
      <w:r>
        <w:rPr>
          <w:rFonts w:ascii="Arial" w:hAnsi="Arial"/>
        </w:rPr>
        <w:t>Pain Points &amp; Revenue Impact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Data-driven pain-point section on each demo page: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Niche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Missed Call Rate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Revenue per Missed Call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Monthly Loss (est.)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Dental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30–40%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$200–500 (new patient value)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$3,000–10,000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Med Spa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25–35%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$300–800 (treatment package)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$4,500–14,000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HVAC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40–50%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$150–400 (service call)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$3,000–10,000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Auto Repair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35–45%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$200–600 (repair job)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$3,500–13,500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Real Estate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20–30%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$2,000–10,000 (commission)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$10,000–75,000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Legal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30–40%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$500–5,000 (case value)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$7,500–100,000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Restaurant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25–35%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$50–200 (booking value)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$625–3,500</w:t>
            </w:r>
          </w:p>
        </w:tc>
      </w:tr>
    </w:tbl>
    <w:p/>
    <w:p>
      <w:pPr>
        <w:spacing w:after="120" w:before="0"/>
      </w:pPr>
      <w:r>
        <w:rPr>
          <w:rFonts w:ascii="Arial" w:hAnsi="Arial"/>
          <w:b/>
          <w:color w:val="2D5BA0"/>
          <w:sz w:val="20"/>
        </w:rPr>
        <w:t>Message: "Your AI receptionist pays for itself after catching just 1–2 missed calls per month."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WS3 — Facebook Ads Launch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Weeks 2–3</w:t>
      </w:r>
    </w:p>
    <w:p>
      <w:pPr>
        <w:pStyle w:val="Heading2"/>
      </w:pPr>
      <w:r>
        <w:rPr>
          <w:rFonts w:ascii="Arial" w:hAnsi="Arial"/>
        </w:rPr>
        <w:t>GHL Ads Manager vs. Native Meta</w:t>
      </w:r>
    </w:p>
    <w:p>
      <w:pPr>
        <w:spacing w:after="120" w:before="0"/>
      </w:pPr>
      <w:r>
        <w:rPr>
          <w:rFonts w:ascii="Arial" w:hAnsi="Arial"/>
          <w:b/>
          <w:color w:val="1A1A2E"/>
          <w:sz w:val="22"/>
        </w:rPr>
        <w:t>Recommendation: Start in native Meta Ads Manager, not GHL.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Meta Ads Manager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GHL Ads Manager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Feature completeness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Full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Subset — limited audience tools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Custom conversions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Full support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Limited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Lookalike audiences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Full support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Basic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A/B testing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Built-in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Manual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Reporting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Full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Aggregated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Campaign Structure</w:t>
      </w:r>
    </w:p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Phase 1 — Awareness + Lead Gen (Weeks 2–4)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Campaign objective: Leads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Audience: Business owners, AU, 25–65, interests in [niche] + small business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Placements: Facebook Feed, Instagram Feed, Stories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Creative: HeyGen VSL videos (60s) + static pain-point images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Landing page: Niche demo page (with Pixel firing)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Budget: $20–30 AUD/day to start. Scale what works.</w:t>
      </w:r>
    </w:p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Phase 2 — Retargeting (Week 4+)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Custom audience: Website visitors (Pixel), video viewers (75%+)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Creative: Testimonial-style + "Still missing calls?" messaging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Lower funnel: Direct to booking page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WS4 — GHL Workflow Automation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Weeks 3–4</w:t>
      </w:r>
    </w:p>
    <w:p>
      <w:pPr>
        <w:pStyle w:val="Heading2"/>
      </w:pPr>
      <w:r>
        <w:rPr>
          <w:rFonts w:ascii="Arial" w:hAnsi="Arial"/>
        </w:rPr>
        <w:t>Speed-to-Lead Workflow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Trigger: New contact created (from form submission, booking, or ad lead)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Instant SMS: "Thanks [Name], we've received your enquiry. Giles will be in touch shortly."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Internal notification: SMS to Giles with contact name + source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Email: Branded welcome with next steps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If no response in 2 hours: Follow-up SMS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If no response in 24 hours: Follow-up call task created</w:t>
      </w:r>
    </w:p>
    <w:p>
      <w:pPr>
        <w:pStyle w:val="Heading2"/>
      </w:pPr>
      <w:r>
        <w:rPr>
          <w:rFonts w:ascii="Arial" w:hAnsi="Arial"/>
        </w:rPr>
        <w:t>90-Day Nurture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0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SMS + Email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Welcome + booking link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1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"Here's what our AI handles" (feature overview)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3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SMS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"Quick question — how many calls does your team miss per week?"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7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Case study / ROI calculation for their niche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14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"Still interested?" + new demo link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30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Industry insight / seasonal angle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60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SMS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"Checking in — happy to chat when you're ready"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90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Final "door is open" message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WS5 — Pricing &amp; Payments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 2</w:t>
      </w:r>
    </w:p>
    <w:p>
      <w:pPr>
        <w:pStyle w:val="Heading2"/>
      </w:pPr>
      <w:r>
        <w:rPr>
          <w:rFonts w:ascii="Arial" w:hAnsi="Arial"/>
        </w:rPr>
        <w:t>Tier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Starter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Business</w:t>
            </w:r>
          </w:p>
        </w:tc>
        <w:tc>
          <w:tcPr>
            <w:tcW w:type="dxa" w:w="2128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Professional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Monthly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$399/mo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$599/mo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$799/mo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Annual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$3,990/yr (~$333/mo)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$5,990/yr (~$499/mo)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$7,990/yr (~$666/mo)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Savings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$798/yr (17%)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$1,198/yr (17%)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$1,598/yr (17%)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Phone numbers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1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2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5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Calls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Up to 100/mo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Unlimited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Unlimited</w:t>
            </w:r>
          </w:p>
        </w:tc>
      </w:tr>
      <w:tr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Custom voice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—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—</w:t>
            </w:r>
          </w:p>
        </w:tc>
        <w:tc>
          <w:tcPr>
            <w:tcW w:type="dxa" w:w="2128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✓</w:t>
            </w:r>
          </w:p>
        </w:tc>
      </w:tr>
      <w:tr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Account manager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—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—</w:t>
            </w:r>
          </w:p>
        </w:tc>
        <w:tc>
          <w:tcPr>
            <w:tcW w:type="dxa" w:w="2128"/>
          </w:tcPr>
          <w:p>
            <w:r/>
            <w:r>
              <w:rPr>
                <w:rFonts w:ascii="Arial" w:hAnsi="Arial"/>
                <w:color w:val="1A1A2E"/>
                <w:sz w:val="19"/>
              </w:rPr>
              <w:t>Dedicated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Setup Fee Anchoring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$499 setup fee displayed on monthly billing view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Strikethrough on annual toggle</w:t>
      </w:r>
      <w:r>
        <w:rPr>
          <w:rFonts w:ascii="Arial" w:hAnsi="Arial"/>
          <w:color w:val="1A1A2E"/>
          <w:sz w:val="22"/>
        </w:rPr>
        <w:t xml:space="preserve"> — "Setup fee waived with annual plan"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 xml:space="preserve">First-year Business savings on annual: $1,198 (billing) + $499 (setup) = </w:t>
      </w:r>
      <w:r>
        <w:rPr>
          <w:rFonts w:ascii="Arial" w:hAnsi="Arial"/>
          <w:b/>
          <w:color w:val="1A1A2E"/>
          <w:sz w:val="22"/>
        </w:rPr>
        <w:t>$1,697 total</w:t>
      </w:r>
      <w:r>
        <w:rPr>
          <w:rFonts w:ascii="Arial" w:hAnsi="Arial"/>
          <w:color w:val="1A1A2E"/>
          <w:sz w:val="22"/>
        </w:rPr>
      </w:r>
    </w:p>
    <w:p>
      <w:pPr>
        <w:pStyle w:val="Heading2"/>
      </w:pPr>
      <w:r>
        <w:rPr>
          <w:rFonts w:ascii="Arial" w:hAnsi="Arial"/>
        </w:rPr>
        <w:t>Existing Customer Migration</w:t>
      </w:r>
    </w:p>
    <w:p>
      <w:pPr>
        <w:spacing w:after="120" w:before="0"/>
      </w:pPr>
      <w:r>
        <w:rPr>
          <w:rFonts w:ascii="Arial" w:hAnsi="Arial"/>
          <w:b/>
          <w:color w:val="1A1A2E"/>
          <w:sz w:val="22"/>
        </w:rPr>
        <w:t>Current customers at $399/mo get a 90-day loyalty bridge: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Phone call explaining new tier structure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Offer: lock in $399/mo for 90 days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Then: move to $599 Business tier OR lock annual at ~$499/mo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Frame as "You're getting Business-tier features at a grandfather rate for 90 days"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WS6 — Cold Outreach &amp; Compliance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Weeks 4–5</w:t>
      </w:r>
    </w:p>
    <w:p>
      <w:pPr>
        <w:pStyle w:val="Heading2"/>
      </w:pPr>
      <w:r>
        <w:rPr>
          <w:rFonts w:ascii="Arial" w:hAnsi="Arial"/>
        </w:rPr>
        <w:t>Compliance Framework (AU Law)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Legal Risk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Email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Low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Conspicuous publication consent. Must include unsubscribe. Safe for initial outreach.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Phone calls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Medium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DNCR wash required. Business numbers exempt. Personal mobiles may not be.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SMS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High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Requires explicit prior consent under Spam Act 2003. NO B2B exemption. Use only after opt-in.</w:t>
            </w:r>
          </w:p>
        </w:tc>
      </w:tr>
    </w:tbl>
    <w:p/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Key Compliance Requirements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Spam Act 2003:</w:t>
      </w:r>
      <w:r>
        <w:rPr>
          <w:rFonts w:ascii="Arial" w:hAnsi="Arial"/>
          <w:color w:val="1A1A2E"/>
          <w:sz w:val="22"/>
        </w:rPr>
        <w:t xml:space="preserve"> No B2B exemption for SMS. All commercial electronic messages need consent + sender ID + unsubscribe.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DNCR:</w:t>
      </w:r>
      <w:r>
        <w:rPr>
          <w:rFonts w:ascii="Arial" w:hAnsi="Arial"/>
          <w:color w:val="1A1A2E"/>
          <w:sz w:val="22"/>
        </w:rPr>
        <w:t xml:space="preserve"> ~40% of AU numbers registered. Business numbers exempt but personal mobiles used for business are not.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Privacy Act 1988:</w:t>
      </w:r>
      <w:r>
        <w:rPr>
          <w:rFonts w:ascii="Arial" w:hAnsi="Arial"/>
          <w:color w:val="1A1A2E"/>
          <w:sz w:val="22"/>
        </w:rPr>
        <w:t xml:space="preserve"> Small business exemption likely does NOT apply to Parnell Systems. Treat as covered entity.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Penalties:</w:t>
      </w:r>
      <w:r>
        <w:rPr>
          <w:rFonts w:ascii="Arial" w:hAnsi="Arial"/>
          <w:color w:val="1A1A2E"/>
          <w:sz w:val="22"/>
        </w:rPr>
        <w:t xml:space="preserve"> Up to $2.5M per day (Spam Act), $50M or 30% revenue (Privacy Act).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SMS Sender ID Register:</w:t>
      </w:r>
      <w:r>
        <w:rPr>
          <w:rFonts w:ascii="Arial" w:hAnsi="Arial"/>
          <w:color w:val="1A1A2E"/>
          <w:sz w:val="22"/>
        </w:rPr>
        <w:t xml:space="preserve"> Mandatory from 1 July 2026 for alphanumeric sender IDs.</w:t>
      </w:r>
    </w:p>
    <w:p>
      <w:pPr>
        <w:pStyle w:val="Heading2"/>
      </w:pPr>
      <w:r>
        <w:rPr>
          <w:rFonts w:ascii="Arial" w:hAnsi="Arial"/>
        </w:rPr>
        <w:t>Outreach Sequence</w:t>
      </w:r>
    </w:p>
    <w:p>
      <w:pPr>
        <w:spacing w:after="120" w:before="0"/>
      </w:pPr>
      <w:r>
        <w:rPr>
          <w:rFonts w:ascii="Arial" w:hAnsi="Arial"/>
          <w:b/>
          <w:color w:val="2D5BA0"/>
          <w:sz w:val="22"/>
        </w:rPr>
        <w:t>Stage 1 — Email (Low risk)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Personalised email referencing their Google reviews mentioning missed calls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ROI calculation specific to their niche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Follow-up at Day 3 if no open, Day 7 if opened but no click</w:t>
      </w:r>
    </w:p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Stage 2 — Phone (After email engagement)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Call businesses that opened/clicked but didn't book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DNCR-washed list only</w:t>
      </w:r>
    </w:p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Stage 3 — SMS (After explicit opt-in only)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Only contacts who verbally or digitally opted in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Appointment reminders and follow-ups only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WS7 — Database Reactivation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Weeks 5–6</w:t>
      </w:r>
    </w:p>
    <w:p>
      <w:pPr>
        <w:pStyle w:val="Heading2"/>
      </w:pPr>
      <w:r>
        <w:rPr>
          <w:rFonts w:ascii="Arial" w:hAnsi="Arial"/>
        </w:rPr>
        <w:t>Product Positioning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Standalone product</w:t>
      </w:r>
      <w:r>
        <w:rPr>
          <w:rFonts w:ascii="Arial" w:hAnsi="Arial"/>
          <w:color w:val="1A1A2E"/>
          <w:sz w:val="22"/>
        </w:rPr>
        <w:t xml:space="preserve"> — one-time campaign fee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</w:r>
      <w:r>
        <w:rPr>
          <w:rFonts w:ascii="Arial" w:hAnsi="Arial"/>
          <w:b/>
          <w:color w:val="1A1A2E"/>
          <w:sz w:val="22"/>
        </w:rPr>
        <w:t>Onboarding wedge</w:t>
      </w:r>
      <w:r>
        <w:rPr>
          <w:rFonts w:ascii="Arial" w:hAnsi="Arial"/>
          <w:color w:val="1A1A2E"/>
          <w:sz w:val="22"/>
        </w:rPr>
        <w:t xml:space="preserve"> — "Let us prove ROI with your existing contacts before you commit to monthly"</w:t>
      </w:r>
    </w:p>
    <w:p>
      <w:pPr>
        <w:pStyle w:val="Heading2"/>
      </w:pPr>
      <w:r>
        <w:rPr>
          <w:rFonts w:ascii="Arial" w:hAnsi="Arial"/>
        </w:rPr>
        <w:t>Reactivation Pricing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Contact Count</w:t>
            </w:r>
          </w:p>
        </w:tc>
        <w:tc>
          <w:tcPr>
            <w:tcW w:type="dxa" w:w="4255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One-Time Fee</w:t>
            </w:r>
          </w:p>
        </w:tc>
      </w:tr>
      <w:tr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Up to 500</w:t>
            </w:r>
          </w:p>
        </w:tc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$500</w:t>
            </w:r>
          </w:p>
        </w:tc>
      </w:tr>
      <w:tr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Up to 1,000</w:t>
            </w:r>
          </w:p>
        </w:tc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$1,000</w:t>
            </w:r>
          </w:p>
        </w:tc>
      </w:tr>
      <w:tr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Up to 2,000</w:t>
            </w:r>
          </w:p>
        </w:tc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$1,500</w:t>
            </w:r>
          </w:p>
        </w:tc>
      </w:tr>
    </w:tbl>
    <w:p/>
    <w:p>
      <w:pPr>
        <w:spacing w:after="120" w:before="0"/>
      </w:pPr>
      <w:r>
        <w:rPr>
          <w:rFonts w:ascii="Arial" w:hAnsi="Arial"/>
          <w:b w:val="0"/>
          <w:color w:val="555555"/>
          <w:sz w:val="20"/>
        </w:rPr>
        <w:t>Includes: list cleaning, DNCR wash, permission-pass campaign, 30-day reactivation sequence, and results report.</w:t>
      </w:r>
    </w:p>
    <w:p>
      <w:pPr>
        <w:pStyle w:val="Heading2"/>
      </w:pPr>
      <w:r>
        <w:rPr>
          <w:rFonts w:ascii="Arial" w:hAnsi="Arial"/>
        </w:rPr>
        <w:t>Two-Stage Reactivation Model</w:t>
      </w:r>
    </w:p>
    <w:p>
      <w:pPr>
        <w:spacing w:after="120" w:before="0"/>
      </w:pPr>
      <w:r>
        <w:rPr>
          <w:rFonts w:ascii="Arial" w:hAnsi="Arial"/>
          <w:b/>
          <w:color w:val="2D5BA0"/>
          <w:sz w:val="22"/>
        </w:rPr>
        <w:t>Stage 1 — Permission Pass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Single SMS to each contact: "Hi [Name], this is [Business]. We'd love to share some updates with you. Reply YES to hear from us, or STOP to opt out." Only contacts who reply YES proceed to Stage 2.</w:t>
      </w:r>
    </w:p>
    <w:p>
      <w:pPr>
        <w:spacing w:after="120" w:before="160"/>
      </w:pPr>
      <w:r>
        <w:rPr>
          <w:rFonts w:ascii="Arial" w:hAnsi="Arial"/>
          <w:b/>
          <w:color w:val="2D5BA0"/>
          <w:sz w:val="22"/>
        </w:rPr>
        <w:t>Stage 2 — Reactivation Campaign (opted-in contacts only)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Sequence of 3–5 messages over 2–3 weeks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Mix of SMS and email depending on consent level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Re-booking offers, seasonal promotions, loyalty discounts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WS8 — Client Onboarding</w:t>
      </w:r>
    </w:p>
    <w:p>
      <w:pPr>
        <w:spacing w:after="240" w:before="0"/>
      </w:pPr>
      <w:r>
        <w:rPr>
          <w:rFonts w:ascii="Arial" w:hAnsi="Arial"/>
          <w:b w:val="0"/>
          <w:color w:val="555555"/>
          <w:sz w:val="20"/>
        </w:rPr>
        <w:t>Week 6+</w:t>
      </w:r>
    </w:p>
    <w:p>
      <w:pPr>
        <w:pStyle w:val="Heading2"/>
      </w:pPr>
      <w:r>
        <w:rPr>
          <w:rFonts w:ascii="Arial" w:hAnsi="Arial"/>
        </w:rPr>
        <w:t>Onboarding Form Fields</w:t>
      </w:r>
    </w:p>
    <w:p>
      <w:pPr>
        <w:spacing w:after="120" w:before="0"/>
      </w:pPr>
      <w:r>
        <w:rPr>
          <w:rFonts w:ascii="Arial" w:hAnsi="Arial"/>
          <w:b w:val="0"/>
          <w:color w:val="1A1A2E"/>
          <w:sz w:val="22"/>
        </w:rPr>
        <w:t>Collect everything needed to set up a client's voice AI without back-and-forth: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Business name, ABN, industry/niche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Phone number(s) to forward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Business hours (per day)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Services offered + pricing ranges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Booking system details (GHL calendar, Calendly, other)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Common caller questions (top 10)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Preferred greeting and tone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Staff names and roles (for transfers)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Special instructions (holidays, emergencies, VIP clients)</w:t>
      </w:r>
    </w:p>
    <w:p>
      <w:pPr>
        <w:pStyle w:val="Heading2"/>
      </w:pPr>
      <w:r>
        <w:rPr>
          <w:rFonts w:ascii="Arial" w:hAnsi="Arial"/>
        </w:rPr>
        <w:t>Offshore Team Handoff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Slack workspace with dedicated channel per client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GHL sub-account access (not main account)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Standardised build checklist per niche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Template voice agent configs exportable from GHL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QA checklist before going live</w:t>
      </w:r>
    </w:p>
    <w:p>
      <w:pPr>
        <w:pStyle w:val="ListBullet"/>
        <w:spacing w:after="60"/>
        <w:ind w:left="720"/>
      </w:pPr>
      <w:r>
        <w:rPr>
          <w:rFonts w:ascii="Arial" w:hAnsi="Arial"/>
          <w:color w:val="1A1A2E"/>
          <w:sz w:val="22"/>
        </w:rPr>
        <w:t>Offshore team should never need to contact the client directly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Key Technical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255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useSEO hook, not react-helmet-async</w:t>
            </w:r>
          </w:p>
        </w:tc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Zero-dependency; pre-renderer captures DOM-set meta tags. No runtime library needed.</w:t>
            </w:r>
          </w:p>
        </w:tc>
      </w:tr>
      <w:tr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@prerenderer/rollup-plugin, not SSR</w:t>
            </w:r>
          </w:p>
        </w:tc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~15 pages, all known at build time. No Node.js server in production.</w:t>
            </w:r>
          </w:p>
        </w:tc>
      </w:tr>
      <w:tr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Native Meta Ads Manager, not GHL</w:t>
            </w:r>
          </w:p>
        </w:tc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Full control over audiences, conversions, A/B testing. GHL is a subset.</w:t>
            </w:r>
          </w:p>
        </w:tc>
      </w:tr>
      <w:tr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Two-stage reactivation model</w:t>
            </w:r>
          </w:p>
        </w:tc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AU Spam Act has no B2B exemption for SMS. Permission-pass first, campaign only to opt-ins.</w:t>
            </w:r>
          </w:p>
        </w:tc>
      </w:tr>
      <w:tr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Treat as Privacy Act covered entity</w:t>
            </w:r>
          </w:p>
        </w:tc>
        <w:tc>
          <w:tcPr>
            <w:tcW w:type="dxa" w:w="4255"/>
          </w:tcPr>
          <w:p>
            <w:r/>
            <w:r>
              <w:rPr>
                <w:rFonts w:ascii="Arial" w:hAnsi="Arial"/>
                <w:color w:val="1A1A2E"/>
                <w:sz w:val="19"/>
              </w:rPr>
              <w:t>Small business exemption likely doesn't apply. Safer to comply than assume exempt.</w:t>
            </w:r>
          </w:p>
        </w:tc>
      </w:tr>
      <w:tr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Organisation + SoftwareApplication JSON-LD</w:t>
            </w:r>
          </w:p>
        </w:tc>
        <w:tc>
          <w:tcPr>
            <w:tcW w:type="dxa" w:w="4255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Not LocalBusiness — no physical office. Supports pricing/feature structured data.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Dependencies &amp;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Privacy Act scope uncertainty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Fines up to $50M or 30% revenue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Treat as covered entity. Budget $500–1,000 for privacy lawyer review.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Meta ad rejection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Delays ad launch by days/weeks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Have privacy + terms pages live before submitting. Follow Meta policies exactly.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Customer churn during pricing transition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Lose 1–2 customers ($399–798/mo)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90-day loyalty bridge. Phone call first. Annual lock offer.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GHL rate limiting on bulk SMS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Reactivation campaigns throttled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Test with small batches. Use GHL recommended limits. Spread over days.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HeyGen avatar quality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Uncanny valley hurts trust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Record test video first. Fallback: screen-recording VSL with voiceover.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Offshore team quality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Inconsistent GHL builds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Standardised checklists, QA process, template configs.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Success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Week 4 Target</w:t>
            </w:r>
          </w:p>
        </w:tc>
        <w:tc>
          <w:tcPr>
            <w:tcW w:type="dxa" w:w="2837"/>
            <w:shd w:fill="2D5BA0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Week 8 Target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MRR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$1,500+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$3,000+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Paying customers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4+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8+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Website traffic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500 visits/mo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2,000 visits/mo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Facebook CPL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&lt; $50 AUD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&lt; $40 AUD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Booking conversion rate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5%+ of visitors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8%+ of visitors</w:t>
            </w:r>
          </w:p>
        </w:tc>
      </w:tr>
      <w:tr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Speed-to-lead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&lt; 60 seconds</w:t>
            </w:r>
          </w:p>
        </w:tc>
        <w:tc>
          <w:tcPr>
            <w:tcW w:type="dxa" w:w="2837"/>
            <w:shd w:fill="F2F5FA" w:val="clear"/>
          </w:tcPr>
          <w:p>
            <w:r/>
            <w:r>
              <w:rPr>
                <w:rFonts w:ascii="Arial" w:hAnsi="Arial"/>
                <w:color w:val="1A1A2E"/>
                <w:sz w:val="19"/>
              </w:rPr>
              <w:t>&lt; 30 seconds</w:t>
            </w:r>
          </w:p>
        </w:tc>
      </w:tr>
      <w:tr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Organic search impressions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1,000/mo</w:t>
            </w:r>
          </w:p>
        </w:tc>
        <w:tc>
          <w:tcPr>
            <w:tcW w:type="dxa" w:w="2837"/>
          </w:tcPr>
          <w:p>
            <w:r/>
            <w:r>
              <w:rPr>
                <w:rFonts w:ascii="Arial" w:hAnsi="Arial"/>
                <w:color w:val="1A1A2E"/>
                <w:sz w:val="19"/>
              </w:rPr>
              <w:t>5,000/mo</w:t>
            </w:r>
          </w:p>
        </w:tc>
      </w:tr>
    </w:tbl>
    <w:p/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