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269" w:rsidRDefault="00F77269" w:rsidP="005F3BB4">
      <w:pPr>
        <w:ind w:firstLine="720"/>
        <w:jc w:val="both"/>
        <w:rPr>
          <w:lang w:val="fr-FR"/>
        </w:rPr>
      </w:pPr>
      <w:bookmarkStart w:id="0" w:name="_GoBack"/>
      <w:bookmarkEnd w:id="0"/>
      <w:r w:rsidRPr="00F77269">
        <w:rPr>
          <w:lang w:val="fr-FR"/>
        </w:rPr>
        <w:t xml:space="preserve">Des études de psycho acoustique ont montré que l'oreille humaine ne percevait pas les fréquences selon une échelle linéaire. </w:t>
      </w:r>
      <w:r w:rsidR="002D2773">
        <w:rPr>
          <w:lang w:val="fr-FR"/>
        </w:rPr>
        <w:t xml:space="preserve">Il a donc été utile de définir une nouvelle échelle plus subjective </w:t>
      </w:r>
      <w:r w:rsidRPr="00F77269">
        <w:rPr>
          <w:lang w:val="fr-FR"/>
        </w:rPr>
        <w:t>: à chaque fréquence f, exprimée en Hertz, on fait correspondre une nouvelle fréquence</w:t>
      </w:r>
      <w:r w:rsidR="002D2773">
        <w:rPr>
          <w:lang w:val="fr-FR"/>
        </w:rPr>
        <w:t> </w:t>
      </w:r>
      <w:r w:rsidR="005F3BB4">
        <w:rPr>
          <w:lang w:val="fr-FR"/>
        </w:rPr>
        <w:t>selon une fonction censée représenter le comportement de l’oreille humaine</w:t>
      </w:r>
      <w:r w:rsidRPr="00F77269">
        <w:rPr>
          <w:lang w:val="fr-FR"/>
        </w:rPr>
        <w:t>.</w:t>
      </w:r>
      <w:r>
        <w:rPr>
          <w:lang w:val="fr-FR"/>
        </w:rPr>
        <w:t xml:space="preserve"> Par convention, la fréquence de 1000 Hz correspond à 1000 mel. Les autres fréquences mel sont ajustées de façon à ce qu’une augmentation de la fréquence mel corresponde à la même augmentation de la tonalité perçue.</w:t>
      </w:r>
      <w:r w:rsidR="005F3BB4">
        <w:rPr>
          <w:lang w:val="fr-FR"/>
        </w:rPr>
        <w:t xml:space="preserve"> Cela conduit à la fonction Mel suivante :</w:t>
      </w:r>
    </w:p>
    <w:p w:rsidR="005F3BB4" w:rsidRDefault="005F3BB4" w:rsidP="005F3BB4">
      <w:pPr>
        <w:ind w:firstLine="720"/>
        <w:jc w:val="both"/>
        <w:rPr>
          <w:lang w:val="fr-FR"/>
        </w:rPr>
      </w:pPr>
    </w:p>
    <w:p w:rsidR="005F3BB4" w:rsidRPr="005F3BB4" w:rsidRDefault="005F3BB4" w:rsidP="005F3BB4">
      <w:pPr>
        <w:pStyle w:val="Standard"/>
        <w:jc w:val="both"/>
      </w:pPr>
      <m:oMathPara>
        <m:oMath>
          <m:r>
            <w:rPr>
              <w:rFonts w:ascii="Cambria Math" w:hAnsi="Cambria Math"/>
            </w:rPr>
            <m:t>mel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2595∙log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700</m:t>
                  </m:r>
                </m:den>
              </m:f>
            </m:e>
          </m:d>
        </m:oMath>
      </m:oMathPara>
    </w:p>
    <w:p w:rsidR="005F3BB4" w:rsidRPr="005F3BB4" w:rsidRDefault="005F3BB4" w:rsidP="005F3BB4">
      <w:pPr>
        <w:pStyle w:val="Standard"/>
        <w:jc w:val="both"/>
      </w:pPr>
    </w:p>
    <w:p w:rsidR="005F3BB4" w:rsidRDefault="005F3BB4" w:rsidP="005F3BB4">
      <w:pPr>
        <w:pStyle w:val="Standard"/>
      </w:pPr>
      <w:r>
        <w:tab/>
        <w:t>On remarque que le poids des hautes fréquences (supérieures à 1000 Hz) est diminué tandis que le poids des basses fréquences (inférieur à 1000 Hz) est augmenté.</w:t>
      </w:r>
    </w:p>
    <w:p w:rsidR="005F3BB4" w:rsidRDefault="005F3BB4">
      <w:pPr>
        <w:rPr>
          <w:lang w:val="fr-FR"/>
        </w:rPr>
      </w:pPr>
      <w:r>
        <w:rPr>
          <w:noProof/>
        </w:rPr>
        <w:drawing>
          <wp:inline distT="0" distB="0" distL="0" distR="0" wp14:anchorId="68D01D90" wp14:editId="130B1533">
            <wp:extent cx="5955406" cy="4486275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11" cy="448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B4" w:rsidRDefault="005F3BB4">
      <w:pPr>
        <w:rPr>
          <w:lang w:val="fr-FR"/>
        </w:rPr>
      </w:pPr>
    </w:p>
    <w:p w:rsidR="00F77269" w:rsidRPr="00F77269" w:rsidRDefault="005F3BB4">
      <w:pPr>
        <w:rPr>
          <w:lang w:val="fr-FR"/>
        </w:rPr>
      </w:pPr>
      <w:r>
        <w:rPr>
          <w:lang w:val="fr-FR"/>
        </w:rPr>
        <w:t>Il</w:t>
      </w:r>
      <w:r w:rsidR="00F77269">
        <w:rPr>
          <w:lang w:val="fr-FR"/>
        </w:rPr>
        <w:t xml:space="preserve"> est préférable d’employer cette échelle de fréquence dans l’algorithme de reconnaissance : ce dernier doit en effet différencier plusieurs mots </w:t>
      </w:r>
      <w:r w:rsidR="00F77269" w:rsidRPr="005F3BB4">
        <w:rPr>
          <w:b/>
          <w:lang w:val="fr-FR"/>
        </w:rPr>
        <w:t>selon la perception humaine</w:t>
      </w:r>
      <w:r w:rsidR="00F77269">
        <w:rPr>
          <w:lang w:val="fr-FR"/>
        </w:rPr>
        <w:t xml:space="preserve">, c’est-à-dire </w:t>
      </w:r>
      <w:r>
        <w:rPr>
          <w:lang w:val="fr-FR"/>
        </w:rPr>
        <w:t xml:space="preserve">en simulant le </w:t>
      </w:r>
      <w:r w:rsidR="00F77269">
        <w:rPr>
          <w:lang w:val="fr-FR"/>
        </w:rPr>
        <w:t xml:space="preserve"> comportement de l’</w:t>
      </w:r>
      <w:r>
        <w:rPr>
          <w:lang w:val="fr-FR"/>
        </w:rPr>
        <w:t>oreille humaine.</w:t>
      </w:r>
    </w:p>
    <w:sectPr w:rsidR="00F77269" w:rsidRPr="00F772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450" w:rsidRDefault="00B67450" w:rsidP="002D2773">
      <w:pPr>
        <w:spacing w:after="0" w:line="240" w:lineRule="auto"/>
      </w:pPr>
      <w:r>
        <w:separator/>
      </w:r>
    </w:p>
  </w:endnote>
  <w:endnote w:type="continuationSeparator" w:id="0">
    <w:p w:rsidR="00B67450" w:rsidRDefault="00B67450" w:rsidP="002D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450" w:rsidRDefault="00B67450" w:rsidP="002D2773">
      <w:pPr>
        <w:spacing w:after="0" w:line="240" w:lineRule="auto"/>
      </w:pPr>
      <w:r>
        <w:separator/>
      </w:r>
    </w:p>
  </w:footnote>
  <w:footnote w:type="continuationSeparator" w:id="0">
    <w:p w:rsidR="00B67450" w:rsidRDefault="00B67450" w:rsidP="002D2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69"/>
    <w:rsid w:val="002D2773"/>
    <w:rsid w:val="003E7D28"/>
    <w:rsid w:val="00537FC3"/>
    <w:rsid w:val="005F3BB4"/>
    <w:rsid w:val="00AF0AA2"/>
    <w:rsid w:val="00B67450"/>
    <w:rsid w:val="00F7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A841C-4D3F-48B6-887C-90156BA3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27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2773"/>
  </w:style>
  <w:style w:type="paragraph" w:styleId="Pieddepage">
    <w:name w:val="footer"/>
    <w:basedOn w:val="Normal"/>
    <w:link w:val="PieddepageCar"/>
    <w:uiPriority w:val="99"/>
    <w:unhideWhenUsed/>
    <w:rsid w:val="002D27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2773"/>
  </w:style>
  <w:style w:type="paragraph" w:customStyle="1" w:styleId="Standard">
    <w:name w:val="Standard"/>
    <w:rsid w:val="005F3BB4"/>
    <w:pPr>
      <w:tabs>
        <w:tab w:val="left" w:pos="708"/>
      </w:tabs>
      <w:suppressAutoHyphens/>
      <w:spacing w:line="256" w:lineRule="auto"/>
    </w:pPr>
    <w:rPr>
      <w:rFonts w:ascii="Calibri" w:eastAsia="WenQuanYi Micro He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Goering</dc:creator>
  <cp:keywords/>
  <dc:description/>
  <cp:lastModifiedBy>Axel Goering</cp:lastModifiedBy>
  <cp:revision>2</cp:revision>
  <dcterms:created xsi:type="dcterms:W3CDTF">2013-12-04T13:12:00Z</dcterms:created>
  <dcterms:modified xsi:type="dcterms:W3CDTF">2013-12-04T13:12:00Z</dcterms:modified>
</cp:coreProperties>
</file>