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Taylor Bornstein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Fredericksburg, VA (Remote)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617-458-6249 | taylor.spear@gmail.com</w:t>
      </w:r>
    </w:p>
    <w:p>
      <w:pPr>
        <w:spacing w:after="300"/>
      </w:pPr>
      <w:r>
        <w:rPr>
          <w:rFonts w:ascii="Cambria" w:cs="Cambria" w:eastAsia="Cambria" w:hAnsi="Cambria"/>
          <w:sz w:val="22"/>
          <w:szCs w:val="22"/>
        </w:rPr>
        <w:t xml:space="preserve">taylorbornstein.com | linkedin.com/in/taylorscribnerspear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Dear Hiring Team,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SASE buyers now get their first answer from an AI engine, not a search results page or a vendor's own site. That shift is the discovery problem this role is built to solve.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I've spent the last several months solving exactly that at Bolt.new. I diagnosed where we were losing ground in AI-answer visibility, then built and executed the content strategy to close the gap. We held the #1 spot for AI-answer visibility in our category. Own-domain citations grew from 786 to 1,809 in a single month, a jump from #9 to #5 among all cited domains.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The rest of the mandate is familiar too. At Mendix, I planned and executed a flagship research program: an original global survey that anchored an integrated campaign. It landed 75% more coverage than prior surveys and $10M in influenced pipeline. I ran that program alongside a five-agency PR operation spanning the US, UK, Benelux, DACH, and Singapore. None of them reported to me. I held every one to the same bar regardless of market.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 also build the infrastructure a content function runs on: editorial calendars, AI tooling, and the standards that keep quality consistent when I'm not reviewing every asset myself.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I'd welcome a conversation about where Cato's content already has the credibility to lead the category conversation, and where it doesn't yet.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Best,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Taylor Bornstein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2026-09-15T19:24:54.130Z</dcterms:created>
  <dcterms:modified xsi:type="dcterms:W3CDTF">2026-09-15T19:24:54.130Z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