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mbria" w:cs="Cambria" w:eastAsia="Cambria" w:hAnsi="Cambria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mbria" w:cs="Cambria" w:eastAsia="Cambria" w:hAnsi="Cambria"/>
          <w:sz w:val="20"/>
          <w:szCs w:val="20"/>
        </w:rPr>
        <w:t xml:space="preserve">Content director who builds editorial strategy and the systems that scale it for technical, high-stakes B2B categories, spanning enterprise software and developer platforms, where the audience runs from practitioners to executives. Track record turning flagship research programs and AI-driven discovery work into measurable market authority.</w:t>
      </w:r>
    </w:p>
    <w:p>
      <w:pPr>
        <w:spacing w:after="0"/>
      </w:pPr>
      <w:r>
        <w:rPr>
          <w:rFonts w:ascii="Cambria" w:cs="Cambria" w:eastAsia="Cambria" w:hAnsi="Cambria"/>
          <w:b/>
          <w:bCs/>
          <w:color w:val="333333"/>
          <w:sz w:val="18"/>
          <w:szCs w:val="18"/>
        </w:rPr>
        <w:t xml:space="preserve">Editorial Strategy &amp; Thought Leadership  ·  Flagship Research Programs  ·  AI-Driven Discovery (GEO/AEO)  ·  Cross-Functional Influence Without Direct Authority  ·  Content Standards &amp; Governance  ·  PR &amp; Executive Communications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mbria" w:cs="Cambria" w:eastAsia="Cambria" w:hAnsi="Cambria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Bolt.new — Content and Communications Director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Own content strategy for AI-driven discovery: diagnosed AI-answer visibility and citation gaps, then built and executed a GEO/AEO strategy that grew own-domain citations from 786 to 1,809 in a month (#9 → #5 among all cited domains) while holding #1 in category AI-answer visibility.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Led foundational brand work spanning mission, vision, tone of voice, and editorial guidelines: the standards that keep content consistent across the internal team, external creators, and agency partners.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Built and rolled out a company-wide AI tooling suite for research, writing, and editorial review, plus a measurement framework connecting content and PR performance to business metrics.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Established a new PR program from the ground up: defined the target audience, mapped the media universe, and expanded the spokesperson bench from 1 to 6, extending earned coverage beyond the US into the UK.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Set content strategy across B2B and B2C messaging and built a customer story pipeline from original customer research.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Owned Mendix's flagship research and thought-leadership program: planned and executed an integrated campaign anchored on an original global survey in 4 months, landing 75% more coverage than prior years within 3 weeks and $10M in influenced pipeline.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Directed a data-driven PR program across 5 agencies spanning the US, UK, Benelux, DACH, and Singapore, none of them reporting to me, holding every market to the same editorial bar; drove earned media to 60% of tier-1 coverage, a 40% YoY increase.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Aligned content and PR strategy with marketing leadership and company KPIs, and optimized a $1M annual budget toward the highest-impact programs.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Grew the content team from 1 to 9 writers and strategists in 9 months, building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Built an executive thought-leadership program that lifted engagement 80% within 6 months.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Recovered a 22% YoY organic traffic deficit with 4 new SEO-optimized, pain-point-focused content pillars.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Copywriter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Established Mendix's brand voice and editorial guidelines across every content format: the standards a fast-growing content org still runs on.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Iron Mountain — Marketing Copywriter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Built a thought-leadership microsite from concept through launch and ran full-funnel, multi-channel content plans across multiple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2009 – 2014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Managed and trained a team of 5–8 writers producing high-volume copy across a portfolio of consumer retail brands, maintaining a distinct voice for each.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mbria" w:cs="Cambria" w:eastAsia="Cambria" w:hAnsi="Cambria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mbria" w:cs="Cambria" w:eastAsia="Cambria" w:hAnsi="Cambria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2026-09-15T19:24:54.092Z</dcterms:created>
  <dcterms:modified xsi:type="dcterms:W3CDTF">2026-09-15T19:24:54.105Z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