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mbria" w:cs="Cambria" w:eastAsia="Cambria" w:hAnsi="Cambria"/>
          <w:b/>
          <w:bCs/>
          <w:sz w:val="34"/>
          <w:szCs w:val="34"/>
        </w:rPr>
        <w:t xml:space="preserve">Taylor Bornstein</w:t>
      </w:r>
    </w:p>
    <w:p>
      <w:pPr>
        <w:spacing w:after="100"/>
        <w:jc w:val="center"/>
      </w:pPr>
      <w:r>
        <w:rPr>
          <w:rFonts w:ascii="Cambria" w:cs="Cambria" w:eastAsia="Cambria" w:hAnsi="Cambria"/>
          <w:color w:val="444444"/>
          <w:sz w:val="18"/>
          <w:szCs w:val="18"/>
        </w:rPr>
        <w:t xml:space="preserve">Fredericksburg, VA (Remote)  |  617-458-6249  |  taylor.spear@gmail.com  |  taylorbornstein.com  |  linkedin.com/in/taylorscribnerspear</w:t>
      </w:r>
    </w:p>
    <w:p>
      <w:pPr>
        <w:pBdr>
          <w:bottom w:val="single" w:color="444444" w:sz="6" w:space="1"/>
        </w:pBdr>
        <w:spacing w:after="60" w:before="60"/>
      </w:pPr>
    </w:p>
    <w:p>
      <w:pPr>
        <w:spacing w:after="60" w:before="40"/>
      </w:pPr>
      <w:r>
        <w:rPr>
          <w:rFonts w:ascii="Cambria" w:cs="Cambria" w:eastAsia="Cambria" w:hAnsi="Cambria"/>
          <w:sz w:val="20"/>
          <w:szCs w:val="20"/>
        </w:rPr>
        <w:t xml:space="preserve">Content director who builds editorial strategy and the systems that scale it for technical, high-stakes B2B categories, spanning enterprise software and developer platforms, where the audience runs from practitioners to executives. Track record turning flagship research programs and AI-driven discovery work into measurable market authority.</w:t>
      </w:r>
    </w:p>
    <w:p>
      <w:pPr>
        <w:spacing w:after="0"/>
      </w:pPr>
      <w:r>
        <w:rPr>
          <w:rFonts w:ascii="Cambria" w:cs="Cambria" w:eastAsia="Cambria" w:hAnsi="Cambria"/>
          <w:b/>
          <w:bCs/>
          <w:color w:val="333333"/>
          <w:sz w:val="18"/>
          <w:szCs w:val="18"/>
        </w:rPr>
        <w:t xml:space="preserve">Editorial Strategy &amp; Thought Leadership  ·  Flagship Research Programs  ·  AI-Driven Discovery (GEO/AEO)  ·  Cross-Functional Influence Without Direct Authority  ·  Content Standards &amp; Governance  ·  PR &amp; Executive Communications</w:t>
      </w:r>
    </w:p>
    <w:p>
      <w:pPr>
        <w:pBdr>
          <w:bottom w:val="single" w:color="888888" w:sz="4" w:space="2"/>
        </w:pBdr>
        <w:spacing w:after="40" w:before="140"/>
      </w:pPr>
      <w:r>
        <w:rPr>
          <w:rFonts w:ascii="Cambria" w:cs="Cambria" w:eastAsia="Cambria" w:hAnsi="Cambria"/>
          <w:b/>
          <w:bCs/>
          <w:color w:val="1A1A1A"/>
          <w:spacing w:val="12"/>
          <w:sz w:val="20"/>
          <w:szCs w:val="20"/>
        </w:rPr>
        <w:t xml:space="preserve">EXPERIENCE</w:t>
      </w:r>
    </w:p>
    <w:p>
      <w:pPr>
        <w:tabs>
          <w:tab w:val="right" w:pos="10800"/>
        </w:tabs>
        <w:spacing w:after="20" w:before="100"/>
      </w:pPr>
      <w:r>
        <w:rPr>
          <w:rFonts w:ascii="Cambria" w:cs="Cambria" w:eastAsia="Cambria" w:hAnsi="Cambria"/>
          <w:b/>
          <w:bCs/>
          <w:sz w:val="20"/>
          <w:szCs w:val="20"/>
        </w:rPr>
        <w:t xml:space="preserve">Bolt.new — Content and Communications Director</w:t>
      </w:r>
      <w:r>
        <w:rPr>
          <w:rFonts w:ascii="Cambria" w:cs="Cambria" w:eastAsia="Cambria" w:hAnsi="Cambria"/>
          <w:i/>
          <w:iCs/>
          <w:color w:val="444444"/>
          <w:sz w:val="18"/>
          <w:szCs w:val="18"/>
        </w:rPr>
        <w:t xml:space="preserve">	Feb 2026 – Present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Own content strategy for AI-driven discovery: diagnosed AI-answer visibility and citation gaps, then built and executed a GEO/AEO strategy that grew own-domain citations from 786 to 1,809 in a month (#9 → #5 among all cited domains) while holding #1 in category AI-answer visibility.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Led foundational brand work spanning mission, vision, tone of voice, and editorial guidelines: the standards that keep content consistent across the internal team, external creators, and agency partners.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Built and rolled out a company-wide AI tooling suite for research, writing, and editorial review, plus a measurement framework connecting content and PR performance to business metrics.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Established a new PR program from the ground up: defined the target audience, mapped the media universe, and expanded the spokesperson bench from 1 to 6, extending earned coverage beyond the US into the UK.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Set content strategy across B2B and B2C messaging and built a customer story pipeline from original customer research.</w:t>
      </w:r>
    </w:p>
    <w:p>
      <w:pPr>
        <w:tabs>
          <w:tab w:val="right" w:pos="10800"/>
        </w:tabs>
        <w:spacing w:after="20" w:before="100"/>
      </w:pPr>
      <w:r>
        <w:rPr>
          <w:rFonts w:ascii="Cambria" w:cs="Cambria" w:eastAsia="Cambria" w:hAnsi="Cambria"/>
          <w:b/>
          <w:bCs/>
          <w:sz w:val="20"/>
          <w:szCs w:val="20"/>
        </w:rPr>
        <w:t xml:space="preserve">Mendix — Director of Content Marketing and Public Relations</w:t>
      </w:r>
      <w:r>
        <w:rPr>
          <w:rFonts w:ascii="Cambria" w:cs="Cambria" w:eastAsia="Cambria" w:hAnsi="Cambria"/>
          <w:i/>
          <w:iCs/>
          <w:color w:val="444444"/>
          <w:sz w:val="18"/>
          <w:szCs w:val="18"/>
        </w:rPr>
        <w:t xml:space="preserve">	Jul 2023 – Feb 2026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Owned Mendix's flagship research and thought-leadership program: planned and executed an integrated campaign anchored on an original global survey in 4 months, landing 75% more coverage than prior years within 3 weeks and $10M in influenced pipeline.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Directed a data-driven PR program across 5 agencies spanning the US, UK, Benelux, DACH, and Singapore, none of them reporting to me, holding every market to the same editorial bar; drove earned media to 60% of tier-1 coverage, a 40% YoY increase.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Aligned content and PR strategy with marketing leadership and company KPIs, and optimized a $1M annual budget toward the highest-impact programs.</w:t>
      </w:r>
    </w:p>
    <w:p>
      <w:pPr>
        <w:tabs>
          <w:tab w:val="right" w:pos="10800"/>
        </w:tabs>
        <w:spacing w:after="20" w:before="100"/>
      </w:pPr>
      <w:r>
        <w:rPr>
          <w:rFonts w:ascii="Cambria" w:cs="Cambria" w:eastAsia="Cambria" w:hAnsi="Cambria"/>
          <w:b/>
          <w:bCs/>
          <w:sz w:val="20"/>
          <w:szCs w:val="20"/>
        </w:rPr>
        <w:t xml:space="preserve">Mendix — Senior Manager &amp; Manager, Content Marketing</w:t>
      </w:r>
      <w:r>
        <w:rPr>
          <w:rFonts w:ascii="Cambria" w:cs="Cambria" w:eastAsia="Cambria" w:hAnsi="Cambria"/>
          <w:i/>
          <w:iCs/>
          <w:color w:val="444444"/>
          <w:sz w:val="18"/>
          <w:szCs w:val="18"/>
        </w:rPr>
        <w:t xml:space="preserve">	May 2020 – Jul 2023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Grew the content team from 1 to 9 writers and strategists in 9 months, building the editorial calendar and full-funnel content program that scaled with it.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Redefined social content strategy, 2 platforms to 4 in 3 months, saving $132K annually in agency costs.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Recovered a 22% YoY organic traffic deficit with 4 new SEO-optimized, pain-point-focused content pillars.</w:t>
      </w:r>
    </w:p>
    <w:p>
      <w:pPr>
        <w:tabs>
          <w:tab w:val="right" w:pos="10800"/>
        </w:tabs>
        <w:spacing w:after="20" w:before="100"/>
      </w:pPr>
      <w:r>
        <w:rPr>
          <w:rFonts w:ascii="Cambria" w:cs="Cambria" w:eastAsia="Cambria" w:hAnsi="Cambria"/>
          <w:b/>
          <w:bCs/>
          <w:sz w:val="20"/>
          <w:szCs w:val="20"/>
        </w:rPr>
        <w:t xml:space="preserve">Mendix — Copywriter</w:t>
      </w:r>
      <w:r>
        <w:rPr>
          <w:rFonts w:ascii="Cambria" w:cs="Cambria" w:eastAsia="Cambria" w:hAnsi="Cambria"/>
          <w:i/>
          <w:iCs/>
          <w:color w:val="444444"/>
          <w:sz w:val="18"/>
          <w:szCs w:val="18"/>
        </w:rPr>
        <w:t xml:space="preserve">	Sep 2019 – Apr 2020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Established Mendix's brand voice and editorial guidelines across every content format: the standards a fast-growing content org still runs on.</w:t>
      </w:r>
    </w:p>
    <w:p>
      <w:pPr>
        <w:tabs>
          <w:tab w:val="right" w:pos="10800"/>
        </w:tabs>
        <w:spacing w:after="20" w:before="100"/>
      </w:pPr>
      <w:r>
        <w:rPr>
          <w:rFonts w:ascii="Cambria" w:cs="Cambria" w:eastAsia="Cambria" w:hAnsi="Cambria"/>
          <w:b/>
          <w:bCs/>
          <w:sz w:val="20"/>
          <w:szCs w:val="20"/>
        </w:rPr>
        <w:t xml:space="preserve">Iron Mountain — Marketing Copywriter</w:t>
      </w:r>
      <w:r>
        <w:rPr>
          <w:rFonts w:ascii="Cambria" w:cs="Cambria" w:eastAsia="Cambria" w:hAnsi="Cambria"/>
          <w:i/>
          <w:iCs/>
          <w:color w:val="444444"/>
          <w:sz w:val="18"/>
          <w:szCs w:val="18"/>
        </w:rPr>
        <w:t xml:space="preserve">	Sep 2016 – Aug 2019  |  Boston, MA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Built a thought-leadership microsite from concept through launch and ran full-funnel, multi-channel content plans across multiple product lines and geographies.</w:t>
      </w:r>
    </w:p>
    <w:p>
      <w:pPr>
        <w:tabs>
          <w:tab w:val="right" w:pos="10800"/>
        </w:tabs>
        <w:spacing w:after="20" w:before="100"/>
      </w:pPr>
      <w:r>
        <w:rPr>
          <w:rFonts w:ascii="Cambria" w:cs="Cambria" w:eastAsia="Cambria" w:hAnsi="Cambria"/>
          <w:b/>
          <w:bCs/>
          <w:sz w:val="20"/>
          <w:szCs w:val="20"/>
        </w:rPr>
        <w:t xml:space="preserve">Internet Brands — Content Editor &amp; Manager, Retail Marketing</w:t>
      </w:r>
      <w:r>
        <w:rPr>
          <w:rFonts w:ascii="Cambria" w:cs="Cambria" w:eastAsia="Cambria" w:hAnsi="Cambria"/>
          <w:i/>
          <w:iCs/>
          <w:color w:val="444444"/>
          <w:sz w:val="18"/>
          <w:szCs w:val="18"/>
        </w:rPr>
        <w:t xml:space="preserve">	2009 – 2014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Managed and trained a team of 5–8 writers producing high-volume copy across a portfolio of consumer retail brands, maintaining a distinct voice for each.</w:t>
      </w:r>
    </w:p>
    <w:p>
      <w:pPr>
        <w:pBdr>
          <w:bottom w:val="single" w:color="888888" w:sz="4" w:space="2"/>
        </w:pBdr>
        <w:spacing w:after="40" w:before="140"/>
      </w:pPr>
      <w:r>
        <w:rPr>
          <w:rFonts w:ascii="Cambria" w:cs="Cambria" w:eastAsia="Cambria" w:hAnsi="Cambria"/>
          <w:b/>
          <w:bCs/>
          <w:color w:val="1A1A1A"/>
          <w:spacing w:val="12"/>
          <w:sz w:val="20"/>
          <w:szCs w:val="20"/>
        </w:rPr>
        <w:t xml:space="preserve">EDUCATION</w:t>
      </w:r>
    </w:p>
    <w:p>
      <w:pPr>
        <w:spacing w:after="0"/>
      </w:pPr>
      <w:r>
        <w:rPr>
          <w:rFonts w:ascii="Cambria" w:cs="Cambria" w:eastAsia="Cambria" w:hAnsi="Cambria"/>
          <w:sz w:val="20"/>
          <w:szCs w:val="20"/>
        </w:rPr>
        <w:t xml:space="preserve">MA in Creative Writing, University of Warwick  ·  BA in English &amp; Spanish, University of Vermont (cum laude)</w:t>
      </w:r>
    </w:p>
    <w:sectPr>
      <w:pgSz w:w="12240" w:h="15840" w:orient="portrait"/>
      <w:pgMar w:top="460" w:right="576" w:bottom="460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60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2026-09-15T19:24:54.092Z</dcterms:created>
  <dcterms:modified xsi:type="dcterms:W3CDTF">2026-09-15T19:24:54.105Z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