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z w:val="34"/>
          <w:szCs w:val="34"/>
        </w:rPr>
        <w:t xml:space="preserve">Taylor Bornstein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22"/>
          <w:szCs w:val="22"/>
        </w:rPr>
        <w:t xml:space="preserve">Director of Content &amp; Communications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444444"/>
          <w:sz w:val="18"/>
          <w:szCs w:val="18"/>
        </w:rPr>
        <w:t xml:space="preserve">Fredericksburg, VA (Remote)  |  617-458-6249  |  taylor.spear@gmail.com  |  taylorbornstein.com  |  linkedin.com/in/taylorscribnerspear</w:t>
      </w:r>
    </w:p>
    <w:p>
      <w:pPr>
        <w:pBdr>
          <w:bottom w:val="single" w:color="444444" w:sz="6" w:space="1"/>
        </w:pBdr>
        <w:spacing w:after="60" w:before="60"/>
      </w:pPr>
    </w:p>
    <w:p>
      <w:pPr>
        <w:spacing w:after="60" w:before="40"/>
      </w:pPr>
      <w:r>
        <w:rPr>
          <w:rFonts w:ascii="Calibri" w:cs="Calibri" w:eastAsia="Calibri" w:hAnsi="Calibri"/>
          <w:sz w:val="20"/>
          <w:szCs w:val="20"/>
        </w:rPr>
        <w:t xml:space="preserve">Content and communications leader who builds the systems — editorial infrastructure, AI tooling, measurement, and teams — that let technical companies say something worth reading, consistently. A decade shaping how tech brands talk to developers, engineering managers, and executives.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333333"/>
          <w:sz w:val="18"/>
          <w:szCs w:val="18"/>
        </w:rPr>
        <w:t xml:space="preserve">Content Strategy &amp; Editorial Programs  ·  Team Building  ·  AI Tooling for Content  ·  PR &amp; Thought Leadership  ·  SEO / GEO &amp; Attribution  ·  B2B &amp; B2C Messaging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EXPERIENCE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Bolt.new — Content and Communications Director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Feb 2026 – Present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and rolled out an AI-powered tool stack for content strategy, copywriting, editing, and research, including a Claude-linked copy desk for editorial review, distributed company-wide and across the creator and agency network.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a new PR program from the ground up: defined the enterprise audience, mapped the media universe, and expanded the spokesperson bench from 1 to 6.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Extended earned media coverage beyond the US into the UK; built a measurement framework for PR and GEO/AEO performance.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Set content strategy across B2B and B2C messaging; launched a new blog and increased publication cadence from 1–2 posts/month to 1–2/week.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Led foundational brand work spanning mission, vision, tone of voice, and editorial guidelines; built a customer story pipeline sourced from B2C customers.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Director of Content Marketing and Public Relations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2023 – Feb 2026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Ran a data-driven PR program across 5 agencies (US, UK, Benelux, DACH, Singapore); drove earned media to 60% of total coverage in tier-1 publications, a 40% YoY increase.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Optimized a $1M annual budget, reallocating toward high-impact initiatives.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Planned and executed an integrated campaign built on an original global survey in 4 months: coverage up 75% within 3 weeks, $10M influenced pipeline.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Senior Manager &amp; Manager, Content Marketing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2020 – Jul 2023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Grew the content team from 1 to 9 writers and content strategists in 9 months; built the editorial calendar and full-funnel content program that scaled with it.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Recovered a 22% YoY web traffic deficit with 4 new SEO-optimized, pain-point-focused content BOMs.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Redefined social content strategy (2 platforms to 4 in 3 months), saving $132K annually in agency costs; launched an executive thought-leadership program that lifted engagement 80% in 6 months.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Mendix —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Sep 2019 – Sep 2020  |  Remote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Established the Mendix brand voice and editorial guidelines across blogs, ebooks, white papers, webinars, video, events, and email.</w:t>
      </w:r>
    </w:p>
    <w:p>
      <w:pPr>
        <w:tabs>
          <w:tab w:val="right" w:pos="10800"/>
        </w:tabs>
        <w:spacing w:after="20" w:before="10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Iron Mountain — Marketing Copywriter</w:t>
      </w:r>
      <w:r>
        <w:rPr>
          <w:rFonts w:ascii="Calibri" w:cs="Calibri" w:eastAsia="Calibri" w:hAnsi="Calibri"/>
          <w:i/>
          <w:iCs/>
          <w:color w:val="444444"/>
          <w:sz w:val="18"/>
          <w:szCs w:val="18"/>
        </w:rPr>
        <w:t xml:space="preserve">	Jul 2015 – Aug 2019  |  Boston, MA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Calibri" w:cs="Calibri" w:eastAsia="Calibri" w:hAnsi="Calibri"/>
          <w:sz w:val="20"/>
          <w:szCs w:val="20"/>
        </w:rPr>
        <w:t xml:space="preserve">Built a thought-leadership microsite from concept through launch; implemented full-funnel, multi-channel content plans tailored to customer personas across product lines and geographies.</w:t>
      </w:r>
    </w:p>
    <w:p>
      <w:pPr>
        <w:pBdr>
          <w:bottom w:val="single" w:color="888888" w:sz="4" w:space="2"/>
        </w:pBdr>
        <w:spacing w:after="40" w:before="140"/>
      </w:pPr>
      <w:r>
        <w:rPr>
          <w:rFonts w:ascii="Calibri" w:cs="Calibri" w:eastAsia="Calibri" w:hAnsi="Calibri"/>
          <w:b/>
          <w:bCs/>
          <w:color w:val="1A1A1A"/>
          <w:spacing w:val="12"/>
          <w:sz w:val="20"/>
          <w:szCs w:val="20"/>
        </w:rPr>
        <w:t xml:space="preserve">EDUCATION</w:t>
      </w:r>
    </w:p>
    <w:p>
      <w:pPr>
        <w:spacing w:after="0"/>
      </w:pPr>
      <w:r>
        <w:rPr>
          <w:rFonts w:ascii="Calibri" w:cs="Calibri" w:eastAsia="Calibri" w:hAnsi="Calibri"/>
          <w:sz w:val="20"/>
          <w:szCs w:val="20"/>
        </w:rPr>
        <w:t xml:space="preserve">MA in Writing, University of Warwick  ·  BA in English &amp; Spanish, University of Vermont (cum laude)</w:t>
      </w:r>
    </w:p>
    <w:sectPr>
      <w:pgSz w:w="12240" w:h="15840" w:orient="portrait"/>
      <w:pgMar w:top="460" w:right="576" w:bottom="460" w:left="57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60" w:hanging="1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2026-09-01T20:56:53.454Z</dcterms:created>
  <dcterms:modified xsi:type="dcterms:W3CDTF">2026-09-01T20:56:53.467Z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