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Noto Sans" w:cs="Noto Sans" w:eastAsia="Noto Sans" w:hAnsi="Noto Sans"/>
          <w:b/>
          <w:bCs/>
          <w:sz w:val="28"/>
          <w:szCs w:val="28"/>
        </w:rPr>
        <w:t xml:space="preserve">Taylor Bornstein</w:t>
      </w:r>
    </w:p>
    <w:p>
      <w:pPr>
        <w:spacing w:after="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Fredericksburg, VA (Remote)</w:t>
      </w:r>
    </w:p>
    <w:p>
      <w:pPr>
        <w:spacing w:after="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617-458-6249 | taylor.spear@gmail.com</w:t>
      </w:r>
    </w:p>
    <w:p>
      <w:pPr>
        <w:spacing w:after="300"/>
      </w:pPr>
      <w:r>
        <w:rPr>
          <w:rFonts w:ascii="Noto Sans" w:cs="Noto Sans" w:eastAsia="Noto Sans" w:hAnsi="Noto Sans"/>
          <w:color w:val="444444"/>
          <w:sz w:val="20"/>
          <w:szCs w:val="20"/>
        </w:rPr>
        <w:t xml:space="preserve">taylorbornstein.com | linkedin.com/in/taylorscribnerspear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Chartbeat, Tubular Labs, Lineup Systems, and FatTail each hold a different piece of the same story: how content performs, where it travels, and what it's worth. Here's the content opportunity I'd want to build against first: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Make the four products tell one story. </w:t>
      </w:r>
      <w:r>
        <w:rPr>
          <w:rFonts w:ascii="Noto Sans" w:cs="Noto Sans" w:eastAsia="Noto Sans" w:hAnsi="Noto Sans"/>
          <w:sz w:val="22"/>
          <w:szCs w:val="22"/>
        </w:rPr>
        <w:t xml:space="preserve">Positioned separately, they read as a bundle of tools. Positioned together, this is the one company that can publish the full content-to-revenue picture: attention, distribution, and yield in one dataset no competitor has.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Turn that data into a flagship research program. </w:t>
      </w:r>
      <w:r>
        <w:rPr>
          <w:rFonts w:ascii="Noto Sans" w:cs="Noto Sans" w:eastAsia="Noto Sans" w:hAnsi="Noto Sans"/>
          <w:sz w:val="22"/>
          <w:szCs w:val="22"/>
        </w:rPr>
        <w:t xml:space="preserve">Aggregated, anonymized engagement and yield data at this scale is the kind of proprietary dataset that makes news on its own: the shape of an annual State of Attention report trade press cites on its own terms.</w:t>
      </w:r>
    </w:p>
    <w:p>
      <w:pPr>
        <w:spacing w:after="200"/>
      </w:pPr>
      <w:r>
        <w:rPr>
          <w:rFonts w:ascii="Noto Sans" w:cs="Noto Sans" w:eastAsia="Noto Sans" w:hAnsi="Noto Sans"/>
          <w:b/>
          <w:bCs/>
          <w:sz w:val="22"/>
          <w:szCs w:val="22"/>
        </w:rPr>
        <w:t xml:space="preserve">Write it for the person making the budget call. </w:t>
      </w:r>
      <w:r>
        <w:rPr>
          <w:rFonts w:ascii="Noto Sans" w:cs="Noto Sans" w:eastAsia="Noto Sans" w:hAnsi="Noto Sans"/>
          <w:sz w:val="22"/>
          <w:szCs w:val="22"/>
        </w:rPr>
        <w:t xml:space="preserve">The audience here is publisher and media-company leadership deciding where investment goes next. Content that's useful to that decision earns trust a traffic number doesn't.</w:t>
      </w:r>
    </w:p>
    <w:p>
      <w:pPr>
        <w:spacing w:after="200"/>
      </w:pPr>
      <w:r>
        <w:rPr>
          <w:rFonts w:ascii="Noto Sans" w:cs="Noto Sans" w:eastAsia="Noto Sans" w:hAnsi="Noto Sans"/>
          <w:sz w:val="22"/>
          <w:szCs w:val="22"/>
        </w:rPr>
        <w:t xml:space="preserve">I've built exactly that kind of program before: an original research campaign at Mendix that became the company's biggest earned-media and pipeline driver in a single year. I'd like to build this one.</w:t>
      </w:r>
    </w:p>
    <w:p>
      <w:pPr>
        <w:spacing w:after="0" w:before="200"/>
      </w:pPr>
      <w:r>
        <w:rPr>
          <w:rFonts w:ascii="Noto Sans" w:cs="Noto Sans" w:eastAsia="Noto Sans" w:hAnsi="Noto Sans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Noto Sans" w:cs="Noto Sans" w:eastAsia="Noto Sans" w:hAnsi="Noto Sans"/>
          <w:sz w:val="22"/>
          <w:szCs w:val="22"/>
        </w:rPr>
        <w:t xml:space="preserve">Taylor Bornstein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2026-10-08T00:39:06.659Z</dcterms:created>
  <dcterms:modified xsi:type="dcterms:W3CDTF">2026-10-08T00:39:06.660Z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