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oto Sans" w:cs="Noto Sans" w:eastAsia="Noto Sans" w:hAnsi="Noto Sans"/>
          <w:b/>
          <w:bCs/>
          <w:sz w:val="32"/>
          <w:szCs w:val="32"/>
        </w:rPr>
        <w:t xml:space="preserve">Taylor Bornstein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120" w:before="60"/>
        <w:jc w:val="center"/>
      </w:pPr>
      <w:r>
        <w:rPr>
          <w:rFonts w:ascii="Noto Sans" w:cs="Noto Sans" w:eastAsia="Noto Sans" w:hAnsi="Noto Sans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80" w:before="60"/>
      </w:pPr>
      <w:r>
        <w:rPr>
          <w:rFonts w:ascii="Noto Sans" w:cs="Noto Sans" w:eastAsia="Noto Sans" w:hAnsi="Noto Sans"/>
          <w:sz w:val="20"/>
          <w:szCs w:val="20"/>
        </w:rPr>
        <w:t xml:space="preserve">Content and communications director who turns proprietary data into market-authority thought leadership. Builds PR and content programs as one data-backed story for executive and industry audiences, with a proven record translating original research and performance data into pipeline.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0" w:before="60"/>
      </w:pPr>
      <w:r>
        <w:rPr>
          <w:rFonts w:ascii="Noto Sans" w:cs="Noto Sans" w:eastAsia="Noto Sans" w:hAnsi="Noto Sans"/>
          <w:b/>
          <w:bCs/>
          <w:color w:val="333333"/>
          <w:sz w:val="18"/>
          <w:szCs w:val="18"/>
        </w:rPr>
        <w:t xml:space="preserve">Data-Driven Thought Leadership  ·  Original Research Programs  ·  PR &amp; Earned Media  ·  Executive &amp; Publisher-Industry Audiences  ·  Team Building &amp; Leadership  ·  AI Tooling &amp; Measurement</w:t>
      </w:r>
    </w:p>
    <w:p>
      <w:pPr>
        <w:pBdr>
          <w:bottom w:val="single" w:color="444444" w:sz="6" w:space="1"/>
        </w:pBdr>
        <w:spacing w:after="60" w:before="60"/>
      </w:pP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Bolt.new — Content and Communications Director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measurement framework connecting PR metrics and GEO/AEO performance to business outcomes, then used it to diagnose AI-answer visibility and citation gaps and build a strategy against them: grew own-domain citations from 786 to 1,809 in a month (#9 → #5 among all cited domains) while holding #1 in AI-answer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a new PR program from the ground up for an executive and industry audience: defined the audience, mapped the media universe, expanded the spokesperson bench from 1 to 6, and extended earned coverage beyond the US into the UK.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Led foundational brand work spanning mission, vision, tone of voice, and editorial guidelines, unifying how the company's data and PR story gets told across every channel.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and rolled out a company-wide AI tooling suite for research, writing, and editorial review, including a Claude-linked copy desk.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Conducted original customer research to define and separate previously blurred audience segments, then built a customer story pipeline against them.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Mendix, a Siemens Business — Director of Content and Public Relations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Directed a data-driven PR program built on value over volume across 5 agencies spanning the US, UK, Benelux, DACH, and Singapore;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Optimized a $1M annual budget, reallocating spend toward the initiatives with the clearest data-backed return.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Unified content and PR messaging into one consistent, data-grounded story across customer-facing content and earned media, connecting the funnel from first press mention to purchase decision.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Senior Manager, Content Services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Nov 2022 – Jul 2023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 executive thought-leadership program that lifted engagement 80% within 6 months.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Mentored a team of writers producing customer stories for a technical, executive audience.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Manager, Content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May 2020 – Nov 2022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Expanded the content team from 1 to 9 writers and content strategists in 9 months, building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4 new SEO-optimized content programs grounded in performance data, recovering a 22% YoY web traffic deficit.</w:t>
      </w:r>
    </w:p>
    <w:p>
      <w:pPr>
        <w:pageBreakBefore/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the Mendix brand voice and editorial guidelines across every content format — blogs, ebooks, white papers, guides, webinars, video, events, email, digital.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Reviewed content performance data and built a process for asset management and review.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Iron Mountain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thought-leadership microsite from concept through launch; ran full-funnel, multi-channel content plans tailored to customer personas across multiple product lines and geographies.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2009 – Jul 2014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Managed and trained a team of 5–8 writers across multiple retail web properties, maintaining distinct brand voices across a portfolio of consumer brands.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EDUCATION</w:t>
      </w:r>
    </w:p>
    <w:p>
      <w:pPr>
        <w:spacing w:after="0"/>
      </w:pPr>
      <w:r>
        <w:rPr>
          <w:rFonts w:ascii="Noto Sans" w:cs="Noto Sans" w:eastAsia="Noto Sans" w:hAnsi="Noto Sans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2026-10-08T00:39:06.528Z</dcterms:created>
  <dcterms:modified xsi:type="dcterms:W3CDTF">2026-10-08T00:39:06.532Z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