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z w:val="34"/>
          <w:szCs w:val="34"/>
        </w:rPr>
        <w:t xml:space="preserve">Taylor Bornstein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Director of Content &amp; Communications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Fredericksburg, VA (Remote)  |  617-458-6249  |  taylor.spear@gmail.com  |  taylorbornstein.com  |  linkedin.com/in/taylorscribnerspear</w:t>
      </w:r>
    </w:p>
    <w:p>
      <w:pPr>
        <w:pBdr>
          <w:bottom w:val="single" w:color="444444" w:sz="6" w:space="1"/>
        </w:pBdr>
        <w:spacing w:after="60" w:before="60"/>
      </w:pPr>
    </w:p>
    <w:p>
      <w:pPr>
        <w:spacing w:after="60" w:before="40"/>
      </w:pPr>
      <w:r>
        <w:rPr>
          <w:rFonts w:ascii="Calibri" w:cs="Calibri" w:eastAsia="Calibri" w:hAnsi="Calibri"/>
          <w:sz w:val="20"/>
          <w:szCs w:val="20"/>
        </w:rPr>
        <w:t xml:space="preserve">Content and communications leader who builds the systems — editorial infrastructure, AI tooling, measurement, and teams — that let technical companies say something worth reading, consistently. A decade shaping how tech brands talk to developers, engineering managers, and executives.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333333"/>
          <w:sz w:val="18"/>
          <w:szCs w:val="18"/>
        </w:rPr>
        <w:t xml:space="preserve">Content Strategy &amp; Editorial Programs  ·  Team Building  ·  AI Tooling for Content  ·  PR &amp; Thought Leadership  ·  SEO / GEO &amp; Attribution  ·  B2B &amp; B2C Messaging</w:t>
      </w:r>
    </w:p>
    <w:p>
      <w:pPr>
        <w:pBdr>
          <w:bottom w:val="single" w:color="888888" w:sz="4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A1A1A"/>
          <w:spacing w:val="12"/>
          <w:sz w:val="20"/>
          <w:szCs w:val="20"/>
        </w:rPr>
        <w:t xml:space="preserve">EXPERIENCE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Bolt.new — Content and Communications Director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Feb 2026 – Present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Built and rolled out an AI-powered tool stack for content strategy, copywriting, editing, and research, distributed company-wide and across the creator and agency network.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Established a new PR program from the ground up: defined the enterprise audience, mapped the media universe, and expanded the spokesperson bench from 1 to 6.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Extended earned media coverage beyond the US into the UK; built a custom dashboard for PR metrics and GEO/AEO tracking.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Set content strategy across B2B and B2C messaging; launched a new blog and increased publication cadence from 1–2 posts/month to 1–2/week.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Led foundational brand work spanning mission, vision, tone of voice, and editorial guidelines; built a customer story pipeline sourced from B2C customers.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Mendix — Director of Content Marketing and Public Relations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Jul 2023 – Feb 2026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Ran a data-driven PR program across 5 agencies (US, UK, Benelux, DACH, Singapore); drove earned media to 60% of total coverage in tier-1 publications, a 40% YoY increase.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Optimized a $1M annual budget, reallocating toward high-impact initiatives.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Planned and executed an integrated campaign built on an original global survey in 4 months: coverage up 75% within 3 weeks, $10M influenced pipeline.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Mendix — Senior Manager &amp; Manager, Content Marketing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Sep 2020 – Jul 2023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Grew the content team from 1 to 9 writers and content strategists in 9 months; built the editorial calendar and full-funnel content program that scaled with it.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Recovered a 22% YoY web traffic deficit with 4 new SEO-optimized, pain-point-focused content BOMs.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Redefined social content strategy (2 platforms to 4 in 3 months), saving $132K annually in agency costs; launched an executive thought-leadership program that lifted engagement 80% in 6 months.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Mendix — Copywriter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Sep 2019 – Sep 2020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Established the Mendix brand voice and editorial guidelines across blogs, ebooks, white papers, webinars, video, events, and email.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Iron Mountain — Marketing Copywriter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Jul 2015 – Aug 2019  |  Boston, MA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Built a thought-leadership microsite from concept through launch; implemented full-funnel, multi-channel content plans tailored to customer personas across product lines and geographies.</w:t>
      </w:r>
    </w:p>
    <w:p>
      <w:pPr>
        <w:pBdr>
          <w:bottom w:val="single" w:color="888888" w:sz="4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A1A1A"/>
          <w:spacing w:val="12"/>
          <w:sz w:val="20"/>
          <w:szCs w:val="20"/>
        </w:rPr>
        <w:t xml:space="preserve">EDUCATION</w:t>
      </w:r>
    </w:p>
    <w:p>
      <w:p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MA in Writing, University of Warwick  ·  BA in English &amp; Spanish, University of Vermont (cum laude)</w:t>
      </w:r>
    </w:p>
    <w:sectPr>
      <w:pgSz w:w="12240" w:h="15840" w:orient="portrait"/>
      <w:pgMar w:top="460" w:right="576" w:bottom="460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60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2026-09-01T20:41:08.825Z</dcterms:created>
  <dcterms:modified xsi:type="dcterms:W3CDTF">2026-09-01T20:41:08.825Z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