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Noto Sans" w:cs="Noto Sans" w:eastAsia="Noto Sans" w:hAnsi="Noto Sans"/>
          <w:b/>
          <w:bCs/>
          <w:sz w:val="32"/>
          <w:szCs w:val="32"/>
        </w:rPr>
        <w:t xml:space="preserve">Taylor Bornstein</w:t>
      </w:r>
    </w:p>
    <w:p>
      <w:pPr>
        <w:pBdr>
          <w:bottom w:val="single" w:color="444444" w:sz="6" w:space="1"/>
        </w:pBdr>
        <w:spacing w:after="60" w:before="60"/>
      </w:pPr>
    </w:p>
    <w:p>
      <w:pPr>
        <w:spacing w:after="120" w:before="60"/>
        <w:jc w:val="center"/>
      </w:pPr>
      <w:r>
        <w:rPr>
          <w:rFonts w:ascii="Noto Sans" w:cs="Noto Sans" w:eastAsia="Noto Sans" w:hAnsi="Noto Sans"/>
          <w:color w:val="444444"/>
          <w:sz w:val="18"/>
          <w:szCs w:val="18"/>
        </w:rPr>
        <w:t xml:space="preserve">Fredericksburg, VA (Remote)  |  617-458-6249  |  taylor.spear@gmail.com  |  taylorbornstein.com  |  linkedin.com/in/taylorscribnerspear</w:t>
      </w:r>
    </w:p>
    <w:p>
      <w:pPr>
        <w:pBdr>
          <w:bottom w:val="single" w:color="444444" w:sz="6" w:space="1"/>
        </w:pBdr>
        <w:spacing w:after="60" w:before="60"/>
      </w:pPr>
    </w:p>
    <w:p>
      <w:pPr>
        <w:spacing w:after="80" w:before="60"/>
      </w:pPr>
      <w:r>
        <w:rPr>
          <w:rFonts w:ascii="Noto Sans" w:cs="Noto Sans" w:eastAsia="Noto Sans" w:hAnsi="Noto Sans"/>
          <w:sz w:val="20"/>
          <w:szCs w:val="20"/>
        </w:rPr>
        <w:t xml:space="preserve">Content and communications director who turns proprietary data into market-authority thought leadership. Builds PR and content programs as one data-backed story for executive and industry audiences, with a proven record translating original research and performance data into pipeline.</w:t>
      </w:r>
    </w:p>
    <w:p>
      <w:pPr>
        <w:pBdr>
          <w:bottom w:val="single" w:color="444444" w:sz="6" w:space="1"/>
        </w:pBdr>
        <w:spacing w:after="60" w:before="60"/>
      </w:pPr>
    </w:p>
    <w:p>
      <w:pPr>
        <w:spacing w:after="0" w:before="60"/>
      </w:pPr>
      <w:r>
        <w:rPr>
          <w:rFonts w:ascii="Noto Sans" w:cs="Noto Sans" w:eastAsia="Noto Sans" w:hAnsi="Noto Sans"/>
          <w:b/>
          <w:bCs/>
          <w:color w:val="333333"/>
          <w:sz w:val="18"/>
          <w:szCs w:val="18"/>
        </w:rPr>
        <w:t xml:space="preserve">Data-Driven Thought Leadership  ·  Original Research Programs  ·  PR &amp; Earned Media  ·  Executive &amp; Publisher-Industry Audiences  ·  Team Building &amp; Leadership  ·  AI Tooling &amp; Measurement</w:t>
      </w:r>
    </w:p>
    <w:p>
      <w:pPr>
        <w:pBdr>
          <w:bottom w:val="single" w:color="444444" w:sz="6" w:space="1"/>
        </w:pBdr>
        <w:spacing w:after="60" w:before="60"/>
      </w:pPr>
    </w:p>
    <w:p>
      <w:pPr>
        <w:pBdr>
          <w:bottom w:val="single" w:color="888888" w:sz="4" w:space="2"/>
        </w:pBdr>
        <w:spacing w:after="60" w:before="200"/>
      </w:pPr>
      <w:r>
        <w:rPr>
          <w:rFonts w:ascii="Noto Sans" w:cs="Noto Sans" w:eastAsia="Noto Sans" w:hAnsi="Noto Sans"/>
          <w:b/>
          <w:bCs/>
          <w:color w:val="1A1A1A"/>
          <w:spacing w:val="12"/>
          <w:sz w:val="19"/>
          <w:szCs w:val="19"/>
        </w:rPr>
        <w:t xml:space="preserve">EXPERIENCE</w:t>
      </w:r>
    </w:p>
    <w:p>
      <w:pPr>
        <w:tabs>
          <w:tab w:val="right" w:pos="10800"/>
        </w:tabs>
        <w:spacing w:after="20" w:before="140"/>
      </w:pPr>
      <w:r>
        <w:rPr>
          <w:rFonts w:ascii="Noto Sans" w:cs="Noto Sans" w:eastAsia="Noto Sans" w:hAnsi="Noto Sans"/>
          <w:b/>
          <w:bCs/>
          <w:sz w:val="20"/>
          <w:szCs w:val="20"/>
        </w:rPr>
        <w:t xml:space="preserve">Bolt.new — Content and Communications Director</w:t>
      </w:r>
      <w:r>
        <w:rPr>
          <w:rFonts w:ascii="Noto Sans" w:cs="Noto Sans" w:eastAsia="Noto Sans" w:hAnsi="Noto Sans"/>
          <w:i/>
          <w:iCs/>
          <w:color w:val="444444"/>
          <w:sz w:val="18"/>
          <w:szCs w:val="18"/>
        </w:rPr>
        <w:t xml:space="preserve">	Feb 2026 – Present  |  Remote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Noto Sans" w:cs="Noto Sans" w:eastAsia="Noto Sans" w:hAnsi="Noto Sans"/>
          <w:sz w:val="20"/>
          <w:szCs w:val="20"/>
        </w:rPr>
        <w:t xml:space="preserve">Built a measurement framework connecting PR metrics and GEO/AEO performance to business outcomes, then used it to diagnose AI-answer visibility and citation gaps and build a strategy against them: grew own-domain citations from 786 to 1,809 in a month (#9 → #5 among all cited domains) while holding #1 in AI-answer visibility — a direct application of turning proprietary performance data into a public, defensible story.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Noto Sans" w:cs="Noto Sans" w:eastAsia="Noto Sans" w:hAnsi="Noto Sans"/>
          <w:sz w:val="20"/>
          <w:szCs w:val="20"/>
        </w:rPr>
        <w:t xml:space="preserve">Established a new PR program from the ground up for an executive and industry audience: defined the audience, mapped the media universe, expanded the spokesperson bench from 1 to 6, and extended earned coverage beyond the US into the UK.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Noto Sans" w:cs="Noto Sans" w:eastAsia="Noto Sans" w:hAnsi="Noto Sans"/>
          <w:sz w:val="20"/>
          <w:szCs w:val="20"/>
        </w:rPr>
        <w:t xml:space="preserve">Led foundational brand work spanning mission, vision, tone of voice, and editorial guidelines, unifying how the company's data and PR story gets told across every channel.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Noto Sans" w:cs="Noto Sans" w:eastAsia="Noto Sans" w:hAnsi="Noto Sans"/>
          <w:sz w:val="20"/>
          <w:szCs w:val="20"/>
        </w:rPr>
        <w:t xml:space="preserve">Built and rolled out a company-wide AI tooling suite for research, writing, and editorial review, including a Claude-linked copy desk.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Noto Sans" w:cs="Noto Sans" w:eastAsia="Noto Sans" w:hAnsi="Noto Sans"/>
          <w:sz w:val="20"/>
          <w:szCs w:val="20"/>
        </w:rPr>
        <w:t xml:space="preserve">Conducted original customer research to define and separate previously blurred audience segments, then built a customer story pipeline against them.</w:t>
      </w:r>
    </w:p>
    <w:p>
      <w:pPr>
        <w:tabs>
          <w:tab w:val="right" w:pos="10800"/>
        </w:tabs>
        <w:spacing w:after="20" w:before="140"/>
      </w:pPr>
      <w:r>
        <w:rPr>
          <w:rFonts w:ascii="Noto Sans" w:cs="Noto Sans" w:eastAsia="Noto Sans" w:hAnsi="Noto Sans"/>
          <w:b/>
          <w:bCs/>
          <w:sz w:val="20"/>
          <w:szCs w:val="20"/>
        </w:rPr>
        <w:t xml:space="preserve">Mendix, a Siemens Business — Director of Content and Public Relations</w:t>
      </w:r>
      <w:r>
        <w:rPr>
          <w:rFonts w:ascii="Noto Sans" w:cs="Noto Sans" w:eastAsia="Noto Sans" w:hAnsi="Noto Sans"/>
          <w:i/>
          <w:iCs/>
          <w:color w:val="444444"/>
          <w:sz w:val="18"/>
          <w:szCs w:val="18"/>
        </w:rPr>
        <w:t xml:space="preserve">	Jul 2023 – Feb 2026  |  Remote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Noto Sans" w:cs="Noto Sans" w:eastAsia="Noto Sans" w:hAnsi="Noto Sans"/>
          <w:sz w:val="20"/>
          <w:szCs w:val="20"/>
        </w:rPr>
        <w:t xml:space="preserve">Owned Mendix's flagship research and thought-leadership program: planned and executed an integrated campaign anchored on an original global survey in 4 months, landing 75% more coverage than prior years within 3 weeks and $10M in influenced pipeline — proprietary data turned directly into executive-audience authority and measurable business impact.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Noto Sans" w:cs="Noto Sans" w:eastAsia="Noto Sans" w:hAnsi="Noto Sans"/>
          <w:sz w:val="20"/>
          <w:szCs w:val="20"/>
        </w:rPr>
        <w:t xml:space="preserve">Directed a data-driven PR program built on value over volume across 5 agencies spanning the US, UK, Benelux, DACH, and Singapore; drove earned media to 60% of tier-1 coverage, a 40% YoY increase.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Noto Sans" w:cs="Noto Sans" w:eastAsia="Noto Sans" w:hAnsi="Noto Sans"/>
          <w:sz w:val="20"/>
          <w:szCs w:val="20"/>
        </w:rPr>
        <w:t xml:space="preserve">Optimized a $1M annual budget, reallocating spend toward the initiatives with the clearest data-backed return.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Noto Sans" w:cs="Noto Sans" w:eastAsia="Noto Sans" w:hAnsi="Noto Sans"/>
          <w:sz w:val="20"/>
          <w:szCs w:val="20"/>
        </w:rPr>
        <w:t xml:space="preserve">Unified content and PR messaging into one consistent, data-grounded story across customer-facing content and earned media, connecting the funnel from first press mention to purchase decision.</w:t>
      </w:r>
    </w:p>
    <w:p>
      <w:pPr>
        <w:tabs>
          <w:tab w:val="right" w:pos="10800"/>
        </w:tabs>
        <w:spacing w:after="20" w:before="140"/>
      </w:pPr>
      <w:r>
        <w:rPr>
          <w:rFonts w:ascii="Noto Sans" w:cs="Noto Sans" w:eastAsia="Noto Sans" w:hAnsi="Noto Sans"/>
          <w:b/>
          <w:bCs/>
          <w:sz w:val="20"/>
          <w:szCs w:val="20"/>
        </w:rPr>
        <w:t xml:space="preserve">Mendix — Senior Manager, Content Services</w:t>
      </w:r>
      <w:r>
        <w:rPr>
          <w:rFonts w:ascii="Noto Sans" w:cs="Noto Sans" w:eastAsia="Noto Sans" w:hAnsi="Noto Sans"/>
          <w:i/>
          <w:iCs/>
          <w:color w:val="444444"/>
          <w:sz w:val="18"/>
          <w:szCs w:val="18"/>
        </w:rPr>
        <w:t xml:space="preserve">	Nov 2022 – Jul 2023  |  Remote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Noto Sans" w:cs="Noto Sans" w:eastAsia="Noto Sans" w:hAnsi="Noto Sans"/>
          <w:sz w:val="20"/>
          <w:szCs w:val="20"/>
        </w:rPr>
        <w:t xml:space="preserve">Built an executive thought-leadership program that lifted engagement 80% within 6 months.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Noto Sans" w:cs="Noto Sans" w:eastAsia="Noto Sans" w:hAnsi="Noto Sans"/>
          <w:sz w:val="20"/>
          <w:szCs w:val="20"/>
        </w:rPr>
        <w:t xml:space="preserve">Mentored a team of writers producing customer stories for a technical, executive audience.</w:t>
      </w:r>
    </w:p>
    <w:p>
      <w:pPr>
        <w:tabs>
          <w:tab w:val="right" w:pos="10800"/>
        </w:tabs>
        <w:spacing w:after="20" w:before="140"/>
      </w:pPr>
      <w:r>
        <w:rPr>
          <w:rFonts w:ascii="Noto Sans" w:cs="Noto Sans" w:eastAsia="Noto Sans" w:hAnsi="Noto Sans"/>
          <w:b/>
          <w:bCs/>
          <w:sz w:val="20"/>
          <w:szCs w:val="20"/>
        </w:rPr>
        <w:t xml:space="preserve">Mendix — Manager, Content Marketing</w:t>
      </w:r>
      <w:r>
        <w:rPr>
          <w:rFonts w:ascii="Noto Sans" w:cs="Noto Sans" w:eastAsia="Noto Sans" w:hAnsi="Noto Sans"/>
          <w:i/>
          <w:iCs/>
          <w:color w:val="444444"/>
          <w:sz w:val="18"/>
          <w:szCs w:val="18"/>
        </w:rPr>
        <w:t xml:space="preserve">	May 2020 – Nov 2022  |  Remote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Noto Sans" w:cs="Noto Sans" w:eastAsia="Noto Sans" w:hAnsi="Noto Sans"/>
          <w:sz w:val="20"/>
          <w:szCs w:val="20"/>
        </w:rPr>
        <w:t xml:space="preserve">Expanded the content team from 1 to 9 writers and content strategists in 9 months, building the editorial calendar and full-funnel content program that scaled with it.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Noto Sans" w:cs="Noto Sans" w:eastAsia="Noto Sans" w:hAnsi="Noto Sans"/>
          <w:sz w:val="20"/>
          <w:szCs w:val="20"/>
        </w:rPr>
        <w:t xml:space="preserve">Built 4 new SEO-optimized content programs grounded in performance data, recovering a 22% YoY web traffic deficit.</w:t>
      </w:r>
    </w:p>
    <w:p>
      <w:pPr>
        <w:pageBreakBefore/>
        <w:tabs>
          <w:tab w:val="right" w:pos="10800"/>
        </w:tabs>
        <w:spacing w:after="20" w:before="140"/>
      </w:pPr>
      <w:r>
        <w:rPr>
          <w:rFonts w:ascii="Noto Sans" w:cs="Noto Sans" w:eastAsia="Noto Sans" w:hAnsi="Noto Sans"/>
          <w:b/>
          <w:bCs/>
          <w:sz w:val="20"/>
          <w:szCs w:val="20"/>
        </w:rPr>
        <w:t xml:space="preserve">Mendix — Copywriter</w:t>
      </w:r>
      <w:r>
        <w:rPr>
          <w:rFonts w:ascii="Noto Sans" w:cs="Noto Sans" w:eastAsia="Noto Sans" w:hAnsi="Noto Sans"/>
          <w:i/>
          <w:iCs/>
          <w:color w:val="444444"/>
          <w:sz w:val="18"/>
          <w:szCs w:val="18"/>
        </w:rPr>
        <w:t xml:space="preserve">	Sep 2019 – Apr 2020  |  Remote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Noto Sans" w:cs="Noto Sans" w:eastAsia="Noto Sans" w:hAnsi="Noto Sans"/>
          <w:sz w:val="20"/>
          <w:szCs w:val="20"/>
        </w:rPr>
        <w:t xml:space="preserve">Established the Mendix brand voice and editorial guidelines across every content format — blogs, ebooks, white papers, guides, webinars, video, events, email, digital.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Noto Sans" w:cs="Noto Sans" w:eastAsia="Noto Sans" w:hAnsi="Noto Sans"/>
          <w:sz w:val="20"/>
          <w:szCs w:val="20"/>
        </w:rPr>
        <w:t xml:space="preserve">Reviewed content performance data and built a process for asset management and review.</w:t>
      </w:r>
    </w:p>
    <w:p>
      <w:pPr>
        <w:tabs>
          <w:tab w:val="right" w:pos="10800"/>
        </w:tabs>
        <w:spacing w:after="20" w:before="140"/>
      </w:pPr>
      <w:r>
        <w:rPr>
          <w:rFonts w:ascii="Noto Sans" w:cs="Noto Sans" w:eastAsia="Noto Sans" w:hAnsi="Noto Sans"/>
          <w:b/>
          <w:bCs/>
          <w:sz w:val="20"/>
          <w:szCs w:val="20"/>
        </w:rPr>
        <w:t xml:space="preserve">Iron Mountain — Copywriter</w:t>
      </w:r>
      <w:r>
        <w:rPr>
          <w:rFonts w:ascii="Noto Sans" w:cs="Noto Sans" w:eastAsia="Noto Sans" w:hAnsi="Noto Sans"/>
          <w:i/>
          <w:iCs/>
          <w:color w:val="444444"/>
          <w:sz w:val="18"/>
          <w:szCs w:val="18"/>
        </w:rPr>
        <w:t xml:space="preserve">	Sep 2016 – Aug 2019  |  Boston, MA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Noto Sans" w:cs="Noto Sans" w:eastAsia="Noto Sans" w:hAnsi="Noto Sans"/>
          <w:sz w:val="20"/>
          <w:szCs w:val="20"/>
        </w:rPr>
        <w:t xml:space="preserve">Built a thought-leadership microsite from concept through launch; ran full-funnel, multi-channel content plans tailored to customer personas across multiple product lines and geographies.</w:t>
      </w:r>
    </w:p>
    <w:p>
      <w:pPr>
        <w:tabs>
          <w:tab w:val="right" w:pos="10800"/>
        </w:tabs>
        <w:spacing w:after="20" w:before="140"/>
      </w:pPr>
      <w:r>
        <w:rPr>
          <w:rFonts w:ascii="Noto Sans" w:cs="Noto Sans" w:eastAsia="Noto Sans" w:hAnsi="Noto Sans"/>
          <w:b/>
          <w:bCs/>
          <w:sz w:val="20"/>
          <w:szCs w:val="20"/>
        </w:rPr>
        <w:t xml:space="preserve">Internet Brands — Content Editor &amp; Manager, Retail Marketing</w:t>
      </w:r>
      <w:r>
        <w:rPr>
          <w:rFonts w:ascii="Noto Sans" w:cs="Noto Sans" w:eastAsia="Noto Sans" w:hAnsi="Noto Sans"/>
          <w:i/>
          <w:iCs/>
          <w:color w:val="444444"/>
          <w:sz w:val="18"/>
          <w:szCs w:val="18"/>
        </w:rPr>
        <w:t xml:space="preserve">	Jul 2009 – Jul 2014  |  Remote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Noto Sans" w:cs="Noto Sans" w:eastAsia="Noto Sans" w:hAnsi="Noto Sans"/>
          <w:sz w:val="20"/>
          <w:szCs w:val="20"/>
        </w:rPr>
        <w:t xml:space="preserve">Managed and trained a team of 5–8 writers across multiple retail web properties, maintaining distinct brand voices across a portfolio of consumer brands.</w:t>
      </w:r>
    </w:p>
    <w:p>
      <w:pPr>
        <w:pBdr>
          <w:bottom w:val="single" w:color="888888" w:sz="4" w:space="2"/>
        </w:pBdr>
        <w:spacing w:after="60" w:before="200"/>
      </w:pPr>
      <w:r>
        <w:rPr>
          <w:rFonts w:ascii="Noto Sans" w:cs="Noto Sans" w:eastAsia="Noto Sans" w:hAnsi="Noto Sans"/>
          <w:b/>
          <w:bCs/>
          <w:color w:val="1A1A1A"/>
          <w:spacing w:val="12"/>
          <w:sz w:val="19"/>
          <w:szCs w:val="19"/>
        </w:rPr>
        <w:t xml:space="preserve">EDUCATION</w:t>
      </w:r>
    </w:p>
    <w:p>
      <w:pPr>
        <w:spacing w:after="0"/>
      </w:pPr>
      <w:r>
        <w:rPr>
          <w:rFonts w:ascii="Noto Sans" w:cs="Noto Sans" w:eastAsia="Noto Sans" w:hAnsi="Noto Sans"/>
          <w:sz w:val="20"/>
          <w:szCs w:val="20"/>
        </w:rPr>
        <w:t xml:space="preserve">MA in Creative Writing, University of Warwick  ·  BA in English &amp; Spanish, University of Vermont (cum laude)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6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2026-10-08T00:27:49.802Z</dcterms:created>
  <dcterms:modified xsi:type="dcterms:W3CDTF">2026-10-08T00:27:49.997Z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