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Noto Sans" w:cs="Noto Sans" w:eastAsia="Noto Sans" w:hAnsi="Noto Sans"/>
          <w:b/>
          <w:bCs/>
          <w:sz w:val="32"/>
          <w:szCs w:val="32"/>
        </w:rPr>
        <w:t xml:space="preserve">Taylor Bornstein</w:t>
      </w:r>
    </w:p>
    <w:p>
      <w:pPr>
        <w:spacing w:after="120"/>
        <w:jc w:val="center"/>
      </w:pPr>
      <w:r>
        <w:rPr>
          <w:rFonts w:ascii="Noto Sans" w:cs="Noto Sans" w:eastAsia="Noto Sans" w:hAnsi="Noto Sans"/>
          <w:color w:val="444444"/>
          <w:sz w:val="18"/>
          <w:szCs w:val="18"/>
        </w:rPr>
        <w:t xml:space="preserve">Fredericksburg, VA (Remote)  |  617-458-6249  |  taylor.spear@gmail.com  |  taylorbornstein.com  |  linkedin.com/in/taylorscribnerspear</w:t>
      </w:r>
    </w:p>
    <w:p>
      <w:pPr>
        <w:pBdr>
          <w:bottom w:val="single" w:color="444444" w:sz="6" w:space="1"/>
        </w:pBdr>
        <w:spacing w:after="60" w:before="60"/>
      </w:pPr>
    </w:p>
    <w:p>
      <w:pPr>
        <w:spacing w:after="80" w:before="60"/>
      </w:pPr>
      <w:r>
        <w:rPr>
          <w:rFonts w:ascii="Noto Sans" w:cs="Noto Sans" w:eastAsia="Noto Sans" w:hAnsi="Noto Sans"/>
          <w:sz w:val="20"/>
          <w:szCs w:val="20"/>
        </w:rPr>
        <w:t xml:space="preserve">Content and communications director who builds the editorial infrastructure, thought-leadership programs, and AI tooling that let technical companies say something worth reading, consistently. Runs brand voice and PR side by side, with a track record establishing programs from zero and building the teams that scale them.</w:t>
      </w:r>
    </w:p>
    <w:p>
      <w:pPr>
        <w:spacing w:after="0"/>
      </w:pPr>
      <w:r>
        <w:rPr>
          <w:rFonts w:ascii="Noto Sans" w:cs="Noto Sans" w:eastAsia="Noto Sans" w:hAnsi="Noto Sans"/>
          <w:b/>
          <w:bCs/>
          <w:color w:val="333333"/>
          <w:sz w:val="18"/>
          <w:szCs w:val="18"/>
        </w:rPr>
        <w:t xml:space="preserve">Editorial Strategy &amp; Brand Voice  ·  Thought Leadership &amp; PR  ·  Team Building &amp; Leadership  ·  AI Tooling for Content  ·  Executive &amp; Investor Communications  ·  Dual-Audience Storytelling</w:t>
      </w:r>
    </w:p>
    <w:p>
      <w:pPr>
        <w:pBdr>
          <w:bottom w:val="single" w:color="888888" w:sz="4" w:space="2"/>
        </w:pBdr>
        <w:spacing w:after="60" w:before="200"/>
      </w:pPr>
      <w:r>
        <w:rPr>
          <w:rFonts w:ascii="Noto Sans" w:cs="Noto Sans" w:eastAsia="Noto Sans" w:hAnsi="Noto Sans"/>
          <w:b/>
          <w:bCs/>
          <w:color w:val="1A1A1A"/>
          <w:spacing w:val="12"/>
          <w:sz w:val="19"/>
          <w:szCs w:val="19"/>
        </w:rPr>
        <w:t xml:space="preserve">EXPERIENCE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Bolt.new — Content and Communications Director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Feb 2026 – Present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Led foundational brand work spanning mission, vision, tone of voice, and editorial guidelines: the standards that keep content consistent across the internal team, external creators, and agency partners.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Diagnosed AI-answer visibility and citation performance, then built and executed a GEO/AEO content strategy against the gaps: grew own-domain citations from 786 to 1,809 in a month (#9 → #5 among all cited domains) while holding #1 in AI-answer visibility.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Built and rolled out a company-wide AI tooling suite for research, writing, and editorial review, including a Claude-linked copy desk, plus a measurement framework connecting content and PR performance to business metrics.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Established a new PR program from the ground up: defined the audience, mapped the media universe, expanded the spokesperson bench from 1 to 6, and extended earned coverage beyond the US into the UK.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Set content strategy across B2B and B2C messaging and built a customer story pipeline from original customer research.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Launched a new blog and increased publication cadence from 1–2 posts/month to 3–4/week; personally writes and edits ongoing posts, customer stories, and web copy while setting the strategy the rest of the team builds against.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Mendix, a Siemens Business — Director of Content and Public Relations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Jul 2023 – Feb 2026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Owned Mendix's flagship research and thought-leadership program: planned and executed an integrated campaign anchored on an original global survey in 4 months, landing 75% more coverage than prior years within 3 weeks and $10M in influenced pipeline.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Directed a data-driven PR program across 5 agencies spanning the US, UK, Benelux, DACH, and Singapore, none of them reporting to me, holding every market to the same editorial bar; drove earned media to 60% of tier-1 coverage, a 40% YoY increase.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Unified content and PR messaging into one consistent story across customer-facing content and earned media, connecting the funnel from first press mention to purchase decision.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Optimized a $1M annual budget, reallocating toward high-impact initiatives.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Mendix — Senior Manager, Content Services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Nov 2022 – Jul 2023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Built an executive thought-leadership program that lifted engagement 80% within 6 months; mentored a team of writers producing customer stories for a technical audience.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Mendix — Manager, Content Marketing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May 2020 – Nov 2022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Expanded the content team from 1 to 9 writers and content strategists in 9 months, building the editorial calendar and full-funnel content program that scaled with it, translating product positioning into narratives for technical and executive audiences.</w:t>
      </w:r>
    </w:p>
    <w:p>
      <w:pPr>
        <w:pageBreakBefore/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Mendix — Copywriter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Sep 2019 – Apr 2020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Established the Mendix brand voice and editorial guidelines across every content format — blogs, ebooks, white papers, guides, webinars, video, events, email, digital — the standards a fast-growing content org still runs on.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Iron Mountain — Copywriter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Sep 2016 – Aug 2019  |  Boston, MA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Built a thought-leadership microsite from concept through launch; ran full-funnel, multi-channel content plans tailored to customer personas across multiple product lines and geographies.</w:t>
      </w:r>
    </w:p>
    <w:p>
      <w:pPr>
        <w:tabs>
          <w:tab w:val="right" w:pos="10800"/>
        </w:tabs>
        <w:spacing w:after="20" w:before="14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Internet Brands — Content Editor &amp; Manager, Retail Marketing</w:t>
      </w:r>
      <w:r>
        <w:rPr>
          <w:rFonts w:ascii="Noto Sans" w:cs="Noto Sans" w:eastAsia="Noto Sans" w:hAnsi="Noto Sans"/>
          <w:i/>
          <w:iCs/>
          <w:color w:val="444444"/>
          <w:sz w:val="18"/>
          <w:szCs w:val="18"/>
        </w:rPr>
        <w:t xml:space="preserve">	Jul 2009 – Jul 2014  |  Remote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Noto Sans" w:cs="Noto Sans" w:eastAsia="Noto Sans" w:hAnsi="Noto Sans"/>
          <w:sz w:val="20"/>
          <w:szCs w:val="20"/>
        </w:rPr>
        <w:t xml:space="preserve">Managed and trained a team of 5–8 writers across multiple retail web properties, maintaining distinct brand voices across a portfolio of consumer brands.</w:t>
      </w:r>
    </w:p>
    <w:p>
      <w:pPr>
        <w:pBdr>
          <w:bottom w:val="single" w:color="888888" w:sz="4" w:space="2"/>
        </w:pBdr>
        <w:spacing w:after="60" w:before="200"/>
      </w:pPr>
      <w:r>
        <w:rPr>
          <w:rFonts w:ascii="Noto Sans" w:cs="Noto Sans" w:eastAsia="Noto Sans" w:hAnsi="Noto Sans"/>
          <w:b/>
          <w:bCs/>
          <w:color w:val="1A1A1A"/>
          <w:spacing w:val="12"/>
          <w:sz w:val="19"/>
          <w:szCs w:val="19"/>
        </w:rPr>
        <w:t xml:space="preserve">EDUCATION</w:t>
      </w:r>
    </w:p>
    <w:p>
      <w:pPr>
        <w:spacing w:after="0"/>
      </w:pPr>
      <w:r>
        <w:rPr>
          <w:rFonts w:ascii="Noto Sans" w:cs="Noto Sans" w:eastAsia="Noto Sans" w:hAnsi="Noto Sans"/>
          <w:sz w:val="20"/>
          <w:szCs w:val="20"/>
        </w:rPr>
        <w:t xml:space="preserve">MA in Creative Writing, University of Warwick  ·  BA in English &amp; Spanish, University of Vermont (cum laude)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2026-09-28T21:12:00.870Z</dcterms:created>
  <dcterms:modified xsi:type="dcterms:W3CDTF">2026-09-28T21:12:00.870Z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