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Noto Sans" w:cs="Noto Sans" w:eastAsia="Noto Sans" w:hAnsi="Noto Sans"/>
          <w:b/>
          <w:bCs/>
          <w:sz w:val="32"/>
          <w:szCs w:val="32"/>
        </w:rPr>
        <w:t xml:space="preserve">Taylor Bornstein</w:t>
      </w:r>
    </w:p>
    <w:p>
      <w:pPr>
        <w:pBdr>
          <w:bottom w:val="single" w:color="444444" w:sz="6" w:space="1"/>
        </w:pBdr>
        <w:spacing w:after="60" w:before="60"/>
      </w:pPr>
    </w:p>
    <w:p>
      <w:pPr>
        <w:spacing w:after="120" w:before="60"/>
        <w:jc w:val="center"/>
      </w:pPr>
      <w:r>
        <w:rPr>
          <w:rFonts w:ascii="Noto Sans" w:cs="Noto Sans" w:eastAsia="Noto Sans" w:hAnsi="Noto Sans"/>
          <w:color w:val="444444"/>
          <w:sz w:val="18"/>
          <w:szCs w:val="18"/>
        </w:rPr>
        <w:t xml:space="preserve">Fredericksburg, VA (Remote)  |  617-458-6249  |  taylor.spear@gmail.com  |  taylorbornstein.com  |  linkedin.com/in/taylorscribnerspear</w:t>
      </w:r>
    </w:p>
    <w:p>
      <w:pPr>
        <w:pBdr>
          <w:bottom w:val="single" w:color="444444" w:sz="6" w:space="1"/>
        </w:pBdr>
        <w:spacing w:after="60" w:before="60"/>
      </w:pPr>
    </w:p>
    <w:p>
      <w:pPr>
        <w:spacing w:after="80" w:before="60"/>
      </w:pPr>
      <w:r>
        <w:rPr>
          <w:rFonts w:ascii="Noto Sans" w:cs="Noto Sans" w:eastAsia="Noto Sans" w:hAnsi="Noto Sans"/>
          <w:sz w:val="20"/>
          <w:szCs w:val="20"/>
        </w:rPr>
        <w:t xml:space="preserve">Content and communications director who builds editorial infrastructure, original research programs, and executive thought-leadership platforms — the systems that turn a company's point of view into market authority. Runs editorial craft and measurement together, with a proven record turning proprietary research into pipeline.</w:t>
      </w:r>
    </w:p>
    <w:p>
      <w:pPr>
        <w:pBdr>
          <w:bottom w:val="single" w:color="444444" w:sz="6" w:space="1"/>
        </w:pBdr>
        <w:spacing w:after="60" w:before="60"/>
      </w:pPr>
    </w:p>
    <w:p>
      <w:pPr>
        <w:spacing w:after="0" w:before="60"/>
      </w:pPr>
      <w:r>
        <w:rPr>
          <w:rFonts w:ascii="Noto Sans" w:cs="Noto Sans" w:eastAsia="Noto Sans" w:hAnsi="Noto Sans"/>
          <w:b/>
          <w:bCs/>
          <w:color w:val="333333"/>
          <w:sz w:val="18"/>
          <w:szCs w:val="18"/>
        </w:rPr>
        <w:t xml:space="preserve">Editorial Strategy &amp; Thought Leadership  ·  Original Research &amp; Flagship Programs  ·  Executive Voice Development  ·  AI Tooling for Content  ·  Demand Generation &amp; Pipeline Attribution  ·  Dual-Audience Storytelling</w:t>
      </w:r>
    </w:p>
    <w:p>
      <w:pPr>
        <w:pBdr>
          <w:bottom w:val="single" w:color="444444" w:sz="6" w:space="1"/>
        </w:pBdr>
        <w:spacing w:after="60" w:before="60"/>
      </w:pPr>
    </w:p>
    <w:p>
      <w:pPr>
        <w:pBdr>
          <w:bottom w:val="single" w:color="888888" w:sz="4" w:space="2"/>
        </w:pBdr>
        <w:spacing w:after="60" w:before="200"/>
      </w:pPr>
      <w:r>
        <w:rPr>
          <w:rFonts w:ascii="Noto Sans" w:cs="Noto Sans" w:eastAsia="Noto Sans" w:hAnsi="Noto Sans"/>
          <w:b/>
          <w:bCs/>
          <w:color w:val="1A1A1A"/>
          <w:spacing w:val="12"/>
          <w:sz w:val="19"/>
          <w:szCs w:val="19"/>
        </w:rPr>
        <w:t xml:space="preserve">EXPERIENCE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Bolt.new — Content and Communications Director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Feb 2026 – Present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Led foundational brand work spanning mission, vision, tone of voice, and editorial guidelines: the standards that keep content consistent across the internal team, external creators, and agency partners.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Diagnosed AI-answer visibility and citation performance, then built and executed a GEO/AEO content strategy against the gaps: grew own-domain citations from 786 to 1,809 in a month (#9 → #5 among all cited domains) while holding #1 in AI-answer visibility.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Built and rolled out a company-wide AI tooling suite for research, writing, and editorial review, including a Claude-linked copy desk, plus a measurement framework connecting content and PR performance to business metrics.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Established a new PR program from the ground up: defined the audience, mapped the media universe, expanded the spokesperson bench from 1 to 6, and extended earned coverage beyond the US into the UK.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Conducted original customer research to define and separate previously blurred audience segments, then built a customer story pipeline against them.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Launched a new blog and increased publication cadence from 1–2 posts/month to 3–4/week.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Mendix, a Siemens Business — Director of Content and Public Relations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Jul 2023 – Feb 2026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Owned Mendix's flagship research and thought-leadership program: planned and executed an integrated campaign anchored on an original global survey in 4 months, landing 75% more coverage than prior years within 3 weeks and $10M in influenced pipeline.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Directed a data-driven PR program across 5 agencies spanning the US, UK, Benelux, DACH, and Singapore, none of them reporting to me, holding every market to the same editorial bar; drove earned media to 60% of tier-1 coverage, a 40% YoY increase.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Unified content and PR messaging into one consistent story across customer-facing content and earned media, connecting the funnel from first press mention to purchase decision.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Mendix — Senior Manager, Content Services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Nov 2022 – Jul 2023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Built an executive thought-leadership program that lifted engagement 80% within 6 months.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Mentored a team of writers producing customer stories for a technical audience.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Mendix — Manager, Content Marketing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May 2020 – Nov 2022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Expanded the content team from 1 to 9 writers and content strategists in 9 months, building the editorial calendar and full-funnel content program that scaled with it, translating product positioning into narratives for technical and executive audiences.</w:t>
      </w:r>
    </w:p>
    <w:p>
      <w:pPr>
        <w:pageBreakBefore/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Mendix — Copywriter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Sep 2019 – Apr 2020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Established the Mendix brand voice and editorial guidelines across every content format — blogs, ebooks, white papers, guides, webinars, video, events, email, digital — the standards a fast-growing content org still runs on.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Iron Mountain — Copywriter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Sep 2016 – Aug 2019  |  Boston, MA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Built a thought-leadership microsite from concept through launch; ran full-funnel, multi-channel content plans tailored to customer personas across multiple product lines and geographies.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Internet Brands — Content Editor &amp; Manager, Retail Marketing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Jul 2009 – Jul 2014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Managed and trained a team of 5–8 writers across multiple retail web properties, maintaining distinct brand voices across a portfolio of consumer brands.</w:t>
      </w:r>
    </w:p>
    <w:p>
      <w:pPr>
        <w:pBdr>
          <w:bottom w:val="single" w:color="888888" w:sz="4" w:space="2"/>
        </w:pBdr>
        <w:spacing w:after="60" w:before="200"/>
      </w:pPr>
      <w:r>
        <w:rPr>
          <w:rFonts w:ascii="Noto Sans" w:cs="Noto Sans" w:eastAsia="Noto Sans" w:hAnsi="Noto Sans"/>
          <w:b/>
          <w:bCs/>
          <w:color w:val="1A1A1A"/>
          <w:spacing w:val="12"/>
          <w:sz w:val="19"/>
          <w:szCs w:val="19"/>
        </w:rPr>
        <w:t xml:space="preserve">EDUCATION</w:t>
      </w:r>
    </w:p>
    <w:p>
      <w:pPr>
        <w:spacing w:after="0"/>
      </w:pPr>
      <w:r>
        <w:rPr>
          <w:rFonts w:ascii="Noto Sans" w:cs="Noto Sans" w:eastAsia="Noto Sans" w:hAnsi="Noto Sans"/>
          <w:sz w:val="20"/>
          <w:szCs w:val="20"/>
        </w:rPr>
        <w:t xml:space="preserve">MA in Creative Writing, University of Warwick  ·  BA in English &amp; Spanish, University of Vermont (cum laude)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2026-10-07T23:58:55.557Z</dcterms:created>
  <dcterms:modified xsi:type="dcterms:W3CDTF">2026-10-07T23:58:55.566Z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