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Noto Sans" w:cs="Noto Sans" w:eastAsia="Noto Sans" w:hAnsi="Noto Sans"/>
          <w:b/>
          <w:bCs/>
          <w:sz w:val="28"/>
          <w:szCs w:val="28"/>
        </w:rPr>
        <w:t xml:space="preserve">Taylor Bornstein</w:t>
      </w:r>
    </w:p>
    <w:p>
      <w:pPr>
        <w:spacing w:after="0"/>
      </w:pPr>
      <w:r>
        <w:rPr>
          <w:rFonts w:ascii="Noto Sans" w:cs="Noto Sans" w:eastAsia="Noto Sans" w:hAnsi="Noto Sans"/>
          <w:color w:val="444444"/>
          <w:sz w:val="20"/>
          <w:szCs w:val="20"/>
        </w:rPr>
        <w:t xml:space="preserve">Fredericksburg, VA (Remote)</w:t>
      </w:r>
    </w:p>
    <w:p>
      <w:pPr>
        <w:spacing w:after="0"/>
      </w:pPr>
      <w:r>
        <w:rPr>
          <w:rFonts w:ascii="Noto Sans" w:cs="Noto Sans" w:eastAsia="Noto Sans" w:hAnsi="Noto Sans"/>
          <w:color w:val="444444"/>
          <w:sz w:val="20"/>
          <w:szCs w:val="20"/>
        </w:rPr>
        <w:t xml:space="preserve">617-458-6249 | taylor.spear@gmail.com</w:t>
      </w:r>
    </w:p>
    <w:p>
      <w:pPr>
        <w:spacing w:after="300"/>
      </w:pPr>
      <w:r>
        <w:rPr>
          <w:rFonts w:ascii="Noto Sans" w:cs="Noto Sans" w:eastAsia="Noto Sans" w:hAnsi="Noto Sans"/>
          <w:color w:val="444444"/>
          <w:sz w:val="20"/>
          <w:szCs w:val="20"/>
        </w:rPr>
        <w:t xml:space="preserve">taylorbornstein.com | linkedin.com/in/taylorscribnerspear</w:t>
      </w:r>
    </w:p>
    <w:p>
      <w:pPr>
        <w:spacing w:after="200"/>
      </w:pPr>
      <w:r>
        <w:rPr>
          <w:rFonts w:ascii="Noto Sans" w:cs="Noto Sans" w:eastAsia="Noto Sans" w:hAnsi="Noto Sans"/>
          <w:sz w:val="22"/>
          <w:szCs w:val="22"/>
        </w:rPr>
        <w:t xml:space="preserve">Dear Hiring Team,</w:t>
      </w:r>
    </w:p>
    <w:p>
      <w:pPr>
        <w:spacing w:after="200"/>
      </w:pPr>
      <w:r>
        <w:rPr>
          <w:rFonts w:ascii="Noto Sans" w:cs="Noto Sans" w:eastAsia="Noto Sans" w:hAnsi="Noto Sans"/>
          <w:sz w:val="22"/>
          <w:szCs w:val="22"/>
        </w:rPr>
        <w:t xml:space="preserve">Building excellent content practices from the ground up is what I do. And I do it well.</w:t>
      </w:r>
    </w:p>
    <w:p>
      <w:pPr>
        <w:spacing w:after="200"/>
      </w:pPr>
      <w:r>
        <w:rPr>
          <w:rFonts w:ascii="Noto Sans" w:cs="Noto Sans" w:eastAsia="Noto Sans" w:hAnsi="Noto Sans"/>
          <w:sz w:val="22"/>
          <w:szCs w:val="22"/>
        </w:rPr>
        <w:t xml:space="preserve">I spent an evening on the website. As an outside observer, these are the five changes I'd go after first:</w:t>
      </w:r>
    </w:p>
    <w:p>
      <w:pPr>
        <w:spacing w:after="200"/>
      </w:pPr>
      <w:r>
        <w:rPr>
          <w:rFonts w:ascii="Noto Sans" w:cs="Noto Sans" w:eastAsia="Noto Sans" w:hAnsi="Noto Sans"/>
          <w:b/>
          <w:bCs/>
          <w:sz w:val="22"/>
          <w:szCs w:val="22"/>
        </w:rPr>
        <w:t xml:space="preserve">Give Digit a voice. </w:t>
      </w:r>
      <w:r>
        <w:rPr>
          <w:rFonts w:ascii="Noto Sans" w:cs="Noto Sans" w:eastAsia="Noto Sans" w:hAnsi="Noto Sans"/>
          <w:sz w:val="22"/>
          <w:szCs w:val="22"/>
        </w:rPr>
        <w:t xml:space="preserve">The homepage introduces a product. It doesn't yet tell a story. Open with an intro video: “Hi, I'm Digit 5. I build cars and manufacturing lines. Sometimes they ask me to get coffee.” Humanoid robots are cool. Everyone wants to chat with C-3PO. Let people meet Digit 5 before they read a spec sheet.</w:t>
      </w:r>
    </w:p>
    <w:p>
      <w:pPr>
        <w:spacing w:after="200"/>
      </w:pPr>
      <w:r>
        <w:rPr>
          <w:rFonts w:ascii="Noto Sans" w:cs="Noto Sans" w:eastAsia="Noto Sans" w:hAnsi="Noto Sans"/>
          <w:b/>
          <w:bCs/>
          <w:sz w:val="22"/>
          <w:szCs w:val="22"/>
        </w:rPr>
        <w:t xml:space="preserve">Build the blog that isn't there. </w:t>
      </w:r>
      <w:r>
        <w:rPr>
          <w:rFonts w:ascii="Noto Sans" w:cs="Noto Sans" w:eastAsia="Noto Sans" w:hAnsi="Noto Sans"/>
          <w:sz w:val="22"/>
          <w:szCs w:val="22"/>
        </w:rPr>
        <w:t xml:space="preserve">Resources is split into press releases and technical content, with nowhere for search or AI answer engines to build domain authority. A blog is the feeder for both.</w:t>
      </w:r>
    </w:p>
    <w:p>
      <w:pPr>
        <w:spacing w:after="200"/>
      </w:pPr>
      <w:r>
        <w:rPr>
          <w:rFonts w:ascii="Noto Sans" w:cs="Noto Sans" w:eastAsia="Noto Sans" w:hAnsi="Noto Sans"/>
          <w:b/>
          <w:bCs/>
          <w:sz w:val="22"/>
          <w:szCs w:val="22"/>
        </w:rPr>
        <w:t xml:space="preserve">Formalize Executive Perspectives. </w:t>
      </w:r>
      <w:r>
        <w:rPr>
          <w:rFonts w:ascii="Noto Sans" w:cs="Noto Sans" w:eastAsia="Noto Sans" w:hAnsi="Noto Sans"/>
          <w:sz w:val="22"/>
          <w:szCs w:val="22"/>
        </w:rPr>
        <w:t xml:space="preserve">Jonathan Hurst's voice is already on the Resources page. It's just not organized as a program. Pull internal and external thought leadership under one heading, mix text and video, and let leadership visibly lead the conversation instead of occasionally showing up in it.</w:t>
      </w:r>
    </w:p>
    <w:p>
      <w:pPr>
        <w:spacing w:after="200"/>
      </w:pPr>
      <w:r>
        <w:rPr>
          <w:rFonts w:ascii="Noto Sans" w:cs="Noto Sans" w:eastAsia="Noto Sans" w:hAnsi="Noto Sans"/>
          <w:b/>
          <w:bCs/>
          <w:sz w:val="22"/>
          <w:szCs w:val="22"/>
        </w:rPr>
        <w:t xml:space="preserve">Start a customer story program. </w:t>
      </w:r>
      <w:r>
        <w:rPr>
          <w:rFonts w:ascii="Noto Sans" w:cs="Noto Sans" w:eastAsia="Noto Sans" w:hAnsi="Noto Sans"/>
          <w:sz w:val="22"/>
          <w:szCs w:val="22"/>
        </w:rPr>
        <w:t xml:space="preserve">You already have the proof points: Toyota, GXO, Schaeffler, Mercado Libre — real sites, real volume (GXO's Spanx facility alone has moved 100,000+ totes since mid-2024). Turn them into full customer stories. It's the best decision-level content there is, and customer voices carry more weight with media than anything you say about yourselves.</w:t>
      </w:r>
    </w:p>
    <w:p>
      <w:pPr>
        <w:spacing w:after="200"/>
      </w:pPr>
      <w:r>
        <w:rPr>
          <w:rFonts w:ascii="Noto Sans" w:cs="Noto Sans" w:eastAsia="Noto Sans" w:hAnsi="Noto Sans"/>
          <w:b/>
          <w:bCs/>
          <w:sz w:val="22"/>
          <w:szCs w:val="22"/>
        </w:rPr>
        <w:t xml:space="preserve">Get investor-ready before AGLT lists. </w:t>
      </w:r>
      <w:r>
        <w:rPr>
          <w:rFonts w:ascii="Noto Sans" w:cs="Noto Sans" w:eastAsia="Noto Sans" w:hAnsi="Noto Sans"/>
          <w:sz w:val="22"/>
          <w:szCs w:val="22"/>
        </w:rPr>
        <w:t xml:space="preserve">The SPAC close means analysts, earnings calls, and a public audience that wasn't reading you six months ago. Whoever becomes “the trusted voice on humanoid robotics” during a going-public window keeps that position for years. That's a content-authority problem, not a content-calendar problem, and it's the one I'd want to own first.</w:t>
      </w:r>
    </w:p>
    <w:p>
      <w:pPr>
        <w:spacing w:after="200"/>
      </w:pPr>
      <w:r>
        <w:rPr>
          <w:rFonts w:ascii="Noto Sans" w:cs="Noto Sans" w:eastAsia="Noto Sans" w:hAnsi="Noto Sans"/>
          <w:sz w:val="22"/>
          <w:szCs w:val="22"/>
        </w:rPr>
        <w:t xml:space="preserve">And that's just for starters. I'd like to talk about the rest.</w:t>
      </w:r>
    </w:p>
    <w:p>
      <w:pPr>
        <w:spacing w:after="0" w:before="200"/>
      </w:pPr>
      <w:r>
        <w:rPr>
          <w:rFonts w:ascii="Noto Sans" w:cs="Noto Sans" w:eastAsia="Noto Sans" w:hAnsi="Noto Sans"/>
          <w:sz w:val="22"/>
          <w:szCs w:val="22"/>
        </w:rPr>
        <w:t xml:space="preserve">Best,</w:t>
      </w:r>
    </w:p>
    <w:p>
      <w:pPr>
        <w:spacing w:after="0"/>
      </w:pPr>
      <w:r>
        <w:rPr>
          <w:rFonts w:ascii="Noto Sans" w:cs="Noto Sans" w:eastAsia="Noto Sans" w:hAnsi="Noto Sans"/>
          <w:sz w:val="22"/>
          <w:szCs w:val="22"/>
        </w:rPr>
        <w:t xml:space="preserve">Taylor Bornstein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2026-09-28T20:08:33.544Z</dcterms:created>
  <dcterms:modified xsi:type="dcterms:W3CDTF">2026-09-28T20:08:33.555Z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