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director who builds content strategy and the programs that scale it — editorial infrastructure, AI tooling, measurement, and teams — for technical and executive audiences. Stays hands-on: writes and edits the blogs, customer stories, and web pages the strategy runs on.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Hands-On Writing &amp; Editing  ·  Team Building  ·  AI Tooling for Content  ·  SEO / GEO &amp; Attribution  ·  PR &amp; Thought Leadership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messaging: launched a new blog, increased publication cadence from 1–2 posts/month to 1–2/week, and built a customer story pipeline sourced from B2C customers.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Personally write and edit ongoing blog posts, customer stories, and web copy — stays hands-on with execution while setting the strategy the rest of the team builds against.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domains, the largest gain in the top 25) while holding #1 in AI-answer visibility (57.3%, +3.6 points month-over-month).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 content and writing suite of AI tools — a Claude-linked copy desk for editorial review, plus the custom content calendar the team runs on — distributed company-wide and across the creator and agency network.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audience, mapped the media universe, and expanded the spokesperson bench from 1 to 6.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Extended earned media coverage beyond the US into the UK.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weeks, $10M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Benefitness Health Club — Marketing Manager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May 2015 – Aug 2016  |  Brookline,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Developed and implemented marketing campaigns promoting membership and gym services.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Freelance Writer &amp; Editor — Self-Employed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Aug 2014 – Sep 2016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Wrote blog articles, SEO web content, product reviews, and ghostwriting for clients including Benefitness Health Club, the North American Neuroendocrine Tumor Society (NANETS), and individual private clients; also designed and built client websites.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Wrote copy for up to five retail websites daily while managing and training a team of 5–8 writers, maintaining a distinct brand voice across a portfolio of consumer brands.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2026-09-01T21:20:21.068Z</dcterms:created>
  <dcterms:modified xsi:type="dcterms:W3CDTF">2026-09-01T21:20:21.068Z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