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sz w:val="34"/>
          <w:szCs w:val="34"/>
        </w:rPr>
        <w:t xml:space="preserve">Taylor Bornstein</w:t>
      </w:r>
    </w:p>
    <w:p>
      <w:pPr>
        <w:spacing w:after="100"/>
        <w:jc w:val="center"/>
      </w:pPr>
      <w:r>
        <w:rPr>
          <w:rFonts w:ascii="Cambria" w:cs="Cambria" w:eastAsia="Cambria" w:hAnsi="Cambria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60" w:before="40"/>
      </w:pPr>
      <w:r>
        <w:rPr>
          <w:rFonts w:ascii="Cambria" w:cs="Cambria" w:eastAsia="Cambria" w:hAnsi="Cambria"/>
          <w:sz w:val="20"/>
          <w:szCs w:val="20"/>
        </w:rPr>
        <w:t xml:space="preserve">Content director who builds content strategy and the programs that scale it for technical and executive audiences. Proven capacity to build thriving practices from the ground up, including: the editorial infrastructure, AI tooling, measurement, and teams.</w:t>
      </w:r>
    </w:p>
    <w:p>
      <w:pPr>
        <w:spacing w:after="0"/>
      </w:pPr>
      <w:r>
        <w:rPr>
          <w:rFonts w:ascii="Cambria" w:cs="Cambria" w:eastAsia="Cambria" w:hAnsi="Cambria"/>
          <w:b/>
          <w:bCs/>
          <w:color w:val="333333"/>
          <w:sz w:val="18"/>
          <w:szCs w:val="18"/>
        </w:rPr>
        <w:t xml:space="preserve">Content Strategy &amp; Editorial Programs  ·  Hands-On Writing &amp; Editing  ·  Team Building  ·  AI Tooling for Content  ·  SEO / GEO &amp; Attribution  ·  PR &amp; Thought Leadership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mbria" w:cs="Cambria" w:eastAsia="Cambria" w:hAnsi="Cambria"/>
          <w:b/>
          <w:bCs/>
          <w:color w:val="1A1A1A"/>
          <w:spacing w:val="12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Bolt.new — Content and Communications Director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Set content strategy across B2B and B2C messaging: launched a new blog, increased publication cadence from 1–2 posts/month to 3–4/week, and built a customer story pipeline sourced from B2C customers.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Personally write and edit ongoing blog posts, customer stories, and web copy, staying hands-on with execution while setting the strategy the rest of the team builds against.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Diagnosed AI-answer visibility and citation performance, then built and executed a GEO/AEO content strategy against the gaps: grew own-domain citations from 786 to 1,809 in a month (#9 → #5 among all cited domains, the largest gain in the top 25) while holding #1 in AI-answer visibility in "AI development tools" category (57.3%, +3.6 points month-over-month).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Built and rolled out a content and writing suite of AI tools and distributed them company-wide. Also built a Claude-linked copy desk for editorial review, plus a custom content calendar for content and PR.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Led foundational brand work spanning mission, vision, tone of voice, and editorial guidelines.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Established a new PR program from the ground up: defined the enterprise and entrepreneur audience, mapped the media universe, and expanded the spokesperson bench from 1 to 6. Extended earned media coverage beyond the US into the UK.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Mendix — Director of Content Marketing and Public Relations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Planned and executed an integrated campaign built on an original global survey in 4 months: coverage up 75% within 3 weeks from the previous year, $10M influenced pipeline.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Optimized a $1M annual budget, reallocating toward high-impact initiatives.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Ran a data-driven PR program across 5 agencies (US, UK, Benelux, DACH, Singapore); drove earned media to 60% of total coverage in tier-1 publications, a 40% YoY increase.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Mendix — Senior Manager &amp; Manager, Content Marketing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Sep 2020 – Jul 2023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Grew the content team from 1 to 9 writers and content strategists in 9 months; built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Recovered a 22% YoY web traffic deficit with 4 new SEO-optimized, pain-point-focused content BOMs.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Redefined social content strategy (2 platforms to 4 in 3 months), saving $132K annually in agency costs; launched an executive thought-leadership program that lifted engagement 80% in 6 months.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Mendix — Copywriter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Sep 2019 – Sep 2020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Established the Mendix brand voice and editorial guidelines across blogs, ebooks, white papers, webinars, video, events, and email.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Iron Mountain — Marketing Copywriter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Sep 2016 – Aug 2019  |  Boston,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Built a thought-leadership microsite from concept through launch; implemented full-funnel, multi-channel content plans tailored to customer personas across product lines and geographies.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Benefitness Health Club — Marketing Manager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May 2015 – Aug 2016  |  Brookline,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Developed and implemented marketing campaigns promoting membership and gym services.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Freelance Writer &amp; Editor — Self-Employed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Aug 2014 – Sep 2016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Wrote blog articles, SEO web content, product reviews, and ghostwriting for clients including Benefitness Health Club, the North American Neuroendocrine Tumor Society (NANETS), and individual private clients; also designed and built client websites.</w:t>
      </w:r>
    </w:p>
    <w:p>
      <w:pPr>
        <w:tabs>
          <w:tab w:val="right" w:pos="10800"/>
        </w:tabs>
        <w:spacing w:after="20" w:before="100"/>
      </w:pPr>
      <w:r>
        <w:rPr>
          <w:rFonts w:ascii="Cambria" w:cs="Cambria" w:eastAsia="Cambria" w:hAnsi="Cambria"/>
          <w:b/>
          <w:bCs/>
          <w:sz w:val="20"/>
          <w:szCs w:val="20"/>
        </w:rPr>
        <w:t xml:space="preserve">Internet Brands — Content Editor &amp; Manager, Retail Marketing</w:t>
      </w:r>
      <w:r>
        <w:rPr>
          <w:rFonts w:ascii="Cambria" w:cs="Cambria" w:eastAsia="Cambria" w:hAnsi="Cambria"/>
          <w:i/>
          <w:iCs/>
          <w:color w:val="444444"/>
          <w:sz w:val="18"/>
          <w:szCs w:val="18"/>
        </w:rPr>
        <w:t xml:space="preserve">	2009 – 2014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mbria" w:cs="Cambria" w:eastAsia="Cambria" w:hAnsi="Cambria"/>
          <w:sz w:val="20"/>
          <w:szCs w:val="20"/>
        </w:rPr>
        <w:t xml:space="preserve">Wrote copy for up to five retail websites daily while managing and training a team of 5–8 writers, maintaining a distinct brand voice across a portfolio of consumer brands.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mbria" w:cs="Cambria" w:eastAsia="Cambria" w:hAnsi="Cambria"/>
          <w:b/>
          <w:bCs/>
          <w:color w:val="1A1A1A"/>
          <w:spacing w:val="12"/>
          <w:sz w:val="20"/>
          <w:szCs w:val="20"/>
        </w:rPr>
        <w:t xml:space="preserve">EDUCATION</w:t>
      </w:r>
    </w:p>
    <w:p>
      <w:pPr>
        <w:spacing w:after="0"/>
      </w:pPr>
      <w:r>
        <w:rPr>
          <w:rFonts w:ascii="Cambria" w:cs="Cambria" w:eastAsia="Cambria" w:hAnsi="Cambria"/>
          <w:sz w:val="20"/>
          <w:szCs w:val="20"/>
        </w:rPr>
        <w:t xml:space="preserve">MA in Creative Writing, University of Warwick  ·  BA in English &amp; Spanish, University of Vermont (cum laude)</w:t>
      </w:r>
    </w:p>
    <w:sectPr>
      <w:pgSz w:w="12240" w:h="15840" w:orient="portrait"/>
      <w:pgMar w:top="460" w:right="576" w:bottom="460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2026-09-02T01:32:21.661Z</dcterms:created>
  <dcterms:modified xsi:type="dcterms:W3CDTF">2026-09-02T01:32:21.676Z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