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Taylor Bornstein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Fredericksburg, VA (Remote)  |  617-458-6249  |  taylor.spear@gmail.com  |  taylorbornstein.com  |  linkedin.com/in/taylorscribnerspear</w:t>
      </w:r>
    </w:p>
    <w:p>
      <w:pPr>
        <w:pBdr>
          <w:bottom w:val="single" w:color="444444" w:sz="6" w:space="1"/>
        </w:pBdr>
        <w:spacing w:after="60" w:before="60"/>
      </w:pPr>
    </w:p>
    <w:p>
      <w:pPr>
        <w:spacing w:after="60" w:before="40"/>
      </w:pPr>
      <w:r>
        <w:rPr>
          <w:rFonts w:ascii="Calibri" w:cs="Calibri" w:eastAsia="Calibri" w:hAnsi="Calibri"/>
          <w:sz w:val="20"/>
          <w:szCs w:val="20"/>
        </w:rPr>
        <w:t xml:space="preserve">Content director who builds content strategy and the programs that scale it for technical and executive audiences. Proven capacity to build thriving practices from the ground up, including: the editorial infrastructure, AI tooling, measurement, and teams.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333333"/>
          <w:sz w:val="18"/>
          <w:szCs w:val="18"/>
        </w:rPr>
        <w:t xml:space="preserve">Content Strategy &amp; Editorial Programs  ·  Hands-On Writing &amp; Editing  ·  Team Building  ·  AI Tooling for Content  ·  SEO / GEO &amp; Attribution  ·  PR &amp; Thought Leadership</w:t>
      </w:r>
    </w:p>
    <w:p>
      <w:pPr>
        <w:pBdr>
          <w:bottom w:val="single" w:color="888888" w:sz="4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pacing w:val="12"/>
          <w:sz w:val="20"/>
          <w:szCs w:val="20"/>
        </w:rPr>
        <w:t xml:space="preserve">EXPERIENCE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Bolt.new — Content and Communications Director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Feb 2026 – Present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Set content strategy across B2B and B2C messaging: launched a new blog, increased publication cadence from 1–2 posts/month to 3–4/week, and built a customer story pipeline sourced from B2C customers.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Personally write and edit ongoing blog posts, customer stories, and web copy, staying hands-on with execution while setting the strategy the rest of the team builds against.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Diagnosed AI-answer visibility and citation performance, then built and executed a GEO/AEO content strategy against the gaps: grew own-domain citations from 786 to 1,809 in a month (#9 → #5 among all cited domains, the largest gain in the top 25) while holding #1 in AI-answer visibility in "AI development tools" category (57.3%, +3.6 points month-over-month).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Built and rolled out a content and writing suite of AI tools and distributed them company-wide. Also built a Claude-linked copy desk for editorial review, plus a custom content calendar for content and PR.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Led foundational brand work spanning mission, vision, tone of voice, and editorial guidelines.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Established a new PR program from the ground up: defined the enterprise and entrepreneur audience, mapped the media universe, and expanded the spokesperson bench from 1 to 6. Extended earned media coverage beyond the US into the UK.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Mendix — Director of Content Marketing and Public Relations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Jul 2023 – Feb 2026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Planned and executed an integrated campaign built on an original global survey in 4 months: coverage up 75% within 3 weeks from the previous year, $10M influenced pipeline.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Optimized a $1M annual budget, reallocating toward high-impact initiatives.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Ran a data-driven PR program across 5 agencies (US, UK, Benelux, DACH, Singapore); drove earned media to 60% of total coverage in tier-1 publications, a 40% YoY increase.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Mendix — Senior Manager &amp; Manager, Content Marketing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2020 – Jul 2023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Grew the content team from 1 to 9 writers and content strategists in 9 months; built the editorial calendar and full-funnel content program that scaled with it.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Recovered a 22% YoY web traffic deficit with 4 new SEO-optimized, pain-point-focused content BOMs.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Redefined social content strategy (2 platforms to 4 in 3 months), saving $132K annually in agency costs; launched an executive thought-leadership program that lifted engagement 80% in 6 months.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Mendix — Copywriter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2019 – Sep 2020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Established the Mendix brand voice and editorial guidelines across blogs, ebooks, white papers, webinars, video, events, and email.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Iron Mountain — Marketing Copywriter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2016 – Aug 2019  |  Boston, MA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Built a thought-leadership microsite from concept through launch; implemented full-funnel, multi-channel content plans tailored to customer personas across product lines and geographies.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Benefitness Health Club — Marketing Manager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May 2015 – Aug 2016  |  Brookline, MA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Developed and implemented marketing campaigns promoting membership and gym services.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Freelance Writer &amp; Editor — Self-Employed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Aug 2014 – Sep 2016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Wrote blog articles, SEO web content, product reviews, and ghostwriting for clients including Benefitness Health Club, the North American Neuroendocrine Tumor Society (NANETS), and individual private clients; also designed and built client websites.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Internet Brands — Content Editor &amp; Manager, Retail Marketing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2009 – 2014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Wrote copy for up to five retail websites daily while managing and training a team of 5–8 writers, maintaining a distinct brand voice across a portfolio of consumer brands.</w:t>
      </w:r>
    </w:p>
    <w:p>
      <w:pPr>
        <w:pBdr>
          <w:bottom w:val="single" w:color="888888" w:sz="4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pacing w:val="12"/>
          <w:sz w:val="20"/>
          <w:szCs w:val="20"/>
        </w:rPr>
        <w:t xml:space="preserve">EDUCATION</w:t>
      </w:r>
    </w:p>
    <w:p>
      <w:p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MA in Creative Writing, University of Warwick  ·  BA in English &amp; Spanish, University of Vermont (cum laude)</w:t>
      </w:r>
    </w:p>
    <w:sectPr>
      <w:pgSz w:w="12240" w:h="15840" w:orient="portrait"/>
      <w:pgMar w:top="460" w:right="576" w:bottom="460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6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2026-09-01T21:38:37.222Z</dcterms:created>
  <dcterms:modified xsi:type="dcterms:W3CDTF">2026-09-01T21:38:37.236Z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