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Taylor Bornstein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Fredericksburg, VA (Remote)  |  617-458-6249  |  taylor.spear@gmail.com  |  taylorbornstein.com  |  linkedin.com/in/taylorscribnerspear</w:t>
      </w:r>
    </w:p>
    <w:p>
      <w:pPr>
        <w:pBdr>
          <w:bottom w:val="single" w:color="444444" w:sz="6" w:space="1"/>
        </w:pBdr>
        <w:spacing w:after="60" w:before="60"/>
      </w:pPr>
    </w:p>
    <w:p>
      <w:pPr>
        <w:spacing w:after="60" w:before="40"/>
      </w:pPr>
      <w:r>
        <w:rPr>
          <w:rFonts w:ascii="Calibri" w:cs="Calibri" w:eastAsia="Calibri" w:hAnsi="Calibri"/>
          <w:sz w:val="20"/>
          <w:szCs w:val="20"/>
        </w:rPr>
        <w:t xml:space="preserve">Content director who builds content strategy and the programs that scale it — editorial infrastructure, AI tooling, measurement, and teams — for technical and executive audiences. Stays hands-on: writes and edits the blogs, customer stories, and web pages the strategy runs on.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Content Strategy &amp; Editorial Programs  ·  Hands-On Writing &amp; Editing  ·  Team Building  ·  AI Tooling for Content  ·  SEO / GEO &amp; Attribution  ·  PR &amp; Thought Leadership</w:t>
      </w:r>
    </w:p>
    <w:p>
      <w:pPr>
        <w:pBdr>
          <w:bottom w:val="single" w:color="888888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A1A1A"/>
          <w:spacing w:val="12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Bolt.new — Content and Communications Director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Feb 2026 – Present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Set content strategy across B2B and B2C messaging: launched a new blog, increased publication cadence from 1–2 posts/month to 3–4/week, and built a customer story pipeline sourced from B2C customers.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Personally write and edit ongoing blog posts, customer stories, and web copy — stays hands-on with execution while setting the strategy the rest of the team builds against.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Diagnosed AI-answer visibility and citation performance, then built and executed a GEO/AEO content strategy against the gaps: grew own-domain citations from 786 to 1,809 in a month (#9 → #5 among all cited domains, the largest gain in the top 25) while holding #1 in AI-answer visibility (57.3%, +3.6 points month-over-month).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Built and rolled out a content and writing suite of AI tools — a Claude-linked copy desk for editorial review, plus the custom content calendar the team runs on — distributed company-wide and across the creator and agency network.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Led foundational brand work spanning mission, vision, tone of voice, and editorial guidelines.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Established a new PR program from the ground up: defined the enterprise audience, mapped the media universe, and expanded the spokesperson bench from 1 to 6.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Extended earned media coverage beyond the US into the UK.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Mendix — Director of Content Marketing and Public Relations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Jul 2023 – Feb 2026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Planned and executed an integrated campaign built on an original global survey in 4 months: coverage up 75% within 3 weeks, $10M influenced pipeline.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Optimized a $1M annual budget, reallocating toward high-impact initiatives.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Ran a data-driven PR program across 5 agencies (US, UK, Benelux, DACH, Singapore); drove earned media to 60% of total coverage in tier-1 publications, a 40% YoY increase.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Mendix — Senior Manager &amp; Manager, Content Marketing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Sep 2020 – Jul 2023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Grew the content team from 1 to 9 writers and content strategists in 9 months; built the editorial calendar and full-funnel content program that scaled with it.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Recovered a 22% YoY web traffic deficit with 4 new SEO-optimized, pain-point-focused content BOMs.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Redefined social content strategy (2 platforms to 4 in 3 months), saving $132K annually in agency costs; launched an executive thought-leadership program that lifted engagement 80% in 6 months.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Mendix — Copywriter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Sep 2019 – Sep 2020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Established the Mendix brand voice and editorial guidelines across blogs, ebooks, white papers, webinars, video, events, and email.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Iron Mountain — Marketing Copywriter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Sep 2016 – Aug 2019  |  Boston, MA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Built a thought-leadership microsite from concept through launch; implemented full-funnel, multi-channel content plans tailored to customer personas across product lines and geographies.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Benefitness Health Club — Marketing Manager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May 2015 – Aug 2016  |  Brookline, MA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Developed and implemented marketing campaigns promoting membership and gym services.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 Writer &amp; Editor — Self-Employed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Aug 2014 – Sep 2016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Wrote blog articles, SEO web content, product reviews, and ghostwriting for clients including Benefitness Health Club, the North American Neuroendocrine Tumor Society (NANETS), and individual private clients; also designed and built client websites.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Internet Brands — Content Editor &amp; Manager, Retail Marketing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2009 – 2014  |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Wrote copy for up to five retail websites daily while managing and training a team of 5–8 writers, maintaining a distinct brand voice across a portfolio of consumer brands.</w:t>
      </w:r>
    </w:p>
    <w:p>
      <w:pPr>
        <w:pBdr>
          <w:bottom w:val="single" w:color="888888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1A1A1A"/>
          <w:spacing w:val="12"/>
          <w:sz w:val="20"/>
          <w:szCs w:val="20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MA in Writing, University of Warwick  ·  BA in English &amp; Spanish, University of Vermont (cum laude)</w:t>
      </w:r>
    </w:p>
    <w:sectPr>
      <w:pgSz w:w="12240" w:h="15840" w:orient="portrait"/>
      <w:pgMar w:top="460" w:right="576" w:bottom="46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2026-09-01T21:24:03.455Z</dcterms:created>
  <dcterms:modified xsi:type="dcterms:W3CDTF">2026-09-01T21:24:03.455Z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