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Noto Sans" w:cs="Noto Sans" w:eastAsia="Noto Sans" w:hAnsi="Noto Sans"/>
          <w:b/>
          <w:bCs/>
          <w:sz w:val="32"/>
          <w:szCs w:val="32"/>
        </w:rPr>
        <w:t xml:space="preserve">Taylor Bornstein</w:t>
      </w:r>
    </w:p>
    <w:p>
      <w:pPr>
        <w:spacing w:after="120"/>
        <w:jc w:val="center"/>
      </w:pPr>
      <w:r>
        <w:rPr>
          <w:rFonts w:ascii="Noto Sans" w:cs="Noto Sans" w:eastAsia="Noto Sans" w:hAnsi="Noto Sans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80" w:before="60"/>
      </w:pPr>
      <w:r>
        <w:rPr>
          <w:rFonts w:ascii="Noto Sans" w:cs="Noto Sans" w:eastAsia="Noto Sans" w:hAnsi="Noto Sans"/>
          <w:sz w:val="20"/>
          <w:szCs w:val="20"/>
        </w:rPr>
        <w:t xml:space="preserve">Content and communications director who builds the editorial infrastructure, thought-leadership programs, and AI tooling that let technical companies say something worth reading, consistently. Runs brand voice and PR side by side, with a track record establishing programs from zero and building the teams that scale them.</w:t>
      </w:r>
    </w:p>
    <w:p>
      <w:pPr>
        <w:spacing w:after="0"/>
      </w:pPr>
      <w:r>
        <w:rPr>
          <w:rFonts w:ascii="Noto Sans" w:cs="Noto Sans" w:eastAsia="Noto Sans" w:hAnsi="Noto Sans"/>
          <w:b/>
          <w:bCs/>
          <w:color w:val="333333"/>
          <w:sz w:val="18"/>
          <w:szCs w:val="18"/>
        </w:rPr>
        <w:t xml:space="preserve">Editorial Strategy &amp; Brand Voice  ·  Thought Leadership &amp; PR  ·  Team Building &amp; Leadership  ·  AI Tooling for Content  ·  Executive &amp; Investor Communications  ·  Dual-Audience Storytelling</w:t>
      </w:r>
    </w:p>
    <w:p>
      <w:pPr>
        <w:pBdr>
          <w:bottom w:val="single" w:color="888888" w:sz="4" w:space="2"/>
        </w:pBdr>
        <w:spacing w:after="60" w:before="200"/>
      </w:pPr>
      <w:r>
        <w:rPr>
          <w:rFonts w:ascii="Noto Sans" w:cs="Noto Sans" w:eastAsia="Noto Sans" w:hAnsi="Noto Sans"/>
          <w:b/>
          <w:bCs/>
          <w:color w:val="1A1A1A"/>
          <w:spacing w:val="12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Bolt.new — Content and Communications Director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Led foundational brand work spanning mission, vision, tone of voice, and editorial guidelines: the standards that keep content consistent across the internal team, external creators, and agency partners.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Diagnosed AI-answer visibility and citation performance, then built and executed a GEO/AEO content strategy against the gaps: grew own-domain citations from 786 to 1,809 in a month (#9 → #5 among all cited domains) while holding #1 in AI-answer visibility.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and rolled out a company-wide AI tooling suite for research, writing, and editorial review, including a Claude-linked copy desk, plus a measurement framework connecting content and PR performance to business metrics.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Established a new PR program from the ground up: defined the audience, mapped the media universe, expanded the spokesperson bench from 1 to 6, and extended earned coverage beyond the US into the UK.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Set content strategy across B2B and B2C messaging and built a customer story pipeline from original customer research.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Launched a new blog and increased publication cadence from 1–2 posts/month to 3–4/week; personally writes and edits ongoing posts, customer stories, and web copy while setting the strategy the rest of the team builds against.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Director of Content and Public Relations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Owned Mendix's flagship research and thought-leadership program: planned and executed an integrated campaign anchored on an original global survey in 4 months, landing 75% more coverage than prior years within 3 weeks and $10M in influenced pipeline.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Directed a data-driven PR program across 5 agencies spanning the US, UK, Benelux, DACH, and Singapore, none of them reporting to me, holding every market to the same editorial bar; drove earned media to 60% of tier-1 coverage, a 40% YoY increase.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Unified content and PR messaging into one consistent story across customer-facing content and earned media, connecting the funnel from first press mention to purchase decision.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Optimized a $1M annual budget, reallocating toward high-impact initiatives.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Senior Manager, Content Services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Nov 2022 – Jul 2023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an executive thought-leadership program that lifted engagement 80% within 6 months; mentored a team of writers producing customer stories for a technical audience.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Manager, Content Marketing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May 2020 – Nov 2022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Expanded the content team from 1 to 9 writers and content strategists in 9 months, building the editorial calendar and full-funnel content program that scaled with it, translating product positioning into narratives for technical and executive audiences.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Copywriter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Sep 2019 – Apr 2020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Established the Mendix brand voice and editorial guidelines across every content format — blogs, ebooks, white papers, guides, webinars, video, events, email, digital — the standards a fast-growing content org still runs on.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Iron Mountain — Copywriter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Sep 2016 – Aug 2019  |  Boston, MA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 thought-leadership microsite from concept through launch; ran full-funnel, multi-channel content plans tailored to customer personas across multiple product lines and geographies.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Internet Brands — Content Editor &amp; Manager, Retail Marketing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Jul 2009 – Jul 2014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Managed and trained a team of 5–8 writers across multiple retail web properties, maintaining distinct brand voices across a portfolio of consumer brands.</w:t>
      </w:r>
    </w:p>
    <w:p>
      <w:pPr>
        <w:pBdr>
          <w:bottom w:val="single" w:color="888888" w:sz="4" w:space="2"/>
        </w:pBdr>
        <w:spacing w:after="60" w:before="200"/>
      </w:pPr>
      <w:r>
        <w:rPr>
          <w:rFonts w:ascii="Noto Sans" w:cs="Noto Sans" w:eastAsia="Noto Sans" w:hAnsi="Noto Sans"/>
          <w:b/>
          <w:bCs/>
          <w:color w:val="1A1A1A"/>
          <w:spacing w:val="12"/>
          <w:sz w:val="19"/>
          <w:szCs w:val="19"/>
        </w:rPr>
        <w:t xml:space="preserve">EDUCATION</w:t>
      </w:r>
    </w:p>
    <w:p>
      <w:pPr>
        <w:spacing w:after="0"/>
      </w:pPr>
      <w:r>
        <w:rPr>
          <w:rFonts w:ascii="Noto Sans" w:cs="Noto Sans" w:eastAsia="Noto Sans" w:hAnsi="Noto Sans"/>
          <w:sz w:val="20"/>
          <w:szCs w:val="20"/>
        </w:rPr>
        <w:t xml:space="preserve">MA in Creative Writing, University of Warwick  ·  BA in English &amp; Spanish, University of Vermont (cum laude)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2026-09-28T20:11:52.357Z</dcterms:created>
  <dcterms:modified xsi:type="dcterms:W3CDTF">2026-09-28T20:11:52.367Z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