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C8A" w:val="clear"/>
            <w:tcMar>
              <w:top w:type="dxa" w:w="400"/>
              <w:left w:type="dxa" w:w="400"/>
              <w:bottom w:type="dxa" w:w="400"/>
              <w:right w:type="dxa" w:w="400"/>
            </w:tcMar>
          </w:tcPr>
          <w:p>
            <w:pPr>
              <w:spacing w:after="120" w:before="0"/>
              <w:jc w:val="center"/>
            </w:pPr>
            <w:r>
              <w:rPr>
                <w:rFonts w:ascii="Arial" w:cs="Arial" w:eastAsia="Arial" w:hAnsi="Arial"/>
                <w:b/>
                <w:bCs/>
                <w:color w:val="FFFFFF"/>
                <w:sz w:val="72"/>
                <w:szCs w:val="72"/>
              </w:rPr>
              <w:t xml:space="preserve">CareSync</w:t>
            </w:r>
          </w:p>
          <w:p>
            <w:pPr>
              <w:spacing w:after="200" w:before="0"/>
              <w:jc w:val="center"/>
            </w:pPr>
            <w:r>
              <w:rPr>
                <w:rFonts w:ascii="Arial" w:cs="Arial" w:eastAsia="Arial" w:hAnsi="Arial"/>
                <w:i/>
                <w:iCs/>
                <w:color w:val="BDD7EE"/>
                <w:sz w:val="32"/>
                <w:szCs w:val="32"/>
              </w:rPr>
              <w:t xml:space="preserve">Plateforme Intelligente de Coordination des Soins</w:t>
            </w:r>
          </w:p>
          <w:p>
            <w:pPr>
              <w:spacing w:after="0" w:before="0"/>
              <w:jc w:val="center"/>
            </w:pPr>
            <w:r>
              <w:rPr>
                <w:rFonts w:ascii="Arial" w:cs="Arial" w:eastAsia="Arial" w:hAnsi="Arial"/>
                <w:color w:val="FFFFFF"/>
                <w:sz w:val="24"/>
                <w:szCs w:val="24"/>
              </w:rPr>
              <w:t xml:space="preserve">♥  Dossier de Spécifications Fonctionnelles &amp; Techniques</w:t>
            </w:r>
          </w:p>
        </w:tc>
      </w:tr>
    </w:tbl>
    <w:p>
      <w:pPr>
        <w:spacing w:after="120" w:before="120"/>
      </w:pPr>
      <w:r>
        <w:t xml:space="preserve"/>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Version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1.0.0 — Draft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Avril 2025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Auteur</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Équipe Produit CareSync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Statut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En cours de validation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Confidentialité</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Confidentiel — Usage interne</w:t>
            </w:r>
          </w:p>
        </w:tc>
      </w:tr>
    </w:tbl>
    <w:p>
      <w:pPr>
        <w:spacing w:after="120" w:before="120"/>
      </w:pPr>
      <w:r>
        <w:t xml:space="preserve"/>
      </w:r>
    </w:p>
    <w:p>
      <w:pPr>
        <w:spacing w:after="120" w:before="120"/>
      </w:pPr>
      <w:r>
        <w:t xml:space="preserve"/>
      </w:r>
    </w:p>
    <w:p>
      <w:pPr>
        <w:spacing w:after="120" w:before="120"/>
      </w:pPr>
      <w:r>
        <w:t xml:space="preserve"/>
      </w:r>
    </w:p>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1. Résumé Exécutif</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9F8" w:val="clear"/>
            <w:tcMar>
              <w:top w:type="dxa" w:w="160"/>
              <w:left w:type="dxa" w:w="240"/>
              <w:bottom w:type="dxa" w:w="160"/>
              <w:right w:type="dxa" w:w="240"/>
            </w:tcMar>
          </w:tcPr>
          <w:p>
            <w:pPr>
              <w:spacing w:after="60" w:before="0"/>
            </w:pPr>
            <w:r>
              <w:rPr>
                <w:rFonts w:ascii="Arial" w:cs="Arial" w:eastAsia="Arial" w:hAnsi="Arial"/>
                <w:b/>
                <w:bCs/>
                <w:color w:val="1A5C8A"/>
                <w:sz w:val="22"/>
                <w:szCs w:val="22"/>
              </w:rPr>
              <w:t xml:space="preserve">Vision du Produit</w:t>
            </w:r>
          </w:p>
          <w:p>
            <w:pPr>
              <w:spacing w:after="0" w:before="0"/>
            </w:pPr>
            <w:r>
              <w:rPr>
                <w:rFonts w:ascii="Arial" w:cs="Arial" w:eastAsia="Arial" w:hAnsi="Arial"/>
                <w:color w:val="333333"/>
                <w:sz w:val="21"/>
                <w:szCs w:val="21"/>
              </w:rPr>
              <w:t xml:space="preserve">CareSync est une plateforme SaaS médicale B2B permettant la coordination en temps réel des parcours de soins des patients atteints de maladies chroniques, reliant médecins, infirmiers, pharmaciens et patients dans un écosystème sécurisé, conforme HDS et RGPD.</w:t>
            </w:r>
          </w:p>
        </w:tc>
      </w:tr>
    </w:tbl>
    <w:p>
      <w:pPr>
        <w:spacing w:after="120" w:before="120"/>
      </w:pPr>
      <w:r>
        <w:t xml:space="preserve"/>
      </w:r>
    </w:p>
    <w:p>
      <w:pPr>
        <w:pStyle w:val="Heading2"/>
        <w:spacing w:after="160" w:before="320"/>
      </w:pPr>
      <w:r>
        <w:rPr>
          <w:rFonts w:ascii="Arial" w:cs="Arial" w:eastAsia="Arial" w:hAnsi="Arial"/>
          <w:b/>
          <w:bCs/>
          <w:color w:val="0E7C7B"/>
          <w:sz w:val="26"/>
          <w:szCs w:val="26"/>
        </w:rPr>
        <w:t xml:space="preserve">1.1 Problème Adressé</w:t>
      </w:r>
    </w:p>
    <w:p>
      <w:pPr>
        <w:spacing w:after="80" w:before="80"/>
      </w:pPr>
      <w:r>
        <w:rPr>
          <w:rFonts w:ascii="Arial" w:cs="Arial" w:eastAsia="Arial" w:hAnsi="Arial"/>
          <w:color w:val="333333"/>
          <w:sz w:val="22"/>
          <w:szCs w:val="22"/>
        </w:rPr>
        <w:t xml:space="preserve">Les maladies chroniques (diabète, insuffisance cardiaque, BPCO, cancers) représentent 86% des dépenses de santé en Europe. Les principales défaillances identifiées sont :</w:t>
      </w:r>
    </w:p>
    <w:p>
      <w:pPr>
        <w:pStyle w:val="ListParagraph"/>
        <w:numPr>
          <w:ilvl w:val="0"/>
          <w:numId w:val="2"/>
        </w:numPr>
        <w:spacing w:after="60" w:before="60"/>
      </w:pPr>
      <w:r>
        <w:rPr>
          <w:rFonts w:ascii="Arial" w:cs="Arial" w:eastAsia="Arial" w:hAnsi="Arial"/>
          <w:color w:val="333333"/>
          <w:sz w:val="22"/>
          <w:szCs w:val="22"/>
        </w:rPr>
        <w:t xml:space="preserve">Ruptures dans le parcours de soins entre les différents acteurs de santé</w:t>
      </w:r>
    </w:p>
    <w:p>
      <w:pPr>
        <w:pStyle w:val="ListParagraph"/>
        <w:numPr>
          <w:ilvl w:val="0"/>
          <w:numId w:val="2"/>
        </w:numPr>
        <w:spacing w:after="60" w:before="60"/>
      </w:pPr>
      <w:r>
        <w:rPr>
          <w:rFonts w:ascii="Arial" w:cs="Arial" w:eastAsia="Arial" w:hAnsi="Arial"/>
          <w:color w:val="333333"/>
          <w:sz w:val="22"/>
          <w:szCs w:val="22"/>
        </w:rPr>
        <w:t xml:space="preserve">Absence d'outil unifié de coordination entre ville et hôpital</w:t>
      </w:r>
    </w:p>
    <w:p>
      <w:pPr>
        <w:pStyle w:val="ListParagraph"/>
        <w:numPr>
          <w:ilvl w:val="0"/>
          <w:numId w:val="2"/>
        </w:numPr>
        <w:spacing w:after="60" w:before="60"/>
      </w:pPr>
      <w:r>
        <w:rPr>
          <w:rFonts w:ascii="Arial" w:cs="Arial" w:eastAsia="Arial" w:hAnsi="Arial"/>
          <w:color w:val="333333"/>
          <w:sz w:val="22"/>
          <w:szCs w:val="22"/>
        </w:rPr>
        <w:t xml:space="preserve">Retards dans la détection des décompensations évitables</w:t>
      </w:r>
    </w:p>
    <w:p>
      <w:pPr>
        <w:pStyle w:val="ListParagraph"/>
        <w:numPr>
          <w:ilvl w:val="0"/>
          <w:numId w:val="2"/>
        </w:numPr>
        <w:spacing w:after="60" w:before="60"/>
      </w:pPr>
      <w:r>
        <w:rPr>
          <w:rFonts w:ascii="Arial" w:cs="Arial" w:eastAsia="Arial" w:hAnsi="Arial"/>
          <w:color w:val="333333"/>
          <w:sz w:val="22"/>
          <w:szCs w:val="22"/>
        </w:rPr>
        <w:t xml:space="preserve">Risques d'erreurs médicamenteuses par manque de partage d'information</w:t>
      </w:r>
    </w:p>
    <w:p>
      <w:pPr>
        <w:pStyle w:val="ListParagraph"/>
        <w:numPr>
          <w:ilvl w:val="0"/>
          <w:numId w:val="2"/>
        </w:numPr>
        <w:spacing w:after="60" w:before="60"/>
      </w:pPr>
      <w:r>
        <w:rPr>
          <w:rFonts w:ascii="Arial" w:cs="Arial" w:eastAsia="Arial" w:hAnsi="Arial"/>
          <w:color w:val="333333"/>
          <w:sz w:val="22"/>
          <w:szCs w:val="22"/>
        </w:rPr>
        <w:t xml:space="preserve">Non-respect des protocoles de suivi entraînant des ré-hospitalisations coûteuses</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1.2 Solution Proposée</w:t>
      </w:r>
    </w:p>
    <w:p>
      <w:pPr>
        <w:spacing w:after="80" w:before="80"/>
      </w:pPr>
      <w:r>
        <w:rPr>
          <w:rFonts w:ascii="Arial" w:cs="Arial" w:eastAsia="Arial" w:hAnsi="Arial"/>
          <w:color w:val="333333"/>
          <w:sz w:val="22"/>
          <w:szCs w:val="22"/>
        </w:rPr>
        <w:t xml:space="preserve">CareSync offre une plateforme unifiée avec :</w:t>
      </w:r>
    </w:p>
    <w:p>
      <w:pPr>
        <w:pStyle w:val="ListParagraph"/>
        <w:numPr>
          <w:ilvl w:val="0"/>
          <w:numId w:val="2"/>
        </w:numPr>
        <w:spacing w:after="60" w:before="60"/>
      </w:pPr>
      <w:r>
        <w:rPr>
          <w:rFonts w:ascii="Arial" w:cs="Arial" w:eastAsia="Arial" w:hAnsi="Arial"/>
          <w:color w:val="333333"/>
          <w:sz w:val="22"/>
          <w:szCs w:val="22"/>
        </w:rPr>
        <w:t xml:space="preserve">Un dossier patient partagé en temps réel entre tous les acteurs</w:t>
      </w:r>
    </w:p>
    <w:p>
      <w:pPr>
        <w:pStyle w:val="ListParagraph"/>
        <w:numPr>
          <w:ilvl w:val="0"/>
          <w:numId w:val="2"/>
        </w:numPr>
        <w:spacing w:after="60" w:before="60"/>
      </w:pPr>
      <w:r>
        <w:rPr>
          <w:rFonts w:ascii="Arial" w:cs="Arial" w:eastAsia="Arial" w:hAnsi="Arial"/>
          <w:color w:val="333333"/>
          <w:sz w:val="22"/>
          <w:szCs w:val="22"/>
        </w:rPr>
        <w:t xml:space="preserve">Des alertes intelligentes basées sur des seuils cliniques paramétrables</w:t>
      </w:r>
    </w:p>
    <w:p>
      <w:pPr>
        <w:pStyle w:val="ListParagraph"/>
        <w:numPr>
          <w:ilvl w:val="0"/>
          <w:numId w:val="2"/>
        </w:numPr>
        <w:spacing w:after="60" w:before="60"/>
      </w:pPr>
      <w:r>
        <w:rPr>
          <w:rFonts w:ascii="Arial" w:cs="Arial" w:eastAsia="Arial" w:hAnsi="Arial"/>
          <w:color w:val="333333"/>
          <w:sz w:val="22"/>
          <w:szCs w:val="22"/>
        </w:rPr>
        <w:t xml:space="preserve">Un module de télésurveillance intégrant les objets connectés de santé (IoT médical)</w:t>
      </w:r>
    </w:p>
    <w:p>
      <w:pPr>
        <w:pStyle w:val="ListParagraph"/>
        <w:numPr>
          <w:ilvl w:val="0"/>
          <w:numId w:val="2"/>
        </w:numPr>
        <w:spacing w:after="60" w:before="60"/>
      </w:pPr>
      <w:r>
        <w:rPr>
          <w:rFonts w:ascii="Arial" w:cs="Arial" w:eastAsia="Arial" w:hAnsi="Arial"/>
          <w:color w:val="333333"/>
          <w:sz w:val="22"/>
          <w:szCs w:val="22"/>
        </w:rPr>
        <w:t xml:space="preserve">Une messagerie sécurisée inter-professionnelle (conforme à la MSSanté en France)</w:t>
      </w:r>
    </w:p>
    <w:p>
      <w:pPr>
        <w:pStyle w:val="ListParagraph"/>
        <w:numPr>
          <w:ilvl w:val="0"/>
          <w:numId w:val="2"/>
        </w:numPr>
        <w:spacing w:after="60" w:before="60"/>
      </w:pPr>
      <w:r>
        <w:rPr>
          <w:rFonts w:ascii="Arial" w:cs="Arial" w:eastAsia="Arial" w:hAnsi="Arial"/>
          <w:color w:val="333333"/>
          <w:sz w:val="22"/>
          <w:szCs w:val="22"/>
        </w:rPr>
        <w:t xml:space="preserve">Des tableaux de bord analytiques avec indicateurs de qualité de soins</w:t>
      </w:r>
    </w:p>
    <w:p>
      <w:pPr>
        <w:pStyle w:val="ListParagraph"/>
        <w:numPr>
          <w:ilvl w:val="0"/>
          <w:numId w:val="2"/>
        </w:numPr>
        <w:spacing w:after="60" w:before="60"/>
      </w:pPr>
      <w:r>
        <w:rPr>
          <w:rFonts w:ascii="Arial" w:cs="Arial" w:eastAsia="Arial" w:hAnsi="Arial"/>
          <w:color w:val="333333"/>
          <w:sz w:val="22"/>
          <w:szCs w:val="22"/>
        </w:rPr>
        <w:t xml:space="preserve">Une API ouverte permettant l'intégration avec les systèmes existants (HIS, LIS, RIS)</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1.3 Modèle Économique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26"/>
      </w:tblGrid>
      <w:tr>
        <w:tc>
          <w:tcPr>
            <w:tcW w:type="dxa" w:w="22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Offre</w:t>
            </w:r>
          </w:p>
        </w:tc>
        <w:tc>
          <w:tcPr>
            <w:tcW w:type="dxa" w:w="20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Cible</w:t>
            </w:r>
          </w:p>
        </w:tc>
        <w:tc>
          <w:tcPr>
            <w:tcW w:type="dxa" w:w="22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Tarif</w:t>
            </w:r>
          </w:p>
        </w:tc>
        <w:tc>
          <w:tcPr>
            <w:tcW w:type="dxa" w:w="26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Paramètre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SaaS Établissement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Hôpitaux, cliniques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5 000 – 25 000 €/mois</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Selon nombre de lits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SaaS Réseau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Réseaux de soins, CPTS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1 500 – 8 000 €/mois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Selon nombre de professionnels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API Premium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Éditeurs logiciels tiers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Sur devis</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Volume de requêtes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Formation &amp;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 clients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Inclus ou optionnel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SLA personnalisé</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EEEE" w:val="clear"/>
            <w:tcMar>
              <w:top w:type="dxa" w:w="160"/>
              <w:left w:type="dxa" w:w="240"/>
              <w:bottom w:type="dxa" w:w="160"/>
              <w:right w:type="dxa" w:w="240"/>
            </w:tcMar>
          </w:tcPr>
          <w:p>
            <w:pPr>
              <w:spacing w:after="60" w:before="0"/>
            </w:pPr>
            <w:r>
              <w:rPr>
                <w:rFonts w:ascii="Arial" w:cs="Arial" w:eastAsia="Arial" w:hAnsi="Arial"/>
                <w:b/>
                <w:bCs/>
                <w:color w:val="0E7C7B"/>
                <w:sz w:val="22"/>
                <w:szCs w:val="22"/>
              </w:rPr>
              <w:t xml:space="preserve">Marché Cible — Chiffres Clés</w:t>
            </w:r>
          </w:p>
          <w:p>
            <w:pPr>
              <w:spacing w:after="0" w:before="0"/>
            </w:pPr>
            <w:r>
              <w:rPr>
                <w:rFonts w:ascii="Arial" w:cs="Arial" w:eastAsia="Arial" w:hAnsi="Arial"/>
                <w:color w:val="333333"/>
                <w:sz w:val="21"/>
                <w:szCs w:val="21"/>
              </w:rPr>
              <w:t xml:space="preserve">Europe : 700 M€ de marché adressable en coordination de soins numériques (CAGR +18%/an). France seule : 120 M€ potentiels. Concurrents directs : Lifelight Health (UK), Coordenation Health (US) — pas encore d'acteur dominant en France.</w:t>
            </w:r>
          </w:p>
        </w:tc>
      </w:tr>
    </w:tbl>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2. Architecture Technique</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2.1 Stack Technologique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4726"/>
      </w:tblGrid>
      <w:tr>
        <w:tc>
          <w:tcPr>
            <w:tcW w:type="dxa" w:w="20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Couche</w:t>
            </w:r>
          </w:p>
        </w:tc>
        <w:tc>
          <w:tcPr>
            <w:tcW w:type="dxa" w:w="23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Technologie</w:t>
            </w:r>
          </w:p>
        </w:tc>
        <w:tc>
          <w:tcPr>
            <w:tcW w:type="dxa" w:w="47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Détails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Java 21 (LTS)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Spring Boot 3.x, Spring Security, Spring Data JPA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Angular 18</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 RxJS, Angular Material, NgRx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PostgreSQL 16</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Schéma multi-tenant, chiffrement at-rest, TimescaleDB pour séries temporelles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Messagerie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Apache Kafka 3.x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Événements cliniques, alertes temps réel, audit trail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Cache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Redis 7</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Sessions, cache L2 Hibernate, rate limiting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Recherche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Elasticsearch 8</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Recherche patients, indexation full-text dossiers médicaux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API Gateway</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Spring Cloud Gateway</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Routing, rate limiting, JWT validation centralisée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Documentation API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Swagger / OpenAPI 3.1</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Springdoc-openapi, interface Swagger UI intégrée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Secrets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HashiCorp Vault</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Gestion des secrets, certificats TLS, rotation des clés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Conteneurisation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 Kubernetes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Helm charts, Operators, autoscaling HPA/VPA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GitLab CI / ArgoCD</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GitOps, déploiement blue-green, rollback automatique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Observabilité</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Prometheus + Grafana</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Loki (logs), Tempo (traces), alerting PagerDuty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Authentification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Keycloak + SMART on FHIR</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OAuth2/OIDC, MFA obligatoire, SSO établissement</w:t>
            </w:r>
          </w:p>
        </w:tc>
      </w:tr>
    </w:tbl>
    <w:p>
      <w:pPr>
        <w:spacing w:after="120" w:before="120"/>
      </w:pPr>
      <w:r>
        <w:t xml:space="preserve"/>
      </w:r>
    </w:p>
    <w:p>
      <w:pPr>
        <w:pStyle w:val="Heading2"/>
        <w:spacing w:after="160" w:before="320"/>
      </w:pPr>
      <w:r>
        <w:rPr>
          <w:rFonts w:ascii="Arial" w:cs="Arial" w:eastAsia="Arial" w:hAnsi="Arial"/>
          <w:b/>
          <w:bCs/>
          <w:color w:val="0E7C7B"/>
          <w:sz w:val="26"/>
          <w:szCs w:val="26"/>
        </w:rPr>
        <w:t xml:space="preserve">2.2 Architecture Microservices</w:t>
      </w:r>
    </w:p>
    <w:p>
      <w:pPr>
        <w:spacing w:after="80" w:before="80"/>
      </w:pPr>
      <w:r>
        <w:rPr>
          <w:rFonts w:ascii="Arial" w:cs="Arial" w:eastAsia="Arial" w:hAnsi="Arial"/>
          <w:color w:val="333333"/>
          <w:sz w:val="22"/>
          <w:szCs w:val="22"/>
        </w:rPr>
        <w:t xml:space="preserve">CareSync est construit sur une architecture microservices orientée domaine (DDD) déployée sur Kubernetes. Chaque service est autonome, possède sa propre base de données et communique via Kafka (événements asynchrones) ou REST/gRPC (requêtes synchrones).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7C7B" w:val="clear"/>
            <w:tcMar>
              <w:top w:type="dxa" w:w="120"/>
              <w:left w:type="dxa" w:w="240"/>
              <w:bottom w:type="dxa" w:w="120"/>
              <w:right w:type="dxa" w:w="240"/>
            </w:tcMar>
          </w:tcPr>
          <w:p>
            <w:r>
              <w:rPr>
                <w:rFonts w:ascii="Arial" w:cs="Arial" w:eastAsia="Arial" w:hAnsi="Arial"/>
                <w:b/>
                <w:bCs/>
                <w:color w:val="FFFFFF"/>
                <w:sz w:val="24"/>
                <w:szCs w:val="24"/>
              </w:rPr>
              <w:t xml:space="preserve">Services Applicatifs</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026"/>
      </w:tblGrid>
      <w:tr>
        <w:tc>
          <w:tcPr>
            <w:tcW w:type="dxa" w:w="24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28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Responsabilité</w:t>
            </w:r>
          </w:p>
        </w:tc>
        <w:tc>
          <w:tcPr>
            <w:tcW w:type="dxa" w:w="18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Communication</w:t>
            </w:r>
          </w:p>
        </w:tc>
        <w:tc>
          <w:tcPr>
            <w:tcW w:type="dxa" w:w="20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Stockage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patient-service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Gestion du dossier patient (DMP)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REST + Kafka producer</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care-plan-service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Plans de soins, protocoles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 Kafka consumer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alert-service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Moteur d'alertes cliniques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Kafka Streams</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Redis + PostgreSQL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iot-ingestion-service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Réception données IoT (HL7 FHIR)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MQTT/gRPC</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TimescaleDB</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prescription-service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Ordonnances électroniques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REST</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messaging-service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Messagerie sécurisée inter-pro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 + Kafka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notification-service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Push/SMS/Email notifications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Kafka consumer</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Redis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Tableaux de bord, rapports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 Elasticsearch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auth-service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Authentification via Keycloak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OAuth2/OIDC</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Keycloak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audit-service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Traçabilité des accès (RGPD)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Kafka consumer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partitionné</w:t>
            </w:r>
          </w:p>
        </w:tc>
      </w:tr>
    </w:tbl>
    <w:p>
      <w:pPr>
        <w:spacing w:after="120" w:before="120"/>
      </w:pPr>
      <w:r>
        <w:t xml:space="preserve"/>
      </w:r>
    </w:p>
    <w:p>
      <w:pPr>
        <w:pStyle w:val="Heading2"/>
        <w:spacing w:after="160" w:before="320"/>
      </w:pPr>
      <w:r>
        <w:rPr>
          <w:rFonts w:ascii="Arial" w:cs="Arial" w:eastAsia="Arial" w:hAnsi="Arial"/>
          <w:b/>
          <w:bCs/>
          <w:color w:val="0E7C7B"/>
          <w:sz w:val="26"/>
          <w:szCs w:val="26"/>
        </w:rPr>
        <w:t xml:space="preserve">2.3 Infrastructure Kubernetes</w:t>
      </w:r>
    </w:p>
    <w:p>
      <w:pPr>
        <w:pStyle w:val="ListParagraph"/>
        <w:numPr>
          <w:ilvl w:val="0"/>
          <w:numId w:val="2"/>
        </w:numPr>
        <w:spacing w:after="60" w:before="60"/>
      </w:pPr>
      <w:r>
        <w:rPr>
          <w:rFonts w:ascii="Arial" w:cs="Arial" w:eastAsia="Arial" w:hAnsi="Arial"/>
          <w:color w:val="333333"/>
          <w:sz w:val="22"/>
          <w:szCs w:val="22"/>
        </w:rPr>
        <w:t xml:space="preserve">Cluster multi-namespace : production, staging, développement</w:t>
      </w:r>
    </w:p>
    <w:p>
      <w:pPr>
        <w:pStyle w:val="ListParagraph"/>
        <w:numPr>
          <w:ilvl w:val="0"/>
          <w:numId w:val="2"/>
        </w:numPr>
        <w:spacing w:after="60" w:before="60"/>
      </w:pPr>
      <w:r>
        <w:rPr>
          <w:rFonts w:ascii="Arial" w:cs="Arial" w:eastAsia="Arial" w:hAnsi="Arial"/>
          <w:color w:val="333333"/>
          <w:sz w:val="22"/>
          <w:szCs w:val="22"/>
        </w:rPr>
        <w:t xml:space="preserve">Helm Charts pour chaque microservice avec values.yaml par environnement</w:t>
      </w:r>
    </w:p>
    <w:p>
      <w:pPr>
        <w:pStyle w:val="ListParagraph"/>
        <w:numPr>
          <w:ilvl w:val="0"/>
          <w:numId w:val="2"/>
        </w:numPr>
        <w:spacing w:after="60" w:before="60"/>
      </w:pPr>
      <w:r>
        <w:rPr>
          <w:rFonts w:ascii="Arial" w:cs="Arial" w:eastAsia="Arial" w:hAnsi="Arial"/>
          <w:color w:val="333333"/>
          <w:sz w:val="22"/>
          <w:szCs w:val="22"/>
        </w:rPr>
        <w:t xml:space="preserve">Horizontal Pod Autoscaler (HPA) basé sur CPU, mémoire et métriques custom (Kafka lag)</w:t>
      </w:r>
    </w:p>
    <w:p>
      <w:pPr>
        <w:pStyle w:val="ListParagraph"/>
        <w:numPr>
          <w:ilvl w:val="0"/>
          <w:numId w:val="2"/>
        </w:numPr>
        <w:spacing w:after="60" w:before="60"/>
      </w:pPr>
      <w:r>
        <w:rPr>
          <w:rFonts w:ascii="Arial" w:cs="Arial" w:eastAsia="Arial" w:hAnsi="Arial"/>
          <w:color w:val="333333"/>
          <w:sz w:val="22"/>
          <w:szCs w:val="22"/>
        </w:rPr>
        <w:t xml:space="preserve">Persistent Volume Claims pour PostgreSQL et Elasticsearch avec StorageClass SSDs</w:t>
      </w:r>
    </w:p>
    <w:p>
      <w:pPr>
        <w:pStyle w:val="ListParagraph"/>
        <w:numPr>
          <w:ilvl w:val="0"/>
          <w:numId w:val="2"/>
        </w:numPr>
        <w:spacing w:after="60" w:before="60"/>
      </w:pPr>
      <w:r>
        <w:rPr>
          <w:rFonts w:ascii="Arial" w:cs="Arial" w:eastAsia="Arial" w:hAnsi="Arial"/>
          <w:color w:val="333333"/>
          <w:sz w:val="22"/>
          <w:szCs w:val="22"/>
        </w:rPr>
        <w:t xml:space="preserve">Network Policies Kubernetes pour l'isolation inter-services</w:t>
      </w:r>
    </w:p>
    <w:p>
      <w:pPr>
        <w:pStyle w:val="ListParagraph"/>
        <w:numPr>
          <w:ilvl w:val="0"/>
          <w:numId w:val="2"/>
        </w:numPr>
        <w:spacing w:after="60" w:before="60"/>
      </w:pPr>
      <w:r>
        <w:rPr>
          <w:rFonts w:ascii="Arial" w:cs="Arial" w:eastAsia="Arial" w:hAnsi="Arial"/>
          <w:color w:val="333333"/>
          <w:sz w:val="22"/>
          <w:szCs w:val="22"/>
        </w:rPr>
        <w:t xml:space="preserve">Ingress NGINX avec TLS termination et certificats gérés par cert-manager + Vault</w:t>
      </w:r>
    </w:p>
    <w:p>
      <w:pPr>
        <w:pStyle w:val="ListParagraph"/>
        <w:numPr>
          <w:ilvl w:val="0"/>
          <w:numId w:val="2"/>
        </w:numPr>
        <w:spacing w:after="60" w:before="60"/>
      </w:pPr>
      <w:r>
        <w:rPr>
          <w:rFonts w:ascii="Arial" w:cs="Arial" w:eastAsia="Arial" w:hAnsi="Arial"/>
          <w:color w:val="333333"/>
          <w:sz w:val="22"/>
          <w:szCs w:val="22"/>
        </w:rPr>
        <w:t xml:space="preserve">Pod Disruption Budgets pour garantir la haute disponibilité en rolling updates</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2.4 Gestion des Secrets avec HashiCorp Vault</w:t>
      </w:r>
    </w:p>
    <w:p>
      <w:pPr>
        <w:spacing w:after="80" w:before="80"/>
      </w:pPr>
      <w:r>
        <w:rPr>
          <w:rFonts w:ascii="Arial" w:cs="Arial" w:eastAsia="Arial" w:hAnsi="Arial"/>
          <w:color w:val="333333"/>
          <w:sz w:val="22"/>
          <w:szCs w:val="22"/>
        </w:rPr>
        <w:t xml:space="preserve">Vault est le pivot de la sécurité de CareSync :</w:t>
      </w:r>
    </w:p>
    <w:p>
      <w:pPr>
        <w:pStyle w:val="ListParagraph"/>
        <w:numPr>
          <w:ilvl w:val="0"/>
          <w:numId w:val="2"/>
        </w:numPr>
        <w:spacing w:after="60" w:before="60"/>
      </w:pPr>
      <w:r>
        <w:rPr>
          <w:rFonts w:ascii="Arial" w:cs="Arial" w:eastAsia="Arial" w:hAnsi="Arial"/>
          <w:color w:val="333333"/>
          <w:sz w:val="22"/>
          <w:szCs w:val="22"/>
        </w:rPr>
        <w:t xml:space="preserve">Secrets Engine KV v2 : stockage des credentials bases de données, API keys tiers (SMS, SMTP)</w:t>
      </w:r>
    </w:p>
    <w:p>
      <w:pPr>
        <w:pStyle w:val="ListParagraph"/>
        <w:numPr>
          <w:ilvl w:val="0"/>
          <w:numId w:val="2"/>
        </w:numPr>
        <w:spacing w:after="60" w:before="60"/>
      </w:pPr>
      <w:r>
        <w:rPr>
          <w:rFonts w:ascii="Arial" w:cs="Arial" w:eastAsia="Arial" w:hAnsi="Arial"/>
          <w:color w:val="333333"/>
          <w:sz w:val="22"/>
          <w:szCs w:val="22"/>
        </w:rPr>
        <w:t xml:space="preserve">PKI Engine : génération et rotation automatique des certificats TLS internes (mTLS entre services)</w:t>
      </w:r>
    </w:p>
    <w:p>
      <w:pPr>
        <w:pStyle w:val="ListParagraph"/>
        <w:numPr>
          <w:ilvl w:val="0"/>
          <w:numId w:val="2"/>
        </w:numPr>
        <w:spacing w:after="60" w:before="60"/>
      </w:pPr>
      <w:r>
        <w:rPr>
          <w:rFonts w:ascii="Arial" w:cs="Arial" w:eastAsia="Arial" w:hAnsi="Arial"/>
          <w:color w:val="333333"/>
          <w:sz w:val="22"/>
          <w:szCs w:val="22"/>
        </w:rPr>
        <w:t xml:space="preserve">Database Engine : rotation automatique des mots de passe PostgreSQL toutes les 24h</w:t>
      </w:r>
    </w:p>
    <w:p>
      <w:pPr>
        <w:pStyle w:val="ListParagraph"/>
        <w:numPr>
          <w:ilvl w:val="0"/>
          <w:numId w:val="2"/>
        </w:numPr>
        <w:spacing w:after="60" w:before="60"/>
      </w:pPr>
      <w:r>
        <w:rPr>
          <w:rFonts w:ascii="Arial" w:cs="Arial" w:eastAsia="Arial" w:hAnsi="Arial"/>
          <w:color w:val="333333"/>
          <w:sz w:val="22"/>
          <w:szCs w:val="22"/>
        </w:rPr>
        <w:t xml:space="preserve">Transit Engine : chiffrement applicatif des données sensibles (NISS, données biométriques) sans exposer les clés</w:t>
      </w:r>
    </w:p>
    <w:p>
      <w:pPr>
        <w:pStyle w:val="ListParagraph"/>
        <w:numPr>
          <w:ilvl w:val="0"/>
          <w:numId w:val="2"/>
        </w:numPr>
        <w:spacing w:after="60" w:before="60"/>
      </w:pPr>
      <w:r>
        <w:rPr>
          <w:rFonts w:ascii="Arial" w:cs="Arial" w:eastAsia="Arial" w:hAnsi="Arial"/>
          <w:color w:val="333333"/>
          <w:sz w:val="22"/>
          <w:szCs w:val="22"/>
        </w:rPr>
        <w:t xml:space="preserve">AppRole Auth Method : chaque pod Kubernetes s'authentifie avec son ServiceAccount via le Vault Agent Injector</w:t>
      </w:r>
    </w:p>
    <w:p>
      <w:pPr>
        <w:pStyle w:val="ListParagraph"/>
        <w:numPr>
          <w:ilvl w:val="0"/>
          <w:numId w:val="2"/>
        </w:numPr>
        <w:spacing w:after="60" w:before="60"/>
      </w:pPr>
      <w:r>
        <w:rPr>
          <w:rFonts w:ascii="Arial" w:cs="Arial" w:eastAsia="Arial" w:hAnsi="Arial"/>
          <w:color w:val="333333"/>
          <w:sz w:val="22"/>
          <w:szCs w:val="22"/>
        </w:rPr>
        <w:t xml:space="preserve">Audit Device : journalisation de chaque accès aux secrets pour conformité HDS</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2.5 Standard FHIR &amp; Interopérabilité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9F8" w:val="clear"/>
            <w:tcMar>
              <w:top w:type="dxa" w:w="160"/>
              <w:left w:type="dxa" w:w="240"/>
              <w:bottom w:type="dxa" w:w="160"/>
              <w:right w:type="dxa" w:w="240"/>
            </w:tcMar>
          </w:tcPr>
          <w:p>
            <w:pPr>
              <w:spacing w:after="60" w:before="0"/>
            </w:pPr>
            <w:r>
              <w:rPr>
                <w:rFonts w:ascii="Arial" w:cs="Arial" w:eastAsia="Arial" w:hAnsi="Arial"/>
                <w:b/>
                <w:bCs/>
                <w:color w:val="1A5C8A"/>
                <w:sz w:val="22"/>
                <w:szCs w:val="22"/>
              </w:rPr>
              <w:t xml:space="preserve">Standard HL7 FHIR R4</w:t>
            </w:r>
          </w:p>
          <w:p>
            <w:pPr>
              <w:spacing w:after="0" w:before="0"/>
            </w:pPr>
            <w:r>
              <w:rPr>
                <w:rFonts w:ascii="Arial" w:cs="Arial" w:eastAsia="Arial" w:hAnsi="Arial"/>
                <w:color w:val="333333"/>
                <w:sz w:val="21"/>
                <w:szCs w:val="21"/>
              </w:rPr>
              <w:t xml:space="preserve">CareSync implémente le standard HL7 FHIR R4 (Fast Healthcare Interoperability Resources) comme modèle de données central. Cela permet une interopérabilité native avec les DPI (Dossiers Patients Informatisés), les logiciels de cabinets (Mediboard, Doctolib, etc.) et les dispositifs IoT médicaux.</w:t>
            </w:r>
          </w:p>
        </w:tc>
      </w:tr>
    </w:tbl>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3. Spécifications Fonctionnelles</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3.1 Module Dossier Patient Partagé</w:t>
      </w:r>
    </w:p>
    <w:p>
      <w:pPr>
        <w:spacing w:after="80" w:before="80"/>
      </w:pPr>
      <w:r>
        <w:rPr>
          <w:rFonts w:ascii="Arial" w:cs="Arial" w:eastAsia="Arial" w:hAnsi="Arial"/>
          <w:color w:val="333333"/>
          <w:sz w:val="22"/>
          <w:szCs w:val="22"/>
        </w:rPr>
        <w:t xml:space="preserve">Le dossier patient est le cœur de CareSync. Il agrège toutes les informations cliniques en temps réel :</w:t>
      </w:r>
    </w:p>
    <w:p>
      <w:pPr>
        <w:pStyle w:val="ListParagraph"/>
        <w:numPr>
          <w:ilvl w:val="0"/>
          <w:numId w:val="2"/>
        </w:numPr>
        <w:spacing w:after="60" w:before="60"/>
      </w:pPr>
      <w:r>
        <w:rPr>
          <w:rFonts w:ascii="Arial" w:cs="Arial" w:eastAsia="Arial" w:hAnsi="Arial"/>
          <w:color w:val="333333"/>
          <w:sz w:val="22"/>
          <w:szCs w:val="22"/>
        </w:rPr>
        <w:t xml:space="preserve">Identité et données administratives (connexion INS / NIC en France)</w:t>
      </w:r>
    </w:p>
    <w:p>
      <w:pPr>
        <w:pStyle w:val="ListParagraph"/>
        <w:numPr>
          <w:ilvl w:val="0"/>
          <w:numId w:val="2"/>
        </w:numPr>
        <w:spacing w:after="60" w:before="60"/>
      </w:pPr>
      <w:r>
        <w:rPr>
          <w:rFonts w:ascii="Arial" w:cs="Arial" w:eastAsia="Arial" w:hAnsi="Arial"/>
          <w:color w:val="333333"/>
          <w:sz w:val="22"/>
          <w:szCs w:val="22"/>
        </w:rPr>
        <w:t xml:space="preserve">Antécédents médicaux, allergies, contre-indications</w:t>
      </w:r>
    </w:p>
    <w:p>
      <w:pPr>
        <w:pStyle w:val="ListParagraph"/>
        <w:numPr>
          <w:ilvl w:val="0"/>
          <w:numId w:val="2"/>
        </w:numPr>
        <w:spacing w:after="60" w:before="60"/>
      </w:pPr>
      <w:r>
        <w:rPr>
          <w:rFonts w:ascii="Arial" w:cs="Arial" w:eastAsia="Arial" w:hAnsi="Arial"/>
          <w:color w:val="333333"/>
          <w:sz w:val="22"/>
          <w:szCs w:val="22"/>
        </w:rPr>
        <w:t xml:space="preserve">Résultats de biologie, comptes-rendus d'imagerie (DICOM viewer intégré)</w:t>
      </w:r>
    </w:p>
    <w:p>
      <w:pPr>
        <w:pStyle w:val="ListParagraph"/>
        <w:numPr>
          <w:ilvl w:val="0"/>
          <w:numId w:val="2"/>
        </w:numPr>
        <w:spacing w:after="60" w:before="60"/>
      </w:pPr>
      <w:r>
        <w:rPr>
          <w:rFonts w:ascii="Arial" w:cs="Arial" w:eastAsia="Arial" w:hAnsi="Arial"/>
          <w:color w:val="333333"/>
          <w:sz w:val="22"/>
          <w:szCs w:val="22"/>
        </w:rPr>
        <w:t xml:space="preserve">Historique des consultations et hospitalisations</w:t>
      </w:r>
    </w:p>
    <w:p>
      <w:pPr>
        <w:pStyle w:val="ListParagraph"/>
        <w:numPr>
          <w:ilvl w:val="0"/>
          <w:numId w:val="2"/>
        </w:numPr>
        <w:spacing w:after="60" w:before="60"/>
      </w:pPr>
      <w:r>
        <w:rPr>
          <w:rFonts w:ascii="Arial" w:cs="Arial" w:eastAsia="Arial" w:hAnsi="Arial"/>
          <w:color w:val="333333"/>
          <w:sz w:val="22"/>
          <w:szCs w:val="22"/>
        </w:rPr>
        <w:t xml:space="preserve">Plan de médication actif avec contrôle des interactions médicamenteuses (base Thériaque)</w:t>
      </w:r>
    </w:p>
    <w:p>
      <w:pPr>
        <w:pStyle w:val="ListParagraph"/>
        <w:numPr>
          <w:ilvl w:val="0"/>
          <w:numId w:val="2"/>
        </w:numPr>
        <w:spacing w:after="60" w:before="60"/>
      </w:pPr>
      <w:r>
        <w:rPr>
          <w:rFonts w:ascii="Arial" w:cs="Arial" w:eastAsia="Arial" w:hAnsi="Arial"/>
          <w:color w:val="333333"/>
          <w:sz w:val="22"/>
          <w:szCs w:val="22"/>
        </w:rPr>
        <w:t xml:space="preserve">Vaccinations, courbes de croissance (pédiatrie)</w:t>
      </w:r>
    </w:p>
    <w:p>
      <w:pPr>
        <w:pStyle w:val="ListParagraph"/>
        <w:numPr>
          <w:ilvl w:val="0"/>
          <w:numId w:val="2"/>
        </w:numPr>
        <w:spacing w:after="60" w:before="60"/>
      </w:pPr>
      <w:r>
        <w:rPr>
          <w:rFonts w:ascii="Arial" w:cs="Arial" w:eastAsia="Arial" w:hAnsi="Arial"/>
          <w:color w:val="333333"/>
          <w:sz w:val="22"/>
          <w:szCs w:val="22"/>
        </w:rPr>
        <w:t xml:space="preserve">Documents scannés avec OCR et indexation automatique</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3.2 Module Plans de Soins</w:t>
      </w:r>
    </w:p>
    <w:p>
      <w:pPr>
        <w:spacing w:after="80" w:before="80"/>
      </w:pPr>
      <w:r>
        <w:rPr>
          <w:rFonts w:ascii="Arial" w:cs="Arial" w:eastAsia="Arial" w:hAnsi="Arial"/>
          <w:color w:val="333333"/>
          <w:sz w:val="22"/>
          <w:szCs w:val="22"/>
        </w:rPr>
        <w:t xml:space="preserve">Création et suivi de plans de soins personnalisés basés sur les recommandations HAS :</w:t>
      </w:r>
    </w:p>
    <w:p>
      <w:pPr>
        <w:pStyle w:val="ListParagraph"/>
        <w:numPr>
          <w:ilvl w:val="0"/>
          <w:numId w:val="2"/>
        </w:numPr>
        <w:spacing w:after="60" w:before="60"/>
      </w:pPr>
      <w:r>
        <w:rPr>
          <w:rFonts w:ascii="Arial" w:cs="Arial" w:eastAsia="Arial" w:hAnsi="Arial"/>
          <w:color w:val="333333"/>
          <w:sz w:val="22"/>
          <w:szCs w:val="22"/>
        </w:rPr>
        <w:t xml:space="preserve">Bibliothèque de protocoles cliniques (HAS, SFAR, SFC) paramétrables</w:t>
      </w:r>
    </w:p>
    <w:p>
      <w:pPr>
        <w:pStyle w:val="ListParagraph"/>
        <w:numPr>
          <w:ilvl w:val="0"/>
          <w:numId w:val="2"/>
        </w:numPr>
        <w:spacing w:after="60" w:before="60"/>
      </w:pPr>
      <w:r>
        <w:rPr>
          <w:rFonts w:ascii="Arial" w:cs="Arial" w:eastAsia="Arial" w:hAnsi="Arial"/>
          <w:color w:val="333333"/>
          <w:sz w:val="22"/>
          <w:szCs w:val="22"/>
        </w:rPr>
        <w:t xml:space="preserve">Attribution des tâches aux membres de l'équipe soignante</w:t>
      </w:r>
    </w:p>
    <w:p>
      <w:pPr>
        <w:pStyle w:val="ListParagraph"/>
        <w:numPr>
          <w:ilvl w:val="0"/>
          <w:numId w:val="2"/>
        </w:numPr>
        <w:spacing w:after="60" w:before="60"/>
      </w:pPr>
      <w:r>
        <w:rPr>
          <w:rFonts w:ascii="Arial" w:cs="Arial" w:eastAsia="Arial" w:hAnsi="Arial"/>
          <w:color w:val="333333"/>
          <w:sz w:val="22"/>
          <w:szCs w:val="22"/>
        </w:rPr>
        <w:t xml:space="preserve">Suivi de l'observance thérapeutique avec scoring automatique</w:t>
      </w:r>
    </w:p>
    <w:p>
      <w:pPr>
        <w:pStyle w:val="ListParagraph"/>
        <w:numPr>
          <w:ilvl w:val="0"/>
          <w:numId w:val="2"/>
        </w:numPr>
        <w:spacing w:after="60" w:before="60"/>
      </w:pPr>
      <w:r>
        <w:rPr>
          <w:rFonts w:ascii="Arial" w:cs="Arial" w:eastAsia="Arial" w:hAnsi="Arial"/>
          <w:color w:val="333333"/>
          <w:sz w:val="22"/>
          <w:szCs w:val="22"/>
        </w:rPr>
        <w:t xml:space="preserve">Objectifs thérapeutiques mesurables (HbA1c, TA cible, IMC)</w:t>
      </w:r>
    </w:p>
    <w:p>
      <w:pPr>
        <w:pStyle w:val="ListParagraph"/>
        <w:numPr>
          <w:ilvl w:val="0"/>
          <w:numId w:val="2"/>
        </w:numPr>
        <w:spacing w:after="60" w:before="60"/>
      </w:pPr>
      <w:r>
        <w:rPr>
          <w:rFonts w:ascii="Arial" w:cs="Arial" w:eastAsia="Arial" w:hAnsi="Arial"/>
          <w:color w:val="333333"/>
          <w:sz w:val="22"/>
          <w:szCs w:val="22"/>
        </w:rPr>
        <w:t xml:space="preserve">Rappels automatiques pour les actes de suivi programmés</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3.3 Module Alertes Intelligentes</w:t>
      </w:r>
    </w:p>
    <w:p>
      <w:pPr>
        <w:spacing w:after="80" w:before="80"/>
      </w:pPr>
      <w:r>
        <w:rPr>
          <w:rFonts w:ascii="Arial" w:cs="Arial" w:eastAsia="Arial" w:hAnsi="Arial"/>
          <w:color w:val="333333"/>
          <w:sz w:val="22"/>
          <w:szCs w:val="22"/>
        </w:rPr>
        <w:t xml:space="preserve">Le moteur d'alertes analyse en continu les données patients et génère des alertes contextuelles :</w:t>
      </w:r>
    </w:p>
    <w:p>
      <w:pPr>
        <w:pStyle w:val="ListParagraph"/>
        <w:numPr>
          <w:ilvl w:val="0"/>
          <w:numId w:val="2"/>
        </w:numPr>
        <w:spacing w:after="60" w:before="60"/>
      </w:pPr>
      <w:r>
        <w:rPr>
          <w:rFonts w:ascii="Arial" w:cs="Arial" w:eastAsia="Arial" w:hAnsi="Arial"/>
          <w:color w:val="333333"/>
          <w:sz w:val="22"/>
          <w:szCs w:val="22"/>
        </w:rPr>
        <w:t xml:space="preserve">Alertes biologiques : valeurs hors plages de référence personnalisées</w:t>
      </w:r>
    </w:p>
    <w:p>
      <w:pPr>
        <w:pStyle w:val="ListParagraph"/>
        <w:numPr>
          <w:ilvl w:val="0"/>
          <w:numId w:val="2"/>
        </w:numPr>
        <w:spacing w:after="60" w:before="60"/>
      </w:pPr>
      <w:r>
        <w:rPr>
          <w:rFonts w:ascii="Arial" w:cs="Arial" w:eastAsia="Arial" w:hAnsi="Arial"/>
          <w:color w:val="333333"/>
          <w:sz w:val="22"/>
          <w:szCs w:val="22"/>
        </w:rPr>
        <w:t xml:space="preserve">Alertes médicamenteuses : interactions, surdosages, contre-indications</w:t>
      </w:r>
    </w:p>
    <w:p>
      <w:pPr>
        <w:pStyle w:val="ListParagraph"/>
        <w:numPr>
          <w:ilvl w:val="0"/>
          <w:numId w:val="2"/>
        </w:numPr>
        <w:spacing w:after="60" w:before="60"/>
      </w:pPr>
      <w:r>
        <w:rPr>
          <w:rFonts w:ascii="Arial" w:cs="Arial" w:eastAsia="Arial" w:hAnsi="Arial"/>
          <w:color w:val="333333"/>
          <w:sz w:val="22"/>
          <w:szCs w:val="22"/>
        </w:rPr>
        <w:t xml:space="preserve">Alertes d'observance : non-prise de traitement détectée</w:t>
      </w:r>
    </w:p>
    <w:p>
      <w:pPr>
        <w:pStyle w:val="ListParagraph"/>
        <w:numPr>
          <w:ilvl w:val="0"/>
          <w:numId w:val="2"/>
        </w:numPr>
        <w:spacing w:after="60" w:before="60"/>
      </w:pPr>
      <w:r>
        <w:rPr>
          <w:rFonts w:ascii="Arial" w:cs="Arial" w:eastAsia="Arial" w:hAnsi="Arial"/>
          <w:color w:val="333333"/>
          <w:sz w:val="22"/>
          <w:szCs w:val="22"/>
        </w:rPr>
        <w:t xml:space="preserve">Alertes IoT : fréquence cardiaque, glycémie, SpO2 hors seuils</w:t>
      </w:r>
    </w:p>
    <w:p>
      <w:pPr>
        <w:pStyle w:val="ListParagraph"/>
        <w:numPr>
          <w:ilvl w:val="0"/>
          <w:numId w:val="2"/>
        </w:numPr>
        <w:spacing w:after="60" w:before="60"/>
      </w:pPr>
      <w:r>
        <w:rPr>
          <w:rFonts w:ascii="Arial" w:cs="Arial" w:eastAsia="Arial" w:hAnsi="Arial"/>
          <w:color w:val="333333"/>
          <w:sz w:val="22"/>
          <w:szCs w:val="22"/>
        </w:rPr>
        <w:t xml:space="preserve">Alertes prédictives : modèle ML détectant les risques de décompensation (score APACHE, SOFA)</w:t>
      </w:r>
    </w:p>
    <w:p>
      <w:pPr>
        <w:pStyle w:val="ListParagraph"/>
        <w:numPr>
          <w:ilvl w:val="0"/>
          <w:numId w:val="2"/>
        </w:numPr>
        <w:spacing w:after="60" w:before="60"/>
      </w:pPr>
      <w:r>
        <w:rPr>
          <w:rFonts w:ascii="Arial" w:cs="Arial" w:eastAsia="Arial" w:hAnsi="Arial"/>
          <w:color w:val="333333"/>
          <w:sz w:val="22"/>
          <w:szCs w:val="22"/>
        </w:rPr>
        <w:t xml:space="preserve">Priorisation des alertes : critique, urgente, informative — avec escalade automatique</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3.4 Module Télésurveillance IoT</w:t>
      </w:r>
    </w:p>
    <w:p>
      <w:pPr>
        <w:spacing w:after="80" w:before="80"/>
      </w:pPr>
      <w:r>
        <w:rPr>
          <w:rFonts w:ascii="Arial" w:cs="Arial" w:eastAsia="Arial" w:hAnsi="Arial"/>
          <w:color w:val="333333"/>
          <w:sz w:val="22"/>
          <w:szCs w:val="22"/>
        </w:rPr>
        <w:t xml:space="preserve">Intégration des dispositifs médicaux connectés via le protocole FHIR Observation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26"/>
      </w:tblGrid>
      <w:tr>
        <w:tc>
          <w:tcPr>
            <w:tcW w:type="dxa" w:w="22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Dispositif</w:t>
            </w:r>
          </w:p>
        </w:tc>
        <w:tc>
          <w:tcPr>
            <w:tcW w:type="dxa" w:w="18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Pathologie</w:t>
            </w:r>
          </w:p>
        </w:tc>
        <w:tc>
          <w:tcPr>
            <w:tcW w:type="dxa" w:w="22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Donnée collectée</w:t>
            </w:r>
          </w:p>
        </w:tc>
        <w:tc>
          <w:tcPr>
            <w:tcW w:type="dxa" w:w="28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Protocole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Glucomètre connecté</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Diabète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Glycémie capillaire</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Bluetooth LE / MQTT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Tensiomètre connecté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HTA, insuffisance cardiaque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 systolique/diastolique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Bluetooth 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Oxymètre de pouls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BPCO, insuffisance cardiaque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SpO2, fréquence cardiaque</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BLE / Wi-Fi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Balance connectée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Insuffisance cardiaque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Poids quotidien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Wi-Fi / 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ECG portable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Arythmies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ECG 1 dérivation</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BLE / 4G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Patch de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Post-chirurgical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 FC, activité</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BLE / LPWAN</w:t>
            </w:r>
          </w:p>
        </w:tc>
      </w:tr>
    </w:tbl>
    <w:p>
      <w:pPr>
        <w:spacing w:after="120" w:before="120"/>
      </w:pPr>
      <w:r>
        <w:t xml:space="preserve"/>
      </w:r>
    </w:p>
    <w:p>
      <w:pPr>
        <w:pStyle w:val="Heading2"/>
        <w:spacing w:after="160" w:before="320"/>
      </w:pPr>
      <w:r>
        <w:rPr>
          <w:rFonts w:ascii="Arial" w:cs="Arial" w:eastAsia="Arial" w:hAnsi="Arial"/>
          <w:b/>
          <w:bCs/>
          <w:color w:val="0E7C7B"/>
          <w:sz w:val="26"/>
          <w:szCs w:val="26"/>
        </w:rPr>
        <w:t xml:space="preserve">3.5 Module Messagerie Sécurisée</w:t>
      </w:r>
    </w:p>
    <w:p>
      <w:pPr>
        <w:pStyle w:val="ListParagraph"/>
        <w:numPr>
          <w:ilvl w:val="0"/>
          <w:numId w:val="2"/>
        </w:numPr>
        <w:spacing w:after="60" w:before="60"/>
      </w:pPr>
      <w:r>
        <w:rPr>
          <w:rFonts w:ascii="Arial" w:cs="Arial" w:eastAsia="Arial" w:hAnsi="Arial"/>
          <w:color w:val="333333"/>
          <w:sz w:val="22"/>
          <w:szCs w:val="22"/>
        </w:rPr>
        <w:t xml:space="preserve">Messagerie instantanée chiffrée de bout en bout entre professionnels de santé</w:t>
      </w:r>
    </w:p>
    <w:p>
      <w:pPr>
        <w:pStyle w:val="ListParagraph"/>
        <w:numPr>
          <w:ilvl w:val="0"/>
          <w:numId w:val="2"/>
        </w:numPr>
        <w:spacing w:after="60" w:before="60"/>
      </w:pPr>
      <w:r>
        <w:rPr>
          <w:rFonts w:ascii="Arial" w:cs="Arial" w:eastAsia="Arial" w:hAnsi="Arial"/>
          <w:color w:val="333333"/>
          <w:sz w:val="22"/>
          <w:szCs w:val="22"/>
        </w:rPr>
        <w:t xml:space="preserve">Conformité MSSanté (Messagerie Sécurisée de Santé) pour la France</w:t>
      </w:r>
    </w:p>
    <w:p>
      <w:pPr>
        <w:pStyle w:val="ListParagraph"/>
        <w:numPr>
          <w:ilvl w:val="0"/>
          <w:numId w:val="2"/>
        </w:numPr>
        <w:spacing w:after="60" w:before="60"/>
      </w:pPr>
      <w:r>
        <w:rPr>
          <w:rFonts w:ascii="Arial" w:cs="Arial" w:eastAsia="Arial" w:hAnsi="Arial"/>
          <w:color w:val="333333"/>
          <w:sz w:val="22"/>
          <w:szCs w:val="22"/>
        </w:rPr>
        <w:t xml:space="preserve">Partage sécurisé de documents dans les conversations</w:t>
      </w:r>
    </w:p>
    <w:p>
      <w:pPr>
        <w:pStyle w:val="ListParagraph"/>
        <w:numPr>
          <w:ilvl w:val="0"/>
          <w:numId w:val="2"/>
        </w:numPr>
        <w:spacing w:after="60" w:before="60"/>
      </w:pPr>
      <w:r>
        <w:rPr>
          <w:rFonts w:ascii="Arial" w:cs="Arial" w:eastAsia="Arial" w:hAnsi="Arial"/>
          <w:color w:val="333333"/>
          <w:sz w:val="22"/>
          <w:szCs w:val="22"/>
        </w:rPr>
        <w:t xml:space="preserve">Fils de discussion liés à un patient spécifique</w:t>
      </w:r>
    </w:p>
    <w:p>
      <w:pPr>
        <w:pStyle w:val="ListParagraph"/>
        <w:numPr>
          <w:ilvl w:val="0"/>
          <w:numId w:val="2"/>
        </w:numPr>
        <w:spacing w:after="60" w:before="60"/>
      </w:pPr>
      <w:r>
        <w:rPr>
          <w:rFonts w:ascii="Arial" w:cs="Arial" w:eastAsia="Arial" w:hAnsi="Arial"/>
          <w:color w:val="333333"/>
          <w:sz w:val="22"/>
          <w:szCs w:val="22"/>
        </w:rPr>
        <w:t xml:space="preserve">Statuts de lecture et accusés de réception</w:t>
      </w:r>
    </w:p>
    <w:p>
      <w:pPr>
        <w:pStyle w:val="ListParagraph"/>
        <w:numPr>
          <w:ilvl w:val="0"/>
          <w:numId w:val="2"/>
        </w:numPr>
        <w:spacing w:after="60" w:before="60"/>
      </w:pPr>
      <w:r>
        <w:rPr>
          <w:rFonts w:ascii="Arial" w:cs="Arial" w:eastAsia="Arial" w:hAnsi="Arial"/>
          <w:color w:val="333333"/>
          <w:sz w:val="22"/>
          <w:szCs w:val="22"/>
        </w:rPr>
        <w:t xml:space="preserve">Archivage automatique pour audit et traçabilité</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3.6 Module Analytics &amp; Tableaux de Bord</w:t>
      </w:r>
    </w:p>
    <w:p>
      <w:pPr>
        <w:spacing w:after="80" w:before="80"/>
      </w:pPr>
      <w:r>
        <w:rPr>
          <w:rFonts w:ascii="Arial" w:cs="Arial" w:eastAsia="Arial" w:hAnsi="Arial"/>
          <w:color w:val="333333"/>
          <w:sz w:val="22"/>
          <w:szCs w:val="22"/>
        </w:rPr>
        <w:t xml:space="preserve">Trois niveaux de tableaux de bord :</w:t>
      </w:r>
    </w:p>
    <w:p>
      <w:pPr>
        <w:pStyle w:val="ListParagraph"/>
        <w:numPr>
          <w:ilvl w:val="0"/>
          <w:numId w:val="2"/>
        </w:numPr>
        <w:spacing w:after="60" w:before="60"/>
      </w:pPr>
      <w:r>
        <w:rPr>
          <w:rFonts w:ascii="Arial" w:cs="Arial" w:eastAsia="Arial" w:hAnsi="Arial"/>
          <w:color w:val="333333"/>
          <w:sz w:val="22"/>
          <w:szCs w:val="22"/>
        </w:rPr>
        <w:t xml:space="preserve">Opérationnel (temps réel) : état des patients actifs, alertes en cours, charge de travail par soignant</w:t>
      </w:r>
    </w:p>
    <w:p>
      <w:pPr>
        <w:pStyle w:val="ListParagraph"/>
        <w:numPr>
          <w:ilvl w:val="0"/>
          <w:numId w:val="2"/>
        </w:numPr>
        <w:spacing w:after="60" w:before="60"/>
      </w:pPr>
      <w:r>
        <w:rPr>
          <w:rFonts w:ascii="Arial" w:cs="Arial" w:eastAsia="Arial" w:hAnsi="Arial"/>
          <w:color w:val="333333"/>
          <w:sz w:val="22"/>
          <w:szCs w:val="22"/>
        </w:rPr>
        <w:t xml:space="preserve">Tactique (hebdomadaire) : taux d'observance, évolution des indicateurs cliniques par pathologie</w:t>
      </w:r>
    </w:p>
    <w:p>
      <w:pPr>
        <w:pStyle w:val="ListParagraph"/>
        <w:numPr>
          <w:ilvl w:val="0"/>
          <w:numId w:val="2"/>
        </w:numPr>
        <w:spacing w:after="60" w:before="60"/>
      </w:pPr>
      <w:r>
        <w:rPr>
          <w:rFonts w:ascii="Arial" w:cs="Arial" w:eastAsia="Arial" w:hAnsi="Arial"/>
          <w:color w:val="333333"/>
          <w:sz w:val="22"/>
          <w:szCs w:val="22"/>
        </w:rPr>
        <w:t xml:space="preserve">Stratégique (mensuel/annuel) : indicateurs qualité (IPAQSS), économies générées, ROI</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3.7 Module Prescription Électronique</w:t>
      </w:r>
    </w:p>
    <w:p>
      <w:pPr>
        <w:pStyle w:val="ListParagraph"/>
        <w:numPr>
          <w:ilvl w:val="0"/>
          <w:numId w:val="2"/>
        </w:numPr>
        <w:spacing w:after="60" w:before="60"/>
      </w:pPr>
      <w:r>
        <w:rPr>
          <w:rFonts w:ascii="Arial" w:cs="Arial" w:eastAsia="Arial" w:hAnsi="Arial"/>
          <w:color w:val="333333"/>
          <w:sz w:val="22"/>
          <w:szCs w:val="22"/>
        </w:rPr>
        <w:t xml:space="preserve">Ordonnances dématérialisées avec signature électronique qualifiée (eIDAS)</w:t>
      </w:r>
    </w:p>
    <w:p>
      <w:pPr>
        <w:pStyle w:val="ListParagraph"/>
        <w:numPr>
          <w:ilvl w:val="0"/>
          <w:numId w:val="2"/>
        </w:numPr>
        <w:spacing w:after="60" w:before="60"/>
      </w:pPr>
      <w:r>
        <w:rPr>
          <w:rFonts w:ascii="Arial" w:cs="Arial" w:eastAsia="Arial" w:hAnsi="Arial"/>
          <w:color w:val="333333"/>
          <w:sz w:val="22"/>
          <w:szCs w:val="22"/>
        </w:rPr>
        <w:t xml:space="preserve">Transmission directe aux pharmacies partenaires via eFarma</w:t>
      </w:r>
    </w:p>
    <w:p>
      <w:pPr>
        <w:pStyle w:val="ListParagraph"/>
        <w:numPr>
          <w:ilvl w:val="0"/>
          <w:numId w:val="2"/>
        </w:numPr>
        <w:spacing w:after="60" w:before="60"/>
      </w:pPr>
      <w:r>
        <w:rPr>
          <w:rFonts w:ascii="Arial" w:cs="Arial" w:eastAsia="Arial" w:hAnsi="Arial"/>
          <w:color w:val="333333"/>
          <w:sz w:val="22"/>
          <w:szCs w:val="22"/>
        </w:rPr>
        <w:t xml:space="preserve">Contrôle automatique des interactions médicamenteuses à la saisie</w:t>
      </w:r>
    </w:p>
    <w:p>
      <w:pPr>
        <w:pStyle w:val="ListParagraph"/>
        <w:numPr>
          <w:ilvl w:val="0"/>
          <w:numId w:val="2"/>
        </w:numPr>
        <w:spacing w:after="60" w:before="60"/>
      </w:pPr>
      <w:r>
        <w:rPr>
          <w:rFonts w:ascii="Arial" w:cs="Arial" w:eastAsia="Arial" w:hAnsi="Arial"/>
          <w:color w:val="333333"/>
          <w:sz w:val="22"/>
          <w:szCs w:val="22"/>
        </w:rPr>
        <w:t xml:space="preserve">Renouvellements automatiques avec confirmation du médecin</w:t>
      </w:r>
    </w:p>
    <w:p>
      <w:pPr>
        <w:pStyle w:val="ListParagraph"/>
        <w:numPr>
          <w:ilvl w:val="0"/>
          <w:numId w:val="2"/>
        </w:numPr>
        <w:spacing w:after="60" w:before="60"/>
      </w:pPr>
      <w:r>
        <w:rPr>
          <w:rFonts w:ascii="Arial" w:cs="Arial" w:eastAsia="Arial" w:hAnsi="Arial"/>
          <w:color w:val="333333"/>
          <w:sz w:val="22"/>
          <w:szCs w:val="22"/>
        </w:rPr>
        <w:t xml:space="preserve">Archivage légal des ordonnances (10 ans)</w:t>
      </w:r>
    </w:p>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4. Sécurité &amp; Conformité Réglementaire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EEEE" w:val="clear"/>
            <w:tcMar>
              <w:top w:type="dxa" w:w="160"/>
              <w:left w:type="dxa" w:w="240"/>
              <w:bottom w:type="dxa" w:w="160"/>
              <w:right w:type="dxa" w:w="240"/>
            </w:tcMar>
          </w:tcPr>
          <w:p>
            <w:pPr>
              <w:spacing w:after="60" w:before="0"/>
            </w:pPr>
            <w:r>
              <w:rPr>
                <w:rFonts w:ascii="Arial" w:cs="Arial" w:eastAsia="Arial" w:hAnsi="Arial"/>
                <w:b/>
                <w:bCs/>
                <w:color w:val="0E7C7B"/>
                <w:sz w:val="22"/>
                <w:szCs w:val="22"/>
              </w:rPr>
              <w:t xml:space="preserve">Priorité Absolue : Certification HDS</w:t>
            </w:r>
          </w:p>
          <w:p>
            <w:pPr>
              <w:spacing w:after="0" w:before="0"/>
            </w:pPr>
            <w:r>
              <w:rPr>
                <w:rFonts w:ascii="Arial" w:cs="Arial" w:eastAsia="Arial" w:hAnsi="Arial"/>
                <w:color w:val="333333"/>
                <w:sz w:val="21"/>
                <w:szCs w:val="21"/>
              </w:rPr>
              <w:t xml:space="preserve">CareSync cible la certification Hébergeur de Données de Santé (HDS) selon le référentiel ANS/ASIP Santé. Cette certification est obligatoire pour héberger des données de santé à caractère personnel en France et constitue un avantage concurrentiel majeur.</w:t>
            </w:r>
          </w:p>
        </w:tc>
      </w:tr>
    </w:tbl>
    <w:p>
      <w:pPr>
        <w:spacing w:after="120" w:before="120"/>
      </w:pPr>
      <w:r>
        <w:t xml:space="preserve"/>
      </w:r>
    </w:p>
    <w:p>
      <w:pPr>
        <w:pStyle w:val="Heading2"/>
        <w:spacing w:after="160" w:before="320"/>
      </w:pPr>
      <w:r>
        <w:rPr>
          <w:rFonts w:ascii="Arial" w:cs="Arial" w:eastAsia="Arial" w:hAnsi="Arial"/>
          <w:b/>
          <w:bCs/>
          <w:color w:val="0E7C7B"/>
          <w:sz w:val="26"/>
          <w:szCs w:val="26"/>
        </w:rPr>
        <w:t xml:space="preserve">4.1 Conformité RGPD</w:t>
      </w:r>
    </w:p>
    <w:p>
      <w:pPr>
        <w:pStyle w:val="ListParagraph"/>
        <w:numPr>
          <w:ilvl w:val="0"/>
          <w:numId w:val="2"/>
        </w:numPr>
        <w:spacing w:after="60" w:before="60"/>
      </w:pPr>
      <w:r>
        <w:rPr>
          <w:rFonts w:ascii="Arial" w:cs="Arial" w:eastAsia="Arial" w:hAnsi="Arial"/>
          <w:color w:val="333333"/>
          <w:sz w:val="22"/>
          <w:szCs w:val="22"/>
        </w:rPr>
        <w:t xml:space="preserve">Privacy by Design : minimisation des données collectées dès la conception</w:t>
      </w:r>
    </w:p>
    <w:p>
      <w:pPr>
        <w:pStyle w:val="ListParagraph"/>
        <w:numPr>
          <w:ilvl w:val="0"/>
          <w:numId w:val="2"/>
        </w:numPr>
        <w:spacing w:after="60" w:before="60"/>
      </w:pPr>
      <w:r>
        <w:rPr>
          <w:rFonts w:ascii="Arial" w:cs="Arial" w:eastAsia="Arial" w:hAnsi="Arial"/>
          <w:color w:val="333333"/>
          <w:sz w:val="22"/>
          <w:szCs w:val="22"/>
        </w:rPr>
        <w:t xml:space="preserve">Consentement explicite du patient documenté et révocable</w:t>
      </w:r>
    </w:p>
    <w:p>
      <w:pPr>
        <w:pStyle w:val="ListParagraph"/>
        <w:numPr>
          <w:ilvl w:val="0"/>
          <w:numId w:val="2"/>
        </w:numPr>
        <w:spacing w:after="60" w:before="60"/>
      </w:pPr>
      <w:r>
        <w:rPr>
          <w:rFonts w:ascii="Arial" w:cs="Arial" w:eastAsia="Arial" w:hAnsi="Arial"/>
          <w:color w:val="333333"/>
          <w:sz w:val="22"/>
          <w:szCs w:val="22"/>
        </w:rPr>
        <w:t xml:space="preserve">Registre des traitements complet et maintenu</w:t>
      </w:r>
    </w:p>
    <w:p>
      <w:pPr>
        <w:pStyle w:val="ListParagraph"/>
        <w:numPr>
          <w:ilvl w:val="0"/>
          <w:numId w:val="2"/>
        </w:numPr>
        <w:spacing w:after="60" w:before="60"/>
      </w:pPr>
      <w:r>
        <w:rPr>
          <w:rFonts w:ascii="Arial" w:cs="Arial" w:eastAsia="Arial" w:hAnsi="Arial"/>
          <w:color w:val="333333"/>
          <w:sz w:val="22"/>
          <w:szCs w:val="22"/>
        </w:rPr>
        <w:t xml:space="preserve">Procédures d'exercice des droits (accès, rectification, effacement, portabilité)</w:t>
      </w:r>
    </w:p>
    <w:p>
      <w:pPr>
        <w:pStyle w:val="ListParagraph"/>
        <w:numPr>
          <w:ilvl w:val="0"/>
          <w:numId w:val="2"/>
        </w:numPr>
        <w:spacing w:after="60" w:before="60"/>
      </w:pPr>
      <w:r>
        <w:rPr>
          <w:rFonts w:ascii="Arial" w:cs="Arial" w:eastAsia="Arial" w:hAnsi="Arial"/>
          <w:color w:val="333333"/>
          <w:sz w:val="22"/>
          <w:szCs w:val="22"/>
        </w:rPr>
        <w:t xml:space="preserve">DPO (Délégué à la Protection des Données) nommé</w:t>
      </w:r>
    </w:p>
    <w:p>
      <w:pPr>
        <w:pStyle w:val="ListParagraph"/>
        <w:numPr>
          <w:ilvl w:val="0"/>
          <w:numId w:val="2"/>
        </w:numPr>
        <w:spacing w:after="60" w:before="60"/>
      </w:pPr>
      <w:r>
        <w:rPr>
          <w:rFonts w:ascii="Arial" w:cs="Arial" w:eastAsia="Arial" w:hAnsi="Arial"/>
          <w:color w:val="333333"/>
          <w:sz w:val="22"/>
          <w:szCs w:val="22"/>
        </w:rPr>
        <w:t xml:space="preserve">Analyse d'impact (DPIA) réalisée pour les traitements à risque élevé</w:t>
      </w:r>
    </w:p>
    <w:p>
      <w:pPr>
        <w:pStyle w:val="ListParagraph"/>
        <w:numPr>
          <w:ilvl w:val="0"/>
          <w:numId w:val="2"/>
        </w:numPr>
        <w:spacing w:after="60" w:before="60"/>
      </w:pPr>
      <w:r>
        <w:rPr>
          <w:rFonts w:ascii="Arial" w:cs="Arial" w:eastAsia="Arial" w:hAnsi="Arial"/>
          <w:color w:val="333333"/>
          <w:sz w:val="22"/>
          <w:szCs w:val="22"/>
        </w:rPr>
        <w:t xml:space="preserve">Durées de conservation définies et appliquées automatiquement</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4.2 Authentification &amp; Habilitations</w:t>
      </w:r>
    </w:p>
    <w:p>
      <w:pPr>
        <w:pStyle w:val="ListParagraph"/>
        <w:numPr>
          <w:ilvl w:val="0"/>
          <w:numId w:val="2"/>
        </w:numPr>
        <w:spacing w:after="60" w:before="60"/>
      </w:pPr>
      <w:r>
        <w:rPr>
          <w:rFonts w:ascii="Arial" w:cs="Arial" w:eastAsia="Arial" w:hAnsi="Arial"/>
          <w:color w:val="333333"/>
          <w:sz w:val="22"/>
          <w:szCs w:val="22"/>
        </w:rPr>
        <w:t xml:space="preserve">MFA obligatoire pour tous les professionnels de santé</w:t>
      </w:r>
    </w:p>
    <w:p>
      <w:pPr>
        <w:pStyle w:val="ListParagraph"/>
        <w:numPr>
          <w:ilvl w:val="0"/>
          <w:numId w:val="2"/>
        </w:numPr>
        <w:spacing w:after="60" w:before="60"/>
      </w:pPr>
      <w:r>
        <w:rPr>
          <w:rFonts w:ascii="Arial" w:cs="Arial" w:eastAsia="Arial" w:hAnsi="Arial"/>
          <w:color w:val="333333"/>
          <w:sz w:val="22"/>
          <w:szCs w:val="22"/>
        </w:rPr>
        <w:t xml:space="preserve">RBAC (Role-Based Access Control) granulaire : médecin, infirmier, pharmacien, administrateur</w:t>
      </w:r>
    </w:p>
    <w:p>
      <w:pPr>
        <w:pStyle w:val="ListParagraph"/>
        <w:numPr>
          <w:ilvl w:val="0"/>
          <w:numId w:val="2"/>
        </w:numPr>
        <w:spacing w:after="60" w:before="60"/>
      </w:pPr>
      <w:r>
        <w:rPr>
          <w:rFonts w:ascii="Arial" w:cs="Arial" w:eastAsia="Arial" w:hAnsi="Arial"/>
          <w:color w:val="333333"/>
          <w:sz w:val="22"/>
          <w:szCs w:val="22"/>
        </w:rPr>
        <w:t xml:space="preserve">ABAC (Attribute-Based Access Control) : accès conditionné au périmètre géographique et à la prise en charge active</w:t>
      </w:r>
    </w:p>
    <w:p>
      <w:pPr>
        <w:pStyle w:val="ListParagraph"/>
        <w:numPr>
          <w:ilvl w:val="0"/>
          <w:numId w:val="2"/>
        </w:numPr>
        <w:spacing w:after="60" w:before="60"/>
      </w:pPr>
      <w:r>
        <w:rPr>
          <w:rFonts w:ascii="Arial" w:cs="Arial" w:eastAsia="Arial" w:hAnsi="Arial"/>
          <w:color w:val="333333"/>
          <w:sz w:val="22"/>
          <w:szCs w:val="22"/>
        </w:rPr>
        <w:t xml:space="preserve">Single Sign-On (SSO) via SAML 2.0 pour intégration avec les annuaires établissement (Active Directory)</w:t>
      </w:r>
    </w:p>
    <w:p>
      <w:pPr>
        <w:pStyle w:val="ListParagraph"/>
        <w:numPr>
          <w:ilvl w:val="0"/>
          <w:numId w:val="2"/>
        </w:numPr>
        <w:spacing w:after="60" w:before="60"/>
      </w:pPr>
      <w:r>
        <w:rPr>
          <w:rFonts w:ascii="Arial" w:cs="Arial" w:eastAsia="Arial" w:hAnsi="Arial"/>
          <w:color w:val="333333"/>
          <w:sz w:val="22"/>
          <w:szCs w:val="22"/>
        </w:rPr>
        <w:t xml:space="preserve">Politique de session : timeout 15 min inactivité, revalidation MFA pour actes sensibles</w:t>
      </w:r>
    </w:p>
    <w:p>
      <w:pPr>
        <w:pStyle w:val="ListParagraph"/>
        <w:numPr>
          <w:ilvl w:val="0"/>
          <w:numId w:val="2"/>
        </w:numPr>
        <w:spacing w:after="60" w:before="60"/>
      </w:pPr>
      <w:r>
        <w:rPr>
          <w:rFonts w:ascii="Arial" w:cs="Arial" w:eastAsia="Arial" w:hAnsi="Arial"/>
          <w:color w:val="333333"/>
          <w:sz w:val="22"/>
          <w:szCs w:val="22"/>
        </w:rPr>
        <w:t xml:space="preserve">Journalisation exhaustive de chaque accès au dossier patient (audit trail immuable)</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4.3 Chiffrement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Données en transit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TLS 1.3 minimum — mTLS entre microservices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Données au repos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AES-256-GCM — chiffrement disque PostgreSQL + Vault Transit Engine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Données sensibles (NISS)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Chiffrement applicatif via Vault Transit avant insertion en 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Sauvegardes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Chiffrement des dumps + stockage hors-site (S3 chiffré)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Clés de chiffrement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Rotation automatique toutes les 90 jours via Vault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Certificats TLS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PKI interne via Vault, durée 30 jours, rotation automatique</w:t>
            </w:r>
          </w:p>
        </w:tc>
      </w:tr>
    </w:tbl>
    <w:p>
      <w:pPr>
        <w:spacing w:after="120" w:before="120"/>
      </w:pPr>
      <w:r>
        <w:t xml:space="preserve"/>
      </w:r>
    </w:p>
    <w:p>
      <w:pPr>
        <w:pStyle w:val="Heading2"/>
        <w:spacing w:after="160" w:before="320"/>
      </w:pPr>
      <w:r>
        <w:rPr>
          <w:rFonts w:ascii="Arial" w:cs="Arial" w:eastAsia="Arial" w:hAnsi="Arial"/>
          <w:b/>
          <w:bCs/>
          <w:color w:val="0E7C7B"/>
          <w:sz w:val="26"/>
          <w:szCs w:val="26"/>
        </w:rPr>
        <w:t xml:space="preserve">4.4 Standards &amp; Certifications Visés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626"/>
      </w:tblGrid>
      <w:tr>
        <w:tc>
          <w:tcPr>
            <w:tcW w:type="dxa" w:w="20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Certification</w:t>
            </w:r>
          </w:p>
        </w:tc>
        <w:tc>
          <w:tcPr>
            <w:tcW w:type="dxa" w:w="16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Priorité</w:t>
            </w:r>
          </w:p>
        </w:tc>
        <w:tc>
          <w:tcPr>
            <w:tcW w:type="dxa" w:w="28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Périmètre</w:t>
            </w:r>
          </w:p>
        </w:tc>
        <w:tc>
          <w:tcPr>
            <w:tcW w:type="dxa" w:w="26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Cible temporelle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HDS (France)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Obligatoire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Hébergement données de santé</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Avant lancement commercial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 27001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Recommandé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Système management de la sécurité</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Année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 Dispositif Médical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Optionnel (module IA)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Classe IIa si aide au diagnostic</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Selon roadmap 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 2 Type II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Pour clients internationaux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Sécurité, disponibilité, confidentialité</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Année 2-3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IHE Profiles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Interopérabilité</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XDS, PIX, PDQ, ATNA</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Avant lancement</w:t>
            </w:r>
          </w:p>
        </w:tc>
      </w:tr>
    </w:tbl>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5. Architecture API &amp; Documentation Swagger</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5.1 Principes de l'API</w:t>
      </w:r>
    </w:p>
    <w:p>
      <w:pPr>
        <w:pStyle w:val="ListParagraph"/>
        <w:numPr>
          <w:ilvl w:val="0"/>
          <w:numId w:val="2"/>
        </w:numPr>
        <w:spacing w:after="60" w:before="60"/>
      </w:pPr>
      <w:r>
        <w:rPr>
          <w:rFonts w:ascii="Arial" w:cs="Arial" w:eastAsia="Arial" w:hAnsi="Arial"/>
          <w:color w:val="333333"/>
          <w:sz w:val="22"/>
          <w:szCs w:val="22"/>
        </w:rPr>
        <w:t xml:space="preserve">API RESTful avec OpenAPI 3.1 — documentation générée automatiquement via springdoc-openapi</w:t>
      </w:r>
    </w:p>
    <w:p>
      <w:pPr>
        <w:pStyle w:val="ListParagraph"/>
        <w:numPr>
          <w:ilvl w:val="0"/>
          <w:numId w:val="2"/>
        </w:numPr>
        <w:spacing w:after="60" w:before="60"/>
      </w:pPr>
      <w:r>
        <w:rPr>
          <w:rFonts w:ascii="Arial" w:cs="Arial" w:eastAsia="Arial" w:hAnsi="Arial"/>
          <w:color w:val="333333"/>
          <w:sz w:val="22"/>
          <w:szCs w:val="22"/>
        </w:rPr>
        <w:t xml:space="preserve">Versioning par URL (/api/v1/, /api/v2/) avec période de dépréciation de 12 mois</w:t>
      </w:r>
    </w:p>
    <w:p>
      <w:pPr>
        <w:pStyle w:val="ListParagraph"/>
        <w:numPr>
          <w:ilvl w:val="0"/>
          <w:numId w:val="2"/>
        </w:numPr>
        <w:spacing w:after="60" w:before="60"/>
      </w:pPr>
      <w:r>
        <w:rPr>
          <w:rFonts w:ascii="Arial" w:cs="Arial" w:eastAsia="Arial" w:hAnsi="Arial"/>
          <w:color w:val="333333"/>
          <w:sz w:val="22"/>
          <w:szCs w:val="22"/>
        </w:rPr>
        <w:t xml:space="preserve">FHIR R4 comme standard d'échange pour les ressources cliniques</w:t>
      </w:r>
    </w:p>
    <w:p>
      <w:pPr>
        <w:pStyle w:val="ListParagraph"/>
        <w:numPr>
          <w:ilvl w:val="0"/>
          <w:numId w:val="2"/>
        </w:numPr>
        <w:spacing w:after="60" w:before="60"/>
      </w:pPr>
      <w:r>
        <w:rPr>
          <w:rFonts w:ascii="Arial" w:cs="Arial" w:eastAsia="Arial" w:hAnsi="Arial"/>
          <w:color w:val="333333"/>
          <w:sz w:val="22"/>
          <w:szCs w:val="22"/>
        </w:rPr>
        <w:t xml:space="preserve">Pagination cursor-based pour les listes volumineuses</w:t>
      </w:r>
    </w:p>
    <w:p>
      <w:pPr>
        <w:pStyle w:val="ListParagraph"/>
        <w:numPr>
          <w:ilvl w:val="0"/>
          <w:numId w:val="2"/>
        </w:numPr>
        <w:spacing w:after="60" w:before="60"/>
      </w:pPr>
      <w:r>
        <w:rPr>
          <w:rFonts w:ascii="Arial" w:cs="Arial" w:eastAsia="Arial" w:hAnsi="Arial"/>
          <w:color w:val="333333"/>
          <w:sz w:val="22"/>
          <w:szCs w:val="22"/>
        </w:rPr>
        <w:t xml:space="preserve">Compression gzip/brotli pour les réponses &gt; 1KB</w:t>
      </w:r>
    </w:p>
    <w:p>
      <w:pPr>
        <w:pStyle w:val="ListParagraph"/>
        <w:numPr>
          <w:ilvl w:val="0"/>
          <w:numId w:val="2"/>
        </w:numPr>
        <w:spacing w:after="60" w:before="60"/>
      </w:pPr>
      <w:r>
        <w:rPr>
          <w:rFonts w:ascii="Arial" w:cs="Arial" w:eastAsia="Arial" w:hAnsi="Arial"/>
          <w:color w:val="333333"/>
          <w:sz w:val="22"/>
          <w:szCs w:val="22"/>
        </w:rPr>
        <w:t xml:space="preserve">Rate limiting par client API : 1000 req/min par défaut, configurable</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5.2 Principaux Endpoints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26"/>
      </w:tblGrid>
      <w:tr>
        <w:tc>
          <w:tcPr>
            <w:tcW w:type="dxa" w:w="30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20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22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8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Permission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 /api/v1/patients/{id}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Dossier patient complet</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Lecture dossier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/api/v1/patients/{id}/observations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iot-ingestion-service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Ajout observation clinique (FHIR)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Écriture dossier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 /api/v1/patients/{id}/alerts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alert-service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Alertes actives du patient</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Lecture alertes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/api/v1/care-plans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care-plan-service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Création plan de soins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Écriture plan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PUT /api/v1/care-plans/{id}/tasks/{taskId}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care-plan-service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Mise à jour tâche de soin</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Écriture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/api/v1/prescriptions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prescription-service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Création ordonnance électronique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 /api/v1/analytics/dashboard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analytics-service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Données tableau de bord</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Lecture analytics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/api/v1/messages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messaging-service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Envoi message sécurisé</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Messagerie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 /fhir/r4/Patient/{id}/$everything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Export FHIR complet patient</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Export FHIR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/webhooks/iot/{deviceType}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iot-ingestion-service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Réception données IoT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IoT</w:t>
            </w:r>
          </w:p>
        </w:tc>
      </w:tr>
    </w:tbl>
    <w:p>
      <w:pPr>
        <w:spacing w:after="120" w:before="120"/>
      </w:pPr>
      <w:r>
        <w:t xml:space="preserve"/>
      </w:r>
    </w:p>
    <w:p>
      <w:pPr>
        <w:pStyle w:val="Heading2"/>
        <w:spacing w:after="160" w:before="320"/>
      </w:pPr>
      <w:r>
        <w:rPr>
          <w:rFonts w:ascii="Arial" w:cs="Arial" w:eastAsia="Arial" w:hAnsi="Arial"/>
          <w:b/>
          <w:bCs/>
          <w:color w:val="0E7C7B"/>
          <w:sz w:val="26"/>
          <w:szCs w:val="26"/>
        </w:rPr>
        <w:t xml:space="preserve">5.3 Interface Swagger UI</w:t>
      </w:r>
    </w:p>
    <w:p>
      <w:pPr>
        <w:spacing w:after="80" w:before="80"/>
      </w:pPr>
      <w:r>
        <w:rPr>
          <w:rFonts w:ascii="Arial" w:cs="Arial" w:eastAsia="Arial" w:hAnsi="Arial"/>
          <w:color w:val="333333"/>
          <w:sz w:val="22"/>
          <w:szCs w:val="22"/>
        </w:rPr>
        <w:t xml:space="preserve">Chaque microservice expose sa documentation Swagger accessible à /swagger-ui/index.html. Un portail développeur centralisé agrège toutes les APIs via une instance Swagger UI fédérée, avec :</w:t>
      </w:r>
    </w:p>
    <w:p>
      <w:pPr>
        <w:pStyle w:val="ListParagraph"/>
        <w:numPr>
          <w:ilvl w:val="0"/>
          <w:numId w:val="2"/>
        </w:numPr>
        <w:spacing w:after="60" w:before="60"/>
      </w:pPr>
      <w:r>
        <w:rPr>
          <w:rFonts w:ascii="Arial" w:cs="Arial" w:eastAsia="Arial" w:hAnsi="Arial"/>
          <w:color w:val="333333"/>
          <w:sz w:val="22"/>
          <w:szCs w:val="22"/>
        </w:rPr>
        <w:t xml:space="preserve">Try-it-out interactif avec OAuth2 implicit flow pour les tests</w:t>
      </w:r>
    </w:p>
    <w:p>
      <w:pPr>
        <w:pStyle w:val="ListParagraph"/>
        <w:numPr>
          <w:ilvl w:val="0"/>
          <w:numId w:val="2"/>
        </w:numPr>
        <w:spacing w:after="60" w:before="60"/>
      </w:pPr>
      <w:r>
        <w:rPr>
          <w:rFonts w:ascii="Arial" w:cs="Arial" w:eastAsia="Arial" w:hAnsi="Arial"/>
          <w:color w:val="333333"/>
          <w:sz w:val="22"/>
          <w:szCs w:val="22"/>
        </w:rPr>
        <w:t xml:space="preserve">Exemples de requêtes et réponses pour chaque endpoint</w:t>
      </w:r>
    </w:p>
    <w:p>
      <w:pPr>
        <w:pStyle w:val="ListParagraph"/>
        <w:numPr>
          <w:ilvl w:val="0"/>
          <w:numId w:val="2"/>
        </w:numPr>
        <w:spacing w:after="60" w:before="60"/>
      </w:pPr>
      <w:r>
        <w:rPr>
          <w:rFonts w:ascii="Arial" w:cs="Arial" w:eastAsia="Arial" w:hAnsi="Arial"/>
          <w:color w:val="333333"/>
          <w:sz w:val="22"/>
          <w:szCs w:val="22"/>
        </w:rPr>
        <w:t xml:space="preserve">Codes d'erreur documentés et normalisés (RFC 7807 Problem Details)</w:t>
      </w:r>
    </w:p>
    <w:p>
      <w:pPr>
        <w:pStyle w:val="ListParagraph"/>
        <w:numPr>
          <w:ilvl w:val="0"/>
          <w:numId w:val="2"/>
        </w:numPr>
        <w:spacing w:after="60" w:before="60"/>
      </w:pPr>
      <w:r>
        <w:rPr>
          <w:rFonts w:ascii="Arial" w:cs="Arial" w:eastAsia="Arial" w:hAnsi="Arial"/>
          <w:color w:val="333333"/>
          <w:sz w:val="22"/>
          <w:szCs w:val="22"/>
        </w:rPr>
        <w:t xml:space="preserve">Schémas FHIR intégrés avec liens vers la spécification HL7</w:t>
      </w:r>
    </w:p>
    <w:p>
      <w:pPr>
        <w:pStyle w:val="ListParagraph"/>
        <w:numPr>
          <w:ilvl w:val="0"/>
          <w:numId w:val="2"/>
        </w:numPr>
        <w:spacing w:after="60" w:before="60"/>
      </w:pPr>
      <w:r>
        <w:rPr>
          <w:rFonts w:ascii="Arial" w:cs="Arial" w:eastAsia="Arial" w:hAnsi="Arial"/>
          <w:color w:val="333333"/>
          <w:sz w:val="22"/>
          <w:szCs w:val="22"/>
        </w:rPr>
        <w:t xml:space="preserve">Changelog des versions d'API</w:t>
      </w:r>
    </w:p>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6. Modèle de Données PostgreSQL</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6.1 Stratégie Multi-Tenant</w:t>
      </w:r>
    </w:p>
    <w:p>
      <w:pPr>
        <w:spacing w:after="80" w:before="80"/>
      </w:pPr>
      <w:r>
        <w:rPr>
          <w:rFonts w:ascii="Arial" w:cs="Arial" w:eastAsia="Arial" w:hAnsi="Arial"/>
          <w:color w:val="333333"/>
          <w:sz w:val="22"/>
          <w:szCs w:val="22"/>
        </w:rPr>
        <w:t xml:space="preserve">CareSync adopte une architecture multi-tenant avec isolation par schéma PostgreSQL (schema-per-tenant). Chaque établissement client dispose de son propre schéma logique, garantissant l'isolation des données tout en partageant l'infrastructure. Un schéma public contient les tables de référentiel communes (médicaments, codes CIM-10, etc.).</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6.2 Principales Entités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Table</w:t>
            </w:r>
          </w:p>
        </w:tc>
        <w:tc>
          <w:tcPr>
            <w:tcW w:type="dxa" w:w="26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42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Colonnes clés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Identité, INS, données démographiques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UUID, prénom, nom, date_naissance, ins_nir, genre, adresse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patient_conditions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Pathologies actives (CIM-10/SNOMED)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patient_id, code_cim10, libelle, date_debut, actif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care_plans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Plans de soins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id, patient_id, titre, statut, date_debut, date_fin, created_by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care_plan_tasks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Tâches du plan de soins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plan_id, type, description, assignee_id, echeance, statut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observations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Données cliniques (FHIR Observation)</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id, patient_id, code_loinc, valeur, unite, date_obs,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Référentiel médicaments (CIS/CIP)</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cis_code, denomination, forme, voie, principes_actifs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prescriptions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Ordonnances électroniques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id, patient_id, medecin_id, date, statut, signature_eidas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prescription_lines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Lignes d'ordonnance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prescription_id, medication_id, posologie, duree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alerts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Alertes cliniques générées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id, patient_id, type, severite, message, acquitee_par, acquitee_le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Professionnels de santé</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rpps_number, role, specialite, etablissement_id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secure_messages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Messages sécurisés inter-pro</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id, sender_id, recipient_ids, sujet, contenu_chiffre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audit_logs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Traçabilité des accès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user_id, action, resource_type, resource_id, ip, timestamp</w:t>
            </w:r>
          </w:p>
        </w:tc>
      </w:tr>
    </w:tbl>
    <w:p>
      <w:pPr>
        <w:spacing w:after="120" w:before="120"/>
      </w:pPr>
      <w:r>
        <w:t xml:space="preserve"/>
      </w:r>
    </w:p>
    <w:p>
      <w:pPr>
        <w:pStyle w:val="Heading2"/>
        <w:spacing w:after="160" w:before="320"/>
      </w:pPr>
      <w:r>
        <w:rPr>
          <w:rFonts w:ascii="Arial" w:cs="Arial" w:eastAsia="Arial" w:hAnsi="Arial"/>
          <w:b/>
          <w:bCs/>
          <w:color w:val="0E7C7B"/>
          <w:sz w:val="26"/>
          <w:szCs w:val="26"/>
        </w:rPr>
        <w:t xml:space="preserve">6.3 Optimisations PostgreSQL</w:t>
      </w:r>
    </w:p>
    <w:p>
      <w:pPr>
        <w:pStyle w:val="ListParagraph"/>
        <w:numPr>
          <w:ilvl w:val="0"/>
          <w:numId w:val="2"/>
        </w:numPr>
        <w:spacing w:after="60" w:before="60"/>
      </w:pPr>
      <w:r>
        <w:rPr>
          <w:rFonts w:ascii="Arial" w:cs="Arial" w:eastAsia="Arial" w:hAnsi="Arial"/>
          <w:color w:val="333333"/>
          <w:sz w:val="22"/>
          <w:szCs w:val="22"/>
        </w:rPr>
        <w:t xml:space="preserve">Index partiels sur les alertes non acquittées : CREATE INDEX ON alerts(patient_id) WHERE acquitee_par IS NULL</w:t>
      </w:r>
    </w:p>
    <w:p>
      <w:pPr>
        <w:pStyle w:val="ListParagraph"/>
        <w:numPr>
          <w:ilvl w:val="0"/>
          <w:numId w:val="2"/>
        </w:numPr>
        <w:spacing w:after="60" w:before="60"/>
      </w:pPr>
      <w:r>
        <w:rPr>
          <w:rFonts w:ascii="Arial" w:cs="Arial" w:eastAsia="Arial" w:hAnsi="Arial"/>
          <w:color w:val="333333"/>
          <w:sz w:val="22"/>
          <w:szCs w:val="22"/>
        </w:rPr>
        <w:t xml:space="preserve">Partitionnement par range temporel sur audit_logs et observations (par mois)</w:t>
      </w:r>
    </w:p>
    <w:p>
      <w:pPr>
        <w:pStyle w:val="ListParagraph"/>
        <w:numPr>
          <w:ilvl w:val="0"/>
          <w:numId w:val="2"/>
        </w:numPr>
        <w:spacing w:after="60" w:before="60"/>
      </w:pPr>
      <w:r>
        <w:rPr>
          <w:rFonts w:ascii="Arial" w:cs="Arial" w:eastAsia="Arial" w:hAnsi="Arial"/>
          <w:color w:val="333333"/>
          <w:sz w:val="22"/>
          <w:szCs w:val="22"/>
        </w:rPr>
        <w:t xml:space="preserve">Extension TimescaleDB pour les séries temporelles IoT avec compression automatique</w:t>
      </w:r>
    </w:p>
    <w:p>
      <w:pPr>
        <w:pStyle w:val="ListParagraph"/>
        <w:numPr>
          <w:ilvl w:val="0"/>
          <w:numId w:val="2"/>
        </w:numPr>
        <w:spacing w:after="60" w:before="60"/>
      </w:pPr>
      <w:r>
        <w:rPr>
          <w:rFonts w:ascii="Arial" w:cs="Arial" w:eastAsia="Arial" w:hAnsi="Arial"/>
          <w:color w:val="333333"/>
          <w:sz w:val="22"/>
          <w:szCs w:val="22"/>
        </w:rPr>
        <w:t xml:space="preserve">Connexion pooling via PgBouncer en mode transaction (max 50 connexions par pod)</w:t>
      </w:r>
    </w:p>
    <w:p>
      <w:pPr>
        <w:pStyle w:val="ListParagraph"/>
        <w:numPr>
          <w:ilvl w:val="0"/>
          <w:numId w:val="2"/>
        </w:numPr>
        <w:spacing w:after="60" w:before="60"/>
      </w:pPr>
      <w:r>
        <w:rPr>
          <w:rFonts w:ascii="Arial" w:cs="Arial" w:eastAsia="Arial" w:hAnsi="Arial"/>
          <w:color w:val="333333"/>
          <w:sz w:val="22"/>
          <w:szCs w:val="22"/>
        </w:rPr>
        <w:t xml:space="preserve">Réplication streaming vers un réplica lecture seule pour les requêtes analytiques</w:t>
      </w:r>
    </w:p>
    <w:p>
      <w:pPr>
        <w:pStyle w:val="ListParagraph"/>
        <w:numPr>
          <w:ilvl w:val="0"/>
          <w:numId w:val="2"/>
        </w:numPr>
        <w:spacing w:after="60" w:before="60"/>
      </w:pPr>
      <w:r>
        <w:rPr>
          <w:rFonts w:ascii="Arial" w:cs="Arial" w:eastAsia="Arial" w:hAnsi="Arial"/>
          <w:color w:val="333333"/>
          <w:sz w:val="22"/>
          <w:szCs w:val="22"/>
        </w:rPr>
        <w:t xml:space="preserve">Sauvegardes PITR (Point-in-Time Recovery) avec rétention 30 jours via pgBackRest</w:t>
      </w:r>
    </w:p>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7. Frontend Angular 18</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7.1 Architecture Frontend</w:t>
      </w:r>
    </w:p>
    <w:p>
      <w:pPr>
        <w:pStyle w:val="ListParagraph"/>
        <w:numPr>
          <w:ilvl w:val="0"/>
          <w:numId w:val="2"/>
        </w:numPr>
        <w:spacing w:after="60" w:before="60"/>
      </w:pPr>
      <w:r>
        <w:rPr>
          <w:rFonts w:ascii="Arial" w:cs="Arial" w:eastAsia="Arial" w:hAnsi="Arial"/>
          <w:color w:val="333333"/>
          <w:sz w:val="22"/>
          <w:szCs w:val="22"/>
        </w:rPr>
        <w:t xml:space="preserve">Architecture standalone components (sans NgModules) — standard Angular 18</w:t>
      </w:r>
    </w:p>
    <w:p>
      <w:pPr>
        <w:pStyle w:val="ListParagraph"/>
        <w:numPr>
          <w:ilvl w:val="0"/>
          <w:numId w:val="2"/>
        </w:numPr>
        <w:spacing w:after="60" w:before="60"/>
      </w:pPr>
      <w:r>
        <w:rPr>
          <w:rFonts w:ascii="Arial" w:cs="Arial" w:eastAsia="Arial" w:hAnsi="Arial"/>
          <w:color w:val="333333"/>
          <w:sz w:val="22"/>
          <w:szCs w:val="22"/>
        </w:rPr>
        <w:t xml:space="preserve">NgRx Signal Store pour la gestion d'état réactive (remplacement de Redux/NgRx classique)</w:t>
      </w:r>
    </w:p>
    <w:p>
      <w:pPr>
        <w:pStyle w:val="ListParagraph"/>
        <w:numPr>
          <w:ilvl w:val="0"/>
          <w:numId w:val="2"/>
        </w:numPr>
        <w:spacing w:after="60" w:before="60"/>
      </w:pPr>
      <w:r>
        <w:rPr>
          <w:rFonts w:ascii="Arial" w:cs="Arial" w:eastAsia="Arial" w:hAnsi="Arial"/>
          <w:color w:val="333333"/>
          <w:sz w:val="22"/>
          <w:szCs w:val="22"/>
        </w:rPr>
        <w:t xml:space="preserve">RxJS 7 pour les flux de données asynchrones et les WebSockets</w:t>
      </w:r>
    </w:p>
    <w:p>
      <w:pPr>
        <w:pStyle w:val="ListParagraph"/>
        <w:numPr>
          <w:ilvl w:val="0"/>
          <w:numId w:val="2"/>
        </w:numPr>
        <w:spacing w:after="60" w:before="60"/>
      </w:pPr>
      <w:r>
        <w:rPr>
          <w:rFonts w:ascii="Arial" w:cs="Arial" w:eastAsia="Arial" w:hAnsi="Arial"/>
          <w:color w:val="333333"/>
          <w:sz w:val="22"/>
          <w:szCs w:val="22"/>
        </w:rPr>
        <w:t xml:space="preserve">Angular Material 18 comme bibliothèque de composants UI (thème personnalisé CareSync)</w:t>
      </w:r>
    </w:p>
    <w:p>
      <w:pPr>
        <w:pStyle w:val="ListParagraph"/>
        <w:numPr>
          <w:ilvl w:val="0"/>
          <w:numId w:val="2"/>
        </w:numPr>
        <w:spacing w:after="60" w:before="60"/>
      </w:pPr>
      <w:r>
        <w:rPr>
          <w:rFonts w:ascii="Arial" w:cs="Arial" w:eastAsia="Arial" w:hAnsi="Arial"/>
          <w:color w:val="333333"/>
          <w:sz w:val="22"/>
          <w:szCs w:val="22"/>
        </w:rPr>
        <w:t xml:space="preserve">Lazy loading systématique par feature module pour optimiser le bundle initial</w:t>
      </w:r>
    </w:p>
    <w:p>
      <w:pPr>
        <w:pStyle w:val="ListParagraph"/>
        <w:numPr>
          <w:ilvl w:val="0"/>
          <w:numId w:val="2"/>
        </w:numPr>
        <w:spacing w:after="60" w:before="60"/>
      </w:pPr>
      <w:r>
        <w:rPr>
          <w:rFonts w:ascii="Arial" w:cs="Arial" w:eastAsia="Arial" w:hAnsi="Arial"/>
          <w:color w:val="333333"/>
          <w:sz w:val="22"/>
          <w:szCs w:val="22"/>
        </w:rPr>
        <w:t xml:space="preserve">Progressive Web App (PWA) avec Service Worker pour accès offline partiel</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7.2 Structure des Modules Applicatifs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c>
          <w:tcPr>
            <w:tcW w:type="dxa" w:w="28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Module</w:t>
            </w:r>
          </w:p>
        </w:tc>
        <w:tc>
          <w:tcPr>
            <w:tcW w:type="dxa" w:w="35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Fonctionnalité</w:t>
            </w:r>
          </w:p>
        </w:tc>
        <w:tc>
          <w:tcPr>
            <w:tcW w:type="dxa" w:w="27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Utilisateurs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DashboardModule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Tableau de bord opérationnel temps réel</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Médecins, infirmiers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Dossier patient, timeline clinique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 professionnels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CarePlanModule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Gestion des plans de soins</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Médecins, coordinateurs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AlertsModule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Console d'alertes et notifications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 professionnels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PrescriptionModule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Rédaction et suivi des ordonnances</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Médecins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MessagingModule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Messagerie sécurisée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 professionnels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IoTDashboardModule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Visualisation données IoT (Chart.js)</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Médecins, infirmiers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Rapports et indicateurs qualité</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Directeurs, médecins DIM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AdminModule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Gestion utilisateurs, paramétrage</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Administrateurs</w:t>
            </w:r>
          </w:p>
        </w:tc>
      </w:tr>
    </w:tbl>
    <w:p>
      <w:pPr>
        <w:spacing w:after="120" w:before="120"/>
      </w:pPr>
      <w:r>
        <w:t xml:space="preserve"/>
      </w:r>
    </w:p>
    <w:p>
      <w:pPr>
        <w:pStyle w:val="Heading2"/>
        <w:spacing w:after="160" w:before="320"/>
      </w:pPr>
      <w:r>
        <w:rPr>
          <w:rFonts w:ascii="Arial" w:cs="Arial" w:eastAsia="Arial" w:hAnsi="Arial"/>
          <w:b/>
          <w:bCs/>
          <w:color w:val="0E7C7B"/>
          <w:sz w:val="26"/>
          <w:szCs w:val="26"/>
        </w:rPr>
        <w:t xml:space="preserve">7.3 Accessibilité &amp; UX</w:t>
      </w:r>
    </w:p>
    <w:p>
      <w:pPr>
        <w:pStyle w:val="ListParagraph"/>
        <w:numPr>
          <w:ilvl w:val="0"/>
          <w:numId w:val="2"/>
        </w:numPr>
        <w:spacing w:after="60" w:before="60"/>
      </w:pPr>
      <w:r>
        <w:rPr>
          <w:rFonts w:ascii="Arial" w:cs="Arial" w:eastAsia="Arial" w:hAnsi="Arial"/>
          <w:color w:val="333333"/>
          <w:sz w:val="22"/>
          <w:szCs w:val="22"/>
        </w:rPr>
        <w:t xml:space="preserve">Conformité WCAG 2.1 niveau AA — obligatoire pour les logiciels de santé en France</w:t>
      </w:r>
    </w:p>
    <w:p>
      <w:pPr>
        <w:pStyle w:val="ListParagraph"/>
        <w:numPr>
          <w:ilvl w:val="0"/>
          <w:numId w:val="2"/>
        </w:numPr>
        <w:spacing w:after="60" w:before="60"/>
      </w:pPr>
      <w:r>
        <w:rPr>
          <w:rFonts w:ascii="Arial" w:cs="Arial" w:eastAsia="Arial" w:hAnsi="Arial"/>
          <w:color w:val="333333"/>
          <w:sz w:val="22"/>
          <w:szCs w:val="22"/>
        </w:rPr>
        <w:t xml:space="preserve">Design responsive : optimisé tablette (usage en mobilité clinique) et desktop</w:t>
      </w:r>
    </w:p>
    <w:p>
      <w:pPr>
        <w:pStyle w:val="ListParagraph"/>
        <w:numPr>
          <w:ilvl w:val="0"/>
          <w:numId w:val="2"/>
        </w:numPr>
        <w:spacing w:after="60" w:before="60"/>
      </w:pPr>
      <w:r>
        <w:rPr>
          <w:rFonts w:ascii="Arial" w:cs="Arial" w:eastAsia="Arial" w:hAnsi="Arial"/>
          <w:color w:val="333333"/>
          <w:sz w:val="22"/>
          <w:szCs w:val="22"/>
        </w:rPr>
        <w:t xml:space="preserve">Mode sombre disponible (réduction de la fatigue visuelle pour le personnel de nuit)</w:t>
      </w:r>
    </w:p>
    <w:p>
      <w:pPr>
        <w:pStyle w:val="ListParagraph"/>
        <w:numPr>
          <w:ilvl w:val="0"/>
          <w:numId w:val="2"/>
        </w:numPr>
        <w:spacing w:after="60" w:before="60"/>
      </w:pPr>
      <w:r>
        <w:rPr>
          <w:rFonts w:ascii="Arial" w:cs="Arial" w:eastAsia="Arial" w:hAnsi="Arial"/>
          <w:color w:val="333333"/>
          <w:sz w:val="22"/>
          <w:szCs w:val="22"/>
        </w:rPr>
        <w:t xml:space="preserve">Raccourcis clavier complets pour les workflows de saisie rapide</w:t>
      </w:r>
    </w:p>
    <w:p>
      <w:pPr>
        <w:pStyle w:val="ListParagraph"/>
        <w:numPr>
          <w:ilvl w:val="0"/>
          <w:numId w:val="2"/>
        </w:numPr>
        <w:spacing w:after="60" w:before="60"/>
      </w:pPr>
      <w:r>
        <w:rPr>
          <w:rFonts w:ascii="Arial" w:cs="Arial" w:eastAsia="Arial" w:hAnsi="Arial"/>
          <w:color w:val="333333"/>
          <w:sz w:val="22"/>
          <w:szCs w:val="22"/>
        </w:rPr>
        <w:t xml:space="preserve">Internationalisation (i18n) : Français, Anglais, Néerlandais, Allemand</w:t>
      </w:r>
    </w:p>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8. DevOps, CI/CD &amp; Infrastructure</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8.1 Pipeline CI/CD GitLab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A5A5A" w:val="clear"/>
            <w:tcMar>
              <w:top w:type="dxa" w:w="120"/>
              <w:left w:type="dxa" w:w="240"/>
              <w:bottom w:type="dxa" w:w="120"/>
              <w:right w:type="dxa" w:w="240"/>
            </w:tcMar>
          </w:tcPr>
          <w:p>
            <w:r>
              <w:rPr>
                <w:rFonts w:ascii="Arial" w:cs="Arial" w:eastAsia="Arial" w:hAnsi="Arial"/>
                <w:b/>
                <w:bCs/>
                <w:color w:val="FFFFFF"/>
                <w:sz w:val="24"/>
                <w:szCs w:val="24"/>
              </w:rPr>
              <w:t xml:space="preserve">Étapes du Pipeline</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c>
          <w:tcPr>
            <w:tcW w:type="dxa" w:w="22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Étape</w:t>
            </w:r>
          </w:p>
        </w:tc>
        <w:tc>
          <w:tcPr>
            <w:tcW w:type="dxa" w:w="46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22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Durée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 Code Quality</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Lint, Checkstyle, SonarQube (Quality Gate A)</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 5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Unit Tests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JUnit 5, Mockito — couverture &gt; 80%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10 min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 Integration Tests</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Testcontainers (PostgreSQL, Kafka, Redis)</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 15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Security Scan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SAST (Semgrep), DAST (OWASP ZAP), Trivy (Docker)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10 min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 Build Docker</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Multi-stage build, distroless base image</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 8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Push Registry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GitLab Container Registry, tag SHA + semver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3 min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 Deploy Staging</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ArgoCD sync automatique sur namespace staging</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 5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E2E Tests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Playwright sur environnement staging</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20 min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 Deploy Prod</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Validation manuelle + blue-green deployment</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 10 min</w:t>
            </w:r>
          </w:p>
        </w:tc>
      </w:tr>
    </w:tbl>
    <w:p>
      <w:pPr>
        <w:spacing w:after="120" w:before="120"/>
      </w:pPr>
      <w:r>
        <w:t xml:space="preserve"/>
      </w:r>
    </w:p>
    <w:p>
      <w:pPr>
        <w:pStyle w:val="Heading2"/>
        <w:spacing w:after="160" w:before="320"/>
      </w:pPr>
      <w:r>
        <w:rPr>
          <w:rFonts w:ascii="Arial" w:cs="Arial" w:eastAsia="Arial" w:hAnsi="Arial"/>
          <w:b/>
          <w:bCs/>
          <w:color w:val="0E7C7B"/>
          <w:sz w:val="26"/>
          <w:szCs w:val="26"/>
        </w:rPr>
        <w:t xml:space="preserve">8.2 Observabilité — Stack Golden Signals</w:t>
      </w:r>
    </w:p>
    <w:p>
      <w:pPr>
        <w:pStyle w:val="ListParagraph"/>
        <w:numPr>
          <w:ilvl w:val="0"/>
          <w:numId w:val="2"/>
        </w:numPr>
        <w:spacing w:after="60" w:before="60"/>
      </w:pPr>
      <w:r>
        <w:rPr>
          <w:rFonts w:ascii="Arial" w:cs="Arial" w:eastAsia="Arial" w:hAnsi="Arial"/>
          <w:color w:val="333333"/>
          <w:sz w:val="22"/>
          <w:szCs w:val="22"/>
        </w:rPr>
        <w:t xml:space="preserve">Latence : percentiles P50/P95/P99 par endpoint via Prometheus + histogrammes</w:t>
      </w:r>
    </w:p>
    <w:p>
      <w:pPr>
        <w:pStyle w:val="ListParagraph"/>
        <w:numPr>
          <w:ilvl w:val="0"/>
          <w:numId w:val="2"/>
        </w:numPr>
        <w:spacing w:after="60" w:before="60"/>
      </w:pPr>
      <w:r>
        <w:rPr>
          <w:rFonts w:ascii="Arial" w:cs="Arial" w:eastAsia="Arial" w:hAnsi="Arial"/>
          <w:color w:val="333333"/>
          <w:sz w:val="22"/>
          <w:szCs w:val="22"/>
        </w:rPr>
        <w:t xml:space="preserve">Trafic : requêtes par seconde, événements Kafka traités, connexions WebSocket actives</w:t>
      </w:r>
    </w:p>
    <w:p>
      <w:pPr>
        <w:pStyle w:val="ListParagraph"/>
        <w:numPr>
          <w:ilvl w:val="0"/>
          <w:numId w:val="2"/>
        </w:numPr>
        <w:spacing w:after="60" w:before="60"/>
      </w:pPr>
      <w:r>
        <w:rPr>
          <w:rFonts w:ascii="Arial" w:cs="Arial" w:eastAsia="Arial" w:hAnsi="Arial"/>
          <w:color w:val="333333"/>
          <w:sz w:val="22"/>
          <w:szCs w:val="22"/>
        </w:rPr>
        <w:t xml:space="preserve">Erreurs : taux d'erreurs HTTP 5xx/4xx, dead letter queue Kafka, alertes Grafana</w:t>
      </w:r>
    </w:p>
    <w:p>
      <w:pPr>
        <w:pStyle w:val="ListParagraph"/>
        <w:numPr>
          <w:ilvl w:val="0"/>
          <w:numId w:val="2"/>
        </w:numPr>
        <w:spacing w:after="60" w:before="60"/>
      </w:pPr>
      <w:r>
        <w:rPr>
          <w:rFonts w:ascii="Arial" w:cs="Arial" w:eastAsia="Arial" w:hAnsi="Arial"/>
          <w:color w:val="333333"/>
          <w:sz w:val="22"/>
          <w:szCs w:val="22"/>
        </w:rPr>
        <w:t xml:space="preserve">Saturation : CPU, mémoire, disk I/O, connexions PostgreSQL, lag consommateurs Kafka</w:t>
      </w:r>
    </w:p>
    <w:p>
      <w:pPr>
        <w:pStyle w:val="ListParagraph"/>
        <w:numPr>
          <w:ilvl w:val="0"/>
          <w:numId w:val="2"/>
        </w:numPr>
        <w:spacing w:after="60" w:before="60"/>
      </w:pPr>
      <w:r>
        <w:rPr>
          <w:rFonts w:ascii="Arial" w:cs="Arial" w:eastAsia="Arial" w:hAnsi="Arial"/>
          <w:color w:val="333333"/>
          <w:sz w:val="22"/>
          <w:szCs w:val="22"/>
        </w:rPr>
        <w:t xml:space="preserve">Logs : structurés JSON via Logback → Loki, corrélés via trace ID (OpenTelemetry)</w:t>
      </w:r>
    </w:p>
    <w:p>
      <w:pPr>
        <w:pStyle w:val="ListParagraph"/>
        <w:numPr>
          <w:ilvl w:val="0"/>
          <w:numId w:val="2"/>
        </w:numPr>
        <w:spacing w:after="60" w:before="60"/>
      </w:pPr>
      <w:r>
        <w:rPr>
          <w:rFonts w:ascii="Arial" w:cs="Arial" w:eastAsia="Arial" w:hAnsi="Arial"/>
          <w:color w:val="333333"/>
          <w:sz w:val="22"/>
          <w:szCs w:val="22"/>
        </w:rPr>
        <w:t xml:space="preserve">Traces distribuées : OpenTelemetry SDK → Grafana Tempo pour le tracing inter-services</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8.3 Haute Disponibilité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SLA cible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99,9% (8,7h d'indisponibilité max/an) — 99,99% pour le module alertes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Réplication PostgreSQL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1 primaire + 2 réplicas (streaming synchrone pour écriture critique)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Réplication Kafka</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3 brokers, replication factor 3, min.insync.replicas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Zones de disponibilité</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Déploiement multi-AZ obligatoire (min 3 AZ)</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RTO (Recovery Time)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&lt; 30 minutes en cas de défaillance majeure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RPO (Recovery Point)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&lt; 5 minutes — WAL PostgreSQL + Kafka offset replay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Disaster Recovery</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Cluster de secours dans une région distante (DR passif)</w:t>
            </w:r>
          </w:p>
        </w:tc>
      </w:tr>
    </w:tbl>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9. Roadmap Produit</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8449" w:val="clear"/>
            <w:tcMar>
              <w:top w:type="dxa" w:w="120"/>
              <w:left w:type="dxa" w:w="240"/>
              <w:bottom w:type="dxa" w:w="120"/>
              <w:right w:type="dxa" w:w="240"/>
            </w:tcMar>
          </w:tcPr>
          <w:p>
            <w:r>
              <w:rPr>
                <w:rFonts w:ascii="Arial" w:cs="Arial" w:eastAsia="Arial" w:hAnsi="Arial"/>
                <w:b/>
                <w:bCs/>
                <w:color w:val="FFFFFF"/>
                <w:sz w:val="24"/>
                <w:szCs w:val="24"/>
              </w:rPr>
              <w:t xml:space="preserve">Phase 1 — MVP (0-6 mois)</w:t>
            </w:r>
          </w:p>
        </w:tc>
      </w:tr>
    </w:tbl>
    <w:p>
      <w:pPr>
        <w:spacing w:after="120" w:before="120"/>
      </w:pPr>
      <w:r>
        <w:t xml:space="preserve"/>
      </w:r>
    </w:p>
    <w:p>
      <w:pPr>
        <w:pStyle w:val="ListParagraph"/>
        <w:numPr>
          <w:ilvl w:val="0"/>
          <w:numId w:val="2"/>
        </w:numPr>
        <w:spacing w:after="60" w:before="60"/>
      </w:pPr>
      <w:r>
        <w:rPr>
          <w:rFonts w:ascii="Arial" w:cs="Arial" w:eastAsia="Arial" w:hAnsi="Arial"/>
          <w:color w:val="333333"/>
          <w:sz w:val="22"/>
          <w:szCs w:val="22"/>
        </w:rPr>
        <w:t xml:space="preserve">Dossier patient partagé (lecture/écriture)</w:t>
      </w:r>
    </w:p>
    <w:p>
      <w:pPr>
        <w:pStyle w:val="ListParagraph"/>
        <w:numPr>
          <w:ilvl w:val="0"/>
          <w:numId w:val="2"/>
        </w:numPr>
        <w:spacing w:after="60" w:before="60"/>
      </w:pPr>
      <w:r>
        <w:rPr>
          <w:rFonts w:ascii="Arial" w:cs="Arial" w:eastAsia="Arial" w:hAnsi="Arial"/>
          <w:color w:val="333333"/>
          <w:sz w:val="22"/>
          <w:szCs w:val="22"/>
        </w:rPr>
        <w:t xml:space="preserve">Plan de soins basique avec tâches assignables</w:t>
      </w:r>
    </w:p>
    <w:p>
      <w:pPr>
        <w:pStyle w:val="ListParagraph"/>
        <w:numPr>
          <w:ilvl w:val="0"/>
          <w:numId w:val="2"/>
        </w:numPr>
        <w:spacing w:after="60" w:before="60"/>
      </w:pPr>
      <w:r>
        <w:rPr>
          <w:rFonts w:ascii="Arial" w:cs="Arial" w:eastAsia="Arial" w:hAnsi="Arial"/>
          <w:color w:val="333333"/>
          <w:sz w:val="22"/>
          <w:szCs w:val="22"/>
        </w:rPr>
        <w:t xml:space="preserve">Alertes biologiques et médicamenteuses</w:t>
      </w:r>
    </w:p>
    <w:p>
      <w:pPr>
        <w:pStyle w:val="ListParagraph"/>
        <w:numPr>
          <w:ilvl w:val="0"/>
          <w:numId w:val="2"/>
        </w:numPr>
        <w:spacing w:after="60" w:before="60"/>
      </w:pPr>
      <w:r>
        <w:rPr>
          <w:rFonts w:ascii="Arial" w:cs="Arial" w:eastAsia="Arial" w:hAnsi="Arial"/>
          <w:color w:val="333333"/>
          <w:sz w:val="22"/>
          <w:szCs w:val="22"/>
        </w:rPr>
        <w:t xml:space="preserve">Messagerie sécurisée entre professionnels</w:t>
      </w:r>
    </w:p>
    <w:p>
      <w:pPr>
        <w:pStyle w:val="ListParagraph"/>
        <w:numPr>
          <w:ilvl w:val="0"/>
          <w:numId w:val="2"/>
        </w:numPr>
        <w:spacing w:after="60" w:before="60"/>
      </w:pPr>
      <w:r>
        <w:rPr>
          <w:rFonts w:ascii="Arial" w:cs="Arial" w:eastAsia="Arial" w:hAnsi="Arial"/>
          <w:color w:val="333333"/>
          <w:sz w:val="22"/>
          <w:szCs w:val="22"/>
        </w:rPr>
        <w:t xml:space="preserve">Authentification MFA + RBAC</w:t>
      </w:r>
    </w:p>
    <w:p>
      <w:pPr>
        <w:pStyle w:val="ListParagraph"/>
        <w:numPr>
          <w:ilvl w:val="0"/>
          <w:numId w:val="2"/>
        </w:numPr>
        <w:spacing w:after="60" w:before="60"/>
      </w:pPr>
      <w:r>
        <w:rPr>
          <w:rFonts w:ascii="Arial" w:cs="Arial" w:eastAsia="Arial" w:hAnsi="Arial"/>
          <w:color w:val="333333"/>
          <w:sz w:val="22"/>
          <w:szCs w:val="22"/>
        </w:rPr>
        <w:t xml:space="preserve">API REST complète documentée Swagger</w:t>
      </w:r>
    </w:p>
    <w:p>
      <w:pPr>
        <w:pStyle w:val="ListParagraph"/>
        <w:numPr>
          <w:ilvl w:val="0"/>
          <w:numId w:val="2"/>
        </w:numPr>
        <w:spacing w:after="60" w:before="60"/>
      </w:pPr>
      <w:r>
        <w:rPr>
          <w:rFonts w:ascii="Arial" w:cs="Arial" w:eastAsia="Arial" w:hAnsi="Arial"/>
          <w:color w:val="333333"/>
          <w:sz w:val="22"/>
          <w:szCs w:val="22"/>
        </w:rPr>
        <w:t xml:space="preserve">Déploiement Kubernetes + Vault en production</w:t>
      </w:r>
    </w:p>
    <w:p>
      <w:pPr>
        <w:pStyle w:val="ListParagraph"/>
        <w:numPr>
          <w:ilvl w:val="0"/>
          <w:numId w:val="2"/>
        </w:numPr>
        <w:spacing w:after="60" w:before="60"/>
      </w:pPr>
      <w:r>
        <w:rPr>
          <w:rFonts w:ascii="Arial" w:cs="Arial" w:eastAsia="Arial" w:hAnsi="Arial"/>
          <w:color w:val="333333"/>
          <w:sz w:val="22"/>
          <w:szCs w:val="22"/>
        </w:rPr>
        <w:t xml:space="preserve">Certification HDS préparée (pré-audit)</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35400" w:val="clear"/>
            <w:tcMar>
              <w:top w:type="dxa" w:w="120"/>
              <w:left w:type="dxa" w:w="240"/>
              <w:bottom w:type="dxa" w:w="120"/>
              <w:right w:type="dxa" w:w="240"/>
            </w:tcMar>
          </w:tcPr>
          <w:p>
            <w:r>
              <w:rPr>
                <w:rFonts w:ascii="Arial" w:cs="Arial" w:eastAsia="Arial" w:hAnsi="Arial"/>
                <w:b/>
                <w:bCs/>
                <w:color w:val="FFFFFF"/>
                <w:sz w:val="24"/>
                <w:szCs w:val="24"/>
              </w:rPr>
              <w:t xml:space="preserve">Phase 2 — Extension (6-12 mois)</w:t>
            </w:r>
          </w:p>
        </w:tc>
      </w:tr>
    </w:tbl>
    <w:p>
      <w:pPr>
        <w:spacing w:after="120" w:before="120"/>
      </w:pPr>
      <w:r>
        <w:t xml:space="preserve"/>
      </w:r>
    </w:p>
    <w:p>
      <w:pPr>
        <w:pStyle w:val="ListParagraph"/>
        <w:numPr>
          <w:ilvl w:val="0"/>
          <w:numId w:val="2"/>
        </w:numPr>
        <w:spacing w:after="60" w:before="60"/>
      </w:pPr>
      <w:r>
        <w:rPr>
          <w:rFonts w:ascii="Arial" w:cs="Arial" w:eastAsia="Arial" w:hAnsi="Arial"/>
          <w:color w:val="333333"/>
          <w:sz w:val="22"/>
          <w:szCs w:val="22"/>
        </w:rPr>
        <w:t xml:space="preserve">Module télésurveillance IoT (5 types de dispositifs)</w:t>
      </w:r>
    </w:p>
    <w:p>
      <w:pPr>
        <w:pStyle w:val="ListParagraph"/>
        <w:numPr>
          <w:ilvl w:val="0"/>
          <w:numId w:val="2"/>
        </w:numPr>
        <w:spacing w:after="60" w:before="60"/>
      </w:pPr>
      <w:r>
        <w:rPr>
          <w:rFonts w:ascii="Arial" w:cs="Arial" w:eastAsia="Arial" w:hAnsi="Arial"/>
          <w:color w:val="333333"/>
          <w:sz w:val="22"/>
          <w:szCs w:val="22"/>
        </w:rPr>
        <w:t xml:space="preserve">Prescription électronique avec signature eIDAS</w:t>
      </w:r>
    </w:p>
    <w:p>
      <w:pPr>
        <w:pStyle w:val="ListParagraph"/>
        <w:numPr>
          <w:ilvl w:val="0"/>
          <w:numId w:val="2"/>
        </w:numPr>
        <w:spacing w:after="60" w:before="60"/>
      </w:pPr>
      <w:r>
        <w:rPr>
          <w:rFonts w:ascii="Arial" w:cs="Arial" w:eastAsia="Arial" w:hAnsi="Arial"/>
          <w:color w:val="333333"/>
          <w:sz w:val="22"/>
          <w:szCs w:val="22"/>
        </w:rPr>
        <w:t xml:space="preserve">Tableau de bord analytique niveau 1 et 2</w:t>
      </w:r>
    </w:p>
    <w:p>
      <w:pPr>
        <w:pStyle w:val="ListParagraph"/>
        <w:numPr>
          <w:ilvl w:val="0"/>
          <w:numId w:val="2"/>
        </w:numPr>
        <w:spacing w:after="60" w:before="60"/>
      </w:pPr>
      <w:r>
        <w:rPr>
          <w:rFonts w:ascii="Arial" w:cs="Arial" w:eastAsia="Arial" w:hAnsi="Arial"/>
          <w:color w:val="333333"/>
          <w:sz w:val="22"/>
          <w:szCs w:val="22"/>
        </w:rPr>
        <w:t xml:space="preserve">Application mobile Angular (PWA native-like)</w:t>
      </w:r>
    </w:p>
    <w:p>
      <w:pPr>
        <w:pStyle w:val="ListParagraph"/>
        <w:numPr>
          <w:ilvl w:val="0"/>
          <w:numId w:val="2"/>
        </w:numPr>
        <w:spacing w:after="60" w:before="60"/>
      </w:pPr>
      <w:r>
        <w:rPr>
          <w:rFonts w:ascii="Arial" w:cs="Arial" w:eastAsia="Arial" w:hAnsi="Arial"/>
          <w:color w:val="333333"/>
          <w:sz w:val="22"/>
          <w:szCs w:val="22"/>
        </w:rPr>
        <w:t xml:space="preserve">Intégration FHIR Gateway pour import/export DPI</w:t>
      </w:r>
    </w:p>
    <w:p>
      <w:pPr>
        <w:pStyle w:val="ListParagraph"/>
        <w:numPr>
          <w:ilvl w:val="0"/>
          <w:numId w:val="2"/>
        </w:numPr>
        <w:spacing w:after="60" w:before="60"/>
      </w:pPr>
      <w:r>
        <w:rPr>
          <w:rFonts w:ascii="Arial" w:cs="Arial" w:eastAsia="Arial" w:hAnsi="Arial"/>
          <w:color w:val="333333"/>
          <w:sz w:val="22"/>
          <w:szCs w:val="22"/>
        </w:rPr>
        <w:t xml:space="preserve">Obtention certification HDS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r>
              <w:rPr>
                <w:rFonts w:ascii="Arial" w:cs="Arial" w:eastAsia="Arial" w:hAnsi="Arial"/>
                <w:b/>
                <w:bCs/>
                <w:color w:val="FFFFFF"/>
                <w:sz w:val="24"/>
                <w:szCs w:val="24"/>
              </w:rPr>
              <w:t xml:space="preserve">Phase 3 — Intelligence (12-24 mois)</w:t>
            </w:r>
          </w:p>
        </w:tc>
      </w:tr>
    </w:tbl>
    <w:p>
      <w:pPr>
        <w:spacing w:after="120" w:before="120"/>
      </w:pPr>
      <w:r>
        <w:t xml:space="preserve"/>
      </w:r>
    </w:p>
    <w:p>
      <w:pPr>
        <w:pStyle w:val="ListParagraph"/>
        <w:numPr>
          <w:ilvl w:val="0"/>
          <w:numId w:val="2"/>
        </w:numPr>
        <w:spacing w:after="60" w:before="60"/>
      </w:pPr>
      <w:r>
        <w:rPr>
          <w:rFonts w:ascii="Arial" w:cs="Arial" w:eastAsia="Arial" w:hAnsi="Arial"/>
          <w:color w:val="333333"/>
          <w:sz w:val="22"/>
          <w:szCs w:val="22"/>
        </w:rPr>
        <w:t xml:space="preserve">Module IA prédictif : scoring de risque de décompensation (ML sur données longitudinales)</w:t>
      </w:r>
    </w:p>
    <w:p>
      <w:pPr>
        <w:pStyle w:val="ListParagraph"/>
        <w:numPr>
          <w:ilvl w:val="0"/>
          <w:numId w:val="2"/>
        </w:numPr>
        <w:spacing w:after="60" w:before="60"/>
      </w:pPr>
      <w:r>
        <w:rPr>
          <w:rFonts w:ascii="Arial" w:cs="Arial" w:eastAsia="Arial" w:hAnsi="Arial"/>
          <w:color w:val="333333"/>
          <w:sz w:val="22"/>
          <w:szCs w:val="22"/>
        </w:rPr>
        <w:t xml:space="preserve">NLP pour extraction automatique d'informations depuis les comptes-rendus</w:t>
      </w:r>
    </w:p>
    <w:p>
      <w:pPr>
        <w:pStyle w:val="ListParagraph"/>
        <w:numPr>
          <w:ilvl w:val="0"/>
          <w:numId w:val="2"/>
        </w:numPr>
        <w:spacing w:after="60" w:before="60"/>
      </w:pPr>
      <w:r>
        <w:rPr>
          <w:rFonts w:ascii="Arial" w:cs="Arial" w:eastAsia="Arial" w:hAnsi="Arial"/>
          <w:color w:val="333333"/>
          <w:sz w:val="22"/>
          <w:szCs w:val="22"/>
        </w:rPr>
        <w:t xml:space="preserve">Recommandations thérapeutiques contextuelles (moteur de règles cliniques)</w:t>
      </w:r>
    </w:p>
    <w:p>
      <w:pPr>
        <w:pStyle w:val="ListParagraph"/>
        <w:numPr>
          <w:ilvl w:val="0"/>
          <w:numId w:val="2"/>
        </w:numPr>
        <w:spacing w:after="60" w:before="60"/>
      </w:pPr>
      <w:r>
        <w:rPr>
          <w:rFonts w:ascii="Arial" w:cs="Arial" w:eastAsia="Arial" w:hAnsi="Arial"/>
          <w:color w:val="333333"/>
          <w:sz w:val="22"/>
          <w:szCs w:val="22"/>
        </w:rPr>
        <w:t xml:space="preserve">Portail patient avec accès à son dossier et messagerie médecin-patient</w:t>
      </w:r>
    </w:p>
    <w:p>
      <w:pPr>
        <w:pStyle w:val="ListParagraph"/>
        <w:numPr>
          <w:ilvl w:val="0"/>
          <w:numId w:val="2"/>
        </w:numPr>
        <w:spacing w:after="60" w:before="60"/>
      </w:pPr>
      <w:r>
        <w:rPr>
          <w:rFonts w:ascii="Arial" w:cs="Arial" w:eastAsia="Arial" w:hAnsi="Arial"/>
          <w:color w:val="333333"/>
          <w:sz w:val="22"/>
          <w:szCs w:val="22"/>
        </w:rPr>
        <w:t xml:space="preserve">Marketplace d'intégrations partenaires (laboratoires, imagerie, pharmacies)</w:t>
      </w:r>
    </w:p>
    <w:p>
      <w:pPr>
        <w:pStyle w:val="ListParagraph"/>
        <w:numPr>
          <w:ilvl w:val="0"/>
          <w:numId w:val="2"/>
        </w:numPr>
        <w:spacing w:after="60" w:before="60"/>
      </w:pPr>
      <w:r>
        <w:rPr>
          <w:rFonts w:ascii="Arial" w:cs="Arial" w:eastAsia="Arial" w:hAnsi="Arial"/>
          <w:color w:val="333333"/>
          <w:sz w:val="22"/>
          <w:szCs w:val="22"/>
        </w:rPr>
        <w:t xml:space="preserve">Expansion internationale (Belgique, Suisse, Luxembourg)</w:t>
      </w:r>
    </w:p>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10. Organisation &amp; Ressources</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10.1 Équipe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626"/>
      </w:tblGrid>
      <w:tr>
        <w:tc>
          <w:tcPr>
            <w:tcW w:type="dxa" w:w="26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Rôle</w:t>
            </w:r>
          </w:p>
        </w:tc>
        <w:tc>
          <w:tcPr>
            <w:tcW w:type="dxa" w:w="8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ETP</w:t>
            </w:r>
          </w:p>
        </w:tc>
        <w:tc>
          <w:tcPr>
            <w:tcW w:type="dxa" w:w="56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Responsabilités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Product Owner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Définition fonctionnelle, priorisation backlog, relation client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 Lead Java/Spring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 backend, code review, référent technique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Développeurs Java Senior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Développement microservices, tests, intégrations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Angular Senior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 frontend, composants transverses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Développeur Angular Junior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Modules fonctionnels, tests E2E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DevOps / SRE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Kubernetes, CI/CD, observabilité, Vault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DBA PostgreSQL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0,5</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Modélisation, optimisation, sauvegardes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Expert Sécurité / RSSI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Conformité HDS/RGPD, audits, Vault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UX Designer</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0,5</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Maquettes, design system, tests utilisateurs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Engineer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 manuels, automatisation Playwright, recette</w:t>
            </w:r>
          </w:p>
        </w:tc>
      </w:tr>
    </w:tbl>
    <w:p>
      <w:pPr>
        <w:spacing w:after="120" w:before="120"/>
      </w:pPr>
      <w:r>
        <w:t xml:space="preserve"/>
      </w:r>
    </w:p>
    <w:p>
      <w:pPr>
        <w:pStyle w:val="Heading2"/>
        <w:spacing w:after="160" w:before="320"/>
      </w:pPr>
      <w:r>
        <w:rPr>
          <w:rFonts w:ascii="Arial" w:cs="Arial" w:eastAsia="Arial" w:hAnsi="Arial"/>
          <w:b/>
          <w:bCs/>
          <w:color w:val="0E7C7B"/>
          <w:sz w:val="26"/>
          <w:szCs w:val="26"/>
        </w:rPr>
        <w:t xml:space="preserve">10.2 Méthodologie</w:t>
      </w:r>
    </w:p>
    <w:p>
      <w:pPr>
        <w:pStyle w:val="ListParagraph"/>
        <w:numPr>
          <w:ilvl w:val="0"/>
          <w:numId w:val="2"/>
        </w:numPr>
        <w:spacing w:after="60" w:before="60"/>
      </w:pPr>
      <w:r>
        <w:rPr>
          <w:rFonts w:ascii="Arial" w:cs="Arial" w:eastAsia="Arial" w:hAnsi="Arial"/>
          <w:color w:val="333333"/>
          <w:sz w:val="22"/>
          <w:szCs w:val="22"/>
        </w:rPr>
        <w:t xml:space="preserve">Scrum avec sprints de 2 semaines</w:t>
      </w:r>
    </w:p>
    <w:p>
      <w:pPr>
        <w:pStyle w:val="ListParagraph"/>
        <w:numPr>
          <w:ilvl w:val="0"/>
          <w:numId w:val="2"/>
        </w:numPr>
        <w:spacing w:after="60" w:before="60"/>
      </w:pPr>
      <w:r>
        <w:rPr>
          <w:rFonts w:ascii="Arial" w:cs="Arial" w:eastAsia="Arial" w:hAnsi="Arial"/>
          <w:color w:val="333333"/>
          <w:sz w:val="22"/>
          <w:szCs w:val="22"/>
        </w:rPr>
        <w:t xml:space="preserve">Backlog géré dans GitLab Issues avec Epic/Feature/Story/Task</w:t>
      </w:r>
    </w:p>
    <w:p>
      <w:pPr>
        <w:pStyle w:val="ListParagraph"/>
        <w:numPr>
          <w:ilvl w:val="0"/>
          <w:numId w:val="2"/>
        </w:numPr>
        <w:spacing w:after="60" w:before="60"/>
      </w:pPr>
      <w:r>
        <w:rPr>
          <w:rFonts w:ascii="Arial" w:cs="Arial" w:eastAsia="Arial" w:hAnsi="Arial"/>
          <w:color w:val="333333"/>
          <w:sz w:val="22"/>
          <w:szCs w:val="22"/>
        </w:rPr>
        <w:t xml:space="preserve">Definition of Done : code review approuvée, tests passants (&gt; 80% coverage), Swagger à jour, déployé en staging</w:t>
      </w:r>
    </w:p>
    <w:p>
      <w:pPr>
        <w:pStyle w:val="ListParagraph"/>
        <w:numPr>
          <w:ilvl w:val="0"/>
          <w:numId w:val="2"/>
        </w:numPr>
        <w:spacing w:after="60" w:before="60"/>
      </w:pPr>
      <w:r>
        <w:rPr>
          <w:rFonts w:ascii="Arial" w:cs="Arial" w:eastAsia="Arial" w:hAnsi="Arial"/>
          <w:color w:val="333333"/>
          <w:sz w:val="22"/>
          <w:szCs w:val="22"/>
        </w:rPr>
        <w:t xml:space="preserve">Revue de sprint bi-hebdomadaire avec démo en conditions réelles</w:t>
      </w:r>
    </w:p>
    <w:p>
      <w:pPr>
        <w:pStyle w:val="ListParagraph"/>
        <w:numPr>
          <w:ilvl w:val="0"/>
          <w:numId w:val="2"/>
        </w:numPr>
        <w:spacing w:after="60" w:before="60"/>
      </w:pPr>
      <w:r>
        <w:rPr>
          <w:rFonts w:ascii="Arial" w:cs="Arial" w:eastAsia="Arial" w:hAnsi="Arial"/>
          <w:color w:val="333333"/>
          <w:sz w:val="22"/>
          <w:szCs w:val="22"/>
        </w:rPr>
        <w:t xml:space="preserve">Architecture Decision Records (ADR) documentés dans le wiki GitLab</w:t>
      </w:r>
    </w:p>
    <w:p>
      <w:pPr>
        <w:spacing w:after="120" w:before="120"/>
      </w:pPr>
      <w:r>
        <w:t xml:space="preserve"/>
      </w:r>
    </w:p>
    <w:p>
      <w:pPr>
        <w:pStyle w:val="Heading2"/>
        <w:spacing w:after="160" w:before="320"/>
      </w:pPr>
      <w:r>
        <w:rPr>
          <w:rFonts w:ascii="Arial" w:cs="Arial" w:eastAsia="Arial" w:hAnsi="Arial"/>
          <w:b/>
          <w:bCs/>
          <w:color w:val="0E7C7B"/>
          <w:sz w:val="26"/>
          <w:szCs w:val="26"/>
        </w:rPr>
        <w:t xml:space="preserve">10.3 Budget Estimatif Phase 1 (6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c>
          <w:tcPr>
            <w:tcW w:type="dxa" w:w="36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Poste</w:t>
            </w:r>
          </w:p>
        </w:tc>
        <w:tc>
          <w:tcPr>
            <w:tcW w:type="dxa" w:w="26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Détail</w:t>
            </w:r>
          </w:p>
        </w:tc>
        <w:tc>
          <w:tcPr>
            <w:tcW w:type="dxa" w:w="28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Montant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Salaires équipe (7 ETP × 6 mois)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 ETP × 5 000 €/mois moyen</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210 000 €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 cloud (staging + prod)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GCP GKE multi-AZ</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8 000 €</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Licences &amp; outils (GitLab, SonarQube...)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Abonnements SaaS</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3 000 €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Audit HDS (pré-audit)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Prestataire certifié</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15 000 €</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Certifications équipe (CKAD, RHCE...)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Formations</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5 000 €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Marketing &amp; commercial (MVP)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Site, démos, salons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10 000 €</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Réserve imprévus (10%)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25 100 €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PHASE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276 100 €</w:t>
            </w:r>
          </w:p>
        </w:tc>
      </w:tr>
    </w:tbl>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11. Analyse des Risques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3826"/>
      </w:tblGrid>
      <w:tr>
        <w:tc>
          <w:tcPr>
            <w:tcW w:type="dxa" w:w="26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Risque</w:t>
            </w:r>
          </w:p>
        </w:tc>
        <w:tc>
          <w:tcPr>
            <w:tcW w:type="dxa" w:w="14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Probabilité</w:t>
            </w:r>
          </w:p>
        </w:tc>
        <w:tc>
          <w:tcPr>
            <w:tcW w:type="dxa" w:w="1200"/>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3826"/>
            <w:tcBorders>
              <w:top w:val="single" w:color="CCCCCC" w:sz="1"/>
              <w:left w:val="single" w:color="CCCCCC" w:sz="1"/>
              <w:bottom w:val="single" w:color="CCCCCC" w:sz="1"/>
              <w:right w:val="single" w:color="CCCCCC" w:sz="1"/>
            </w:tcBorders>
            <w:shd w:fill="1A5C8A"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Refus de certification HDS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Élevée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Bloquant</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Démarrer audit en parallèle du dev dès le mois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Complexité interopérabilité FHIR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Élevé</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Recruter un expert FHIR/HL7, utiliser HAPI FHIR server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Résistance au changement des soignants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Élevée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Élevé</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Co-conception avec 2 établissements pilotes dès le début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Attaque cyber / fuite de données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Critique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Pentest trimestriel, Bug Bounty, Vault, chiffrement total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Concurrence d'acteurs établis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Moyen</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Focus niche (maladies chroniques), différenciation 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Scalabilité sous charge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Élevé</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 testing Gatling à chaque sprint, autoscaling K8s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Dépendance à un cloud provider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Moyen</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Architecture cloud-agnostic (Kubernetes + Helm)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Turnover équipe technique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Élevé</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Documentation ADR, tests exhaustifs, onboarding structuré</w:t>
            </w:r>
          </w:p>
        </w:tc>
      </w:tr>
    </w:tbl>
    <w:p>
      <w:r>
        <w:br w:type="page"/>
      </w:r>
    </w:p>
    <w:p>
      <w:pPr>
        <w:pStyle w:val="Heading1"/>
        <w:pBdr>
          <w:bottom w:val="single" w:color="1A5C8A" w:sz="6" w:space="6"/>
        </w:pBdr>
        <w:spacing w:after="200" w:before="400"/>
      </w:pPr>
      <w:r>
        <w:rPr>
          <w:rFonts w:ascii="Arial" w:cs="Arial" w:eastAsia="Arial" w:hAnsi="Arial"/>
          <w:b/>
          <w:bCs/>
          <w:color w:val="1A5C8A"/>
          <w:sz w:val="32"/>
          <w:szCs w:val="32"/>
        </w:rPr>
        <w:t xml:space="preserve">12. Glossaire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FHIR</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Fast Healthcare Interoperability Resources — standard HL7 d'échange de données de santé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HDS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Hébergeur de Données de Santé — certification française obligatoire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DMP</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Dossier Médical Partagé — dossier médical électronique national français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RPPS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Répertoire Partagé des Professionnels de Santé — identifiant unique des professionnels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INS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Identité Nationale de Santé — identifiant unique du patient en France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MSSanté</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Messagerie Sécurisée de Santé — réseau de messagerie inter-professionnels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LOINC</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Logical Observation Identifiers Names and Codes — codes pour observations biologiques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CIM-10</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Classification Internationale des Maladies — codification des diagnostics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CPTS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Communauté Professionnelle Territoriale de Santé — groupement de professionnels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HAS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Haute Autorité de Santé — organisme éditant les recommandations cliniques françaises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DPIA</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Data Protection Impact Assessment — analyse d'impact RGPD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mTLS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Mutual TLS — authentification mutuelle par certificats entre services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HPA</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Horizontal Pod Autoscaler — mise à l'échelle automatique des pods Kubernetes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PITR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Point-In-Time Recovery — capacité de restauration à un instant précis PostgreSQL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5C8A"/>
                <w:sz w:val="21"/>
                <w:szCs w:val="21"/>
              </w:rPr>
              <w:t xml:space="preserve">SLA</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1"/>
                <w:szCs w:val="21"/>
              </w:rPr>
              <w:t xml:space="preserve">Service Level Agreement — engagement de niveau de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8A"/>
                <w:sz w:val="21"/>
                <w:szCs w:val="21"/>
              </w:rPr>
              <w:t xml:space="preserve">eIDAS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Electronic IDentification, Authentication and trust Services — règlement européen signature électronique</w:t>
            </w:r>
          </w:p>
        </w:tc>
      </w:tr>
    </w:tbl>
    <w:p>
      <w:pPr>
        <w:spacing w:after="120" w:before="12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8A" w:sz="4" w:space="4"/>
      </w:pBdr>
      <w:jc w:val="center"/>
    </w:pPr>
    <w:r>
      <w:rPr>
        <w:rFonts w:ascii="Arial" w:cs="Arial" w:eastAsia="Arial" w:hAnsi="Arial"/>
        <w:color w:val="5A5A5A"/>
        <w:sz w:val="17"/>
        <w:szCs w:val="17"/>
      </w:rPr>
      <w:t xml:space="preserve">CareSync © 2025 — Tous droits réservés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W w:type="dxa" w:w="6000"/>
          <w:tcBorders>
            <w:top w:val="none" w:color="FFFFFF" w:sz="0"/>
            <w:left w:val="none" w:color="FFFFFF" w:sz="0"/>
            <w:bottom w:val="none" w:color="FFFFFF" w:sz="0"/>
            <w:right w:val="none" w:color="FFFFFF" w:sz="0"/>
          </w:tcBorders>
          <w:shd w:fill="1A5C8A" w:val="clear"/>
          <w:tcMar>
            <w:top w:type="dxa" w:w="80"/>
            <w:left w:type="dxa" w:w="160"/>
            <w:bottom w:type="dxa" w:w="80"/>
            <w:right w:type="dxa" w:w="160"/>
          </w:tcMar>
        </w:tcPr>
        <w:p>
          <w:r>
            <w:rPr>
              <w:rFonts w:ascii="Arial" w:cs="Arial" w:eastAsia="Arial" w:hAnsi="Arial"/>
              <w:b/>
              <w:bCs/>
              <w:color w:val="FFFFFF"/>
              <w:sz w:val="18"/>
              <w:szCs w:val="18"/>
            </w:rPr>
            <w:t xml:space="preserve">CareSync — Dossier de Spécifications</w:t>
          </w:r>
        </w:p>
      </w:tc>
      <w:tc>
        <w:tcPr>
          <w:tcW w:type="dxa" w:w="3638"/>
          <w:tcBorders>
            <w:top w:val="none" w:color="FFFFFF" w:sz="0"/>
            <w:left w:val="none" w:color="FFFFFF" w:sz="0"/>
            <w:bottom w:val="none" w:color="FFFFFF" w:sz="0"/>
            <w:right w:val="none" w:color="FFFFFF" w:sz="0"/>
          </w:tcBorders>
          <w:shd w:fill="D6E9F8" w:val="clear"/>
          <w:tcMar>
            <w:top w:type="dxa" w:w="80"/>
            <w:left w:type="dxa" w:w="160"/>
            <w:bottom w:type="dxa" w:w="80"/>
            <w:right w:type="dxa" w:w="160"/>
          </w:tcMar>
          <w:vAlign w:val="center"/>
        </w:tcPr>
        <w:p>
          <w:pPr>
            <w:jc w:val="right"/>
          </w:pPr>
          <w:r>
            <w:rPr>
              <w:rFonts w:ascii="Arial" w:cs="Arial" w:eastAsia="Arial" w:hAnsi="Arial"/>
              <w:i/>
              <w:iCs/>
              <w:color w:val="1A5C8A"/>
              <w:sz w:val="17"/>
              <w:szCs w:val="17"/>
            </w:rPr>
            <w:t xml:space="preserve">v1.0 — Confidentiel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C8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E7C7B"/>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2026-04-22T11:55:03.231Z</dcterms:created>
  <dcterms:modified xsi:type="dcterms:W3CDTF">2026-04-22T11:55:03.232Z</dcterms:modified>
</cp:coreProperties>
</file>

<file path=docProps/custom.xml><?xml version="1.0" encoding="utf-8"?>
<Properties xmlns="http://schemas.openxmlformats.org/officeDocument/2006/custom-properties" xmlns:vt="http://schemas.openxmlformats.org/officeDocument/2006/docPropsVTypes"/>
</file>