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B88F7" w14:textId="159876ED" w:rsidR="00656300" w:rsidRPr="0019627A" w:rsidRDefault="00656300" w:rsidP="000E3BFD">
      <w:pPr>
        <w:pStyle w:val="Title"/>
        <w:rPr>
          <w:b/>
          <w:bCs/>
          <w:sz w:val="32"/>
          <w:szCs w:val="32"/>
        </w:rPr>
      </w:pPr>
      <w:r w:rsidRPr="0019627A">
        <w:t>MEIN40330: HR</w:t>
      </w:r>
      <w:r w:rsidR="00AA0522" w:rsidRPr="0019627A">
        <w:t>–</w:t>
      </w:r>
      <w:r w:rsidRPr="0019627A">
        <w:t>DDR ODE Survival Model vs Machine Learning Model for High-Grade Serous Ovarian Carcinoma (HGSOC)</w:t>
      </w:r>
    </w:p>
    <w:p w14:paraId="0EF4AE18" w14:textId="77777777" w:rsidR="00656300" w:rsidRPr="0019627A" w:rsidRDefault="00656300" w:rsidP="000E3BFD">
      <w:pPr>
        <w:pStyle w:val="Subtitle"/>
        <w:sectPr w:rsidR="00656300" w:rsidRPr="0019627A" w:rsidSect="00656300">
          <w:footerReference w:type="default" r:id="rId8"/>
          <w:pgSz w:w="11906" w:h="16838" w:code="9"/>
          <w:pgMar w:top="1440" w:right="1440" w:bottom="1440" w:left="1440" w:header="709" w:footer="709" w:gutter="0"/>
          <w:cols w:space="708"/>
          <w:vAlign w:val="center"/>
          <w:docGrid w:linePitch="360"/>
        </w:sectPr>
      </w:pPr>
      <w:r w:rsidRPr="0019627A">
        <w:t>Amanda Dominy</w:t>
      </w:r>
      <w:r w:rsidRPr="0019627A">
        <w:br/>
        <w:t>25271694</w:t>
      </w:r>
      <w:r w:rsidRPr="0019627A">
        <w:br/>
        <w:t>8 June 2026</w:t>
      </w:r>
    </w:p>
    <w:p w14:paraId="1F0CCD9E" w14:textId="0612466A" w:rsidR="00656300" w:rsidRPr="0019627A" w:rsidRDefault="00656300" w:rsidP="000E3BFD">
      <w:pPr>
        <w:pStyle w:val="Heading1"/>
      </w:pPr>
      <w:r w:rsidRPr="0019627A">
        <w:lastRenderedPageBreak/>
        <w:t>1. Background</w:t>
      </w:r>
    </w:p>
    <w:p w14:paraId="77B717CD" w14:textId="34A55CF9" w:rsidR="00656300" w:rsidRPr="0019627A" w:rsidRDefault="00656300" w:rsidP="000E3BFD">
      <w:pPr>
        <w:pStyle w:val="Heading2"/>
      </w:pPr>
      <w:r w:rsidRPr="0019627A">
        <w:t xml:space="preserve">1.1 Disease </w:t>
      </w:r>
      <w:r w:rsidR="00476B40">
        <w:t>c</w:t>
      </w:r>
      <w:r w:rsidRPr="0019627A">
        <w:t>ontext</w:t>
      </w:r>
    </w:p>
    <w:p w14:paraId="766EA088" w14:textId="07A885C4" w:rsidR="00656300" w:rsidRPr="0019627A" w:rsidRDefault="00656300" w:rsidP="00110737">
      <w:r w:rsidRPr="0019627A">
        <w:t>High-</w:t>
      </w:r>
      <w:r w:rsidR="000E3BFD" w:rsidRPr="0019627A">
        <w:t>g</w:t>
      </w:r>
      <w:r w:rsidRPr="0019627A">
        <w:t xml:space="preserve">rade </w:t>
      </w:r>
      <w:r w:rsidR="000E3BFD" w:rsidRPr="0019627A">
        <w:t>s</w:t>
      </w:r>
      <w:r w:rsidRPr="0019627A">
        <w:t xml:space="preserve">erous </w:t>
      </w:r>
      <w:r w:rsidR="000E3BFD" w:rsidRPr="0019627A">
        <w:t>o</w:t>
      </w:r>
      <w:r w:rsidRPr="0019627A">
        <w:t xml:space="preserve">varian </w:t>
      </w:r>
      <w:r w:rsidR="000E3BFD" w:rsidRPr="0019627A">
        <w:t>c</w:t>
      </w:r>
      <w:r w:rsidRPr="0019627A">
        <w:t>arcinoma (HGSOC) is the most</w:t>
      </w:r>
      <w:r w:rsidR="000E3BFD" w:rsidRPr="0019627A">
        <w:t xml:space="preserve"> common</w:t>
      </w:r>
      <w:r w:rsidR="007258DF" w:rsidRPr="0019627A">
        <w:t>, and most lethal,</w:t>
      </w:r>
      <w:r w:rsidR="000E3BFD" w:rsidRPr="0019627A">
        <w:t xml:space="preserve"> ovarian cancer subtype</w:t>
      </w:r>
      <w:r w:rsidR="007258DF" w:rsidRPr="0019627A">
        <w:fldChar w:fldCharType="begin"/>
      </w:r>
      <w:r w:rsidR="005F73E3">
        <w:instrText xml:space="preserve"> ADDIN ZOTERO_ITEM CSL_CITATION {"citationID":"RQzTjXUJ","properties":{"unsorted":false,"formattedCitation":"\\super 1\\nosupersub{}","plainCitation":"1","noteIndex":0},"citationItems":[{"id":4392,"uris":["http://zotero.org/users/17607594/items/5XJGTVS7"],"itemData":{"id":4392,"type":"article-journal","abstract":"High-grade serous ovarian cancer (HGSC) is the most common subtype of ovarian cancer. HGSC patients typically present with advanced disease, which is often resistant to chemotherapy and recurs despite initial responses to therapy, resulting in the poor prognosis associated with this disease. There is a need to utilise biomarkers to manage the various aspects of HGSC patient care. In this review we discuss the current state of biomarkers in HGSC, focusing on the various available immunohistochemical (IHC) and blood-based biomarkers, which have been examined for their diagnostic, prognostic and theranostic potential in HGSC. These include various routine clinical IHC biomarkers such as p53, WT1, keratins, PAX8, Ki67 and p16 and clinical blood-borne markers and algorithms such as CA125, HE4, ROMA, RMI, ROCA, and others. We also discuss various components of the liquid biopsy as well as a number of novel IHC biomarkers and non-routine blood-borne biomarkers, which have been examined in various ovarian cancer studies. We also discuss the future of ovarian cancer biomarker research and highlight some of the challenges currently facing the field.","citation-key":"batesBiomarkersHighGrade2024","container-title":"Biochimica Et Biophysica Acta. Reviews on Cancer","DOI":"10.1016/j.bbcan.2024.189224","ISSN":"1879-2561","issue":"6","journalAbbreviation":"Biochim Biophys Acta Rev Cancer","language":"eng","page":"189224","PMID":"39581234","source":"PubMed","title":"Biomarkers in high grade serous ovarian cancer","URL":"https://www.sciencedirect.com/science/article/pii/S0304419X24001550","volume":"1879","author":[{"family":"Bates","given":"Mark"},{"family":"Mohamed","given":"Bashir M."},{"family":"Lewis","given":"Faye"},{"family":"O'Toole","given":"Sharon"},{"family":"O'Leary","given":"John J."}],"issued":{"date-parts":[["2024",11]]}}}],"schema":"https://github.com/citation-style-language/schema/raw/master/csl-citation.json"} </w:instrText>
      </w:r>
      <w:r w:rsidR="007258DF" w:rsidRPr="0019627A">
        <w:fldChar w:fldCharType="separate"/>
      </w:r>
      <w:r w:rsidR="00155DA4" w:rsidRPr="00155DA4">
        <w:rPr>
          <w:vertAlign w:val="superscript"/>
        </w:rPr>
        <w:t>1</w:t>
      </w:r>
      <w:r w:rsidR="007258DF" w:rsidRPr="0019627A">
        <w:fldChar w:fldCharType="end"/>
      </w:r>
      <w:r w:rsidR="007258DF" w:rsidRPr="0019627A">
        <w:t>.</w:t>
      </w:r>
      <w:r w:rsidR="004F5E88" w:rsidRPr="0019627A">
        <w:t xml:space="preserve"> Patients typically present with advanced-stage disease, due to lack of early stage screening methods, and the 5-year survival rate remains below 40%</w:t>
      </w:r>
      <w:r w:rsidR="004F5E88" w:rsidRPr="0019627A">
        <w:fldChar w:fldCharType="begin"/>
      </w:r>
      <w:r w:rsidR="005F73E3">
        <w:instrText xml:space="preserve"> ADDIN ZOTERO_ITEM CSL_CITATION {"citationID":"Zw2KtlU1","properties":{"unsorted":false,"formattedCitation":"\\super 1\\nosupersub{}","plainCitation":"1","noteIndex":0},"citationItems":[{"id":4392,"uris":["http://zotero.org/users/17607594/items/5XJGTVS7"],"itemData":{"id":4392,"type":"article-journal","abstract":"High-grade serous ovarian cancer (HGSC) is the most common subtype of ovarian cancer. HGSC patients typically present with advanced disease, which is often resistant to chemotherapy and recurs despite initial responses to therapy, resulting in the poor prognosis associated with this disease. There is a need to utilise biomarkers to manage the various aspects of HGSC patient care. In this review we discuss the current state of biomarkers in HGSC, focusing on the various available immunohistochemical (IHC) and blood-based biomarkers, which have been examined for their diagnostic, prognostic and theranostic potential in HGSC. These include various routine clinical IHC biomarkers such as p53, WT1, keratins, PAX8, Ki67 and p16 and clinical blood-borne markers and algorithms such as CA125, HE4, ROMA, RMI, ROCA, and others. We also discuss various components of the liquid biopsy as well as a number of novel IHC biomarkers and non-routine blood-borne biomarkers, which have been examined in various ovarian cancer studies. We also discuss the future of ovarian cancer biomarker research and highlight some of the challenges currently facing the field.","citation-key":"batesBiomarkersHighGrade2024","container-title":"Biochimica Et Biophysica Acta. Reviews on Cancer","DOI":"10.1016/j.bbcan.2024.189224","ISSN":"1879-2561","issue":"6","journalAbbreviation":"Biochim Biophys Acta Rev Cancer","language":"eng","page":"189224","PMID":"39581234","source":"PubMed","title":"Biomarkers in high grade serous ovarian cancer","URL":"https://www.sciencedirect.com/science/article/pii/S0304419X24001550","volume":"1879","author":[{"family":"Bates","given":"Mark"},{"family":"Mohamed","given":"Bashir M."},{"family":"Lewis","given":"Faye"},{"family":"O'Toole","given":"Sharon"},{"family":"O'Leary","given":"John J."}],"issued":{"date-parts":[["2024",11]]}}}],"schema":"https://github.com/citation-style-language/schema/raw/master/csl-citation.json"} </w:instrText>
      </w:r>
      <w:r w:rsidR="004F5E88" w:rsidRPr="0019627A">
        <w:fldChar w:fldCharType="separate"/>
      </w:r>
      <w:r w:rsidR="00155DA4" w:rsidRPr="00155DA4">
        <w:rPr>
          <w:vertAlign w:val="superscript"/>
        </w:rPr>
        <w:t>1</w:t>
      </w:r>
      <w:r w:rsidR="004F5E88" w:rsidRPr="0019627A">
        <w:fldChar w:fldCharType="end"/>
      </w:r>
      <w:r w:rsidR="004F5E88" w:rsidRPr="0019627A">
        <w:t xml:space="preserve">. Mortality rates have </w:t>
      </w:r>
      <w:r w:rsidR="00155DA4">
        <w:t>not improved much</w:t>
      </w:r>
      <w:r w:rsidR="004F5E88" w:rsidRPr="0019627A">
        <w:t xml:space="preserve"> since the 1980s</w:t>
      </w:r>
      <w:r w:rsidR="004F5E88" w:rsidRPr="0019627A">
        <w:fldChar w:fldCharType="begin"/>
      </w:r>
      <w:r w:rsidR="005F73E3">
        <w:instrText xml:space="preserve"> ADDIN ZOTERO_ITEM CSL_CITATION {"citationID":"Ktf090uZ","properties":{"unsorted":false,"formattedCitation":"\\super 1,2\\nosupersub{}","plainCitation":"1,2","noteIndex":0},"citationItems":[{"id":4392,"uris":["http://zotero.org/users/17607594/items/5XJGTVS7"],"itemData":{"id":4392,"type":"article-journal","abstract":"High-grade serous ovarian cancer (HGSC) is the most common subtype of ovarian cancer. HGSC patients typically present with advanced disease, which is often resistant to chemotherapy and recurs despite initial responses to therapy, resulting in the poor prognosis associated with this disease. There is a need to utilise biomarkers to manage the various aspects of HGSC patient care. In this review we discuss the current state of biomarkers in HGSC, focusing on the various available immunohistochemical (IHC) and blood-based biomarkers, which have been examined for their diagnostic, prognostic and theranostic potential in HGSC. These include various routine clinical IHC biomarkers such as p53, WT1, keratins, PAX8, Ki67 and p16 and clinical blood-borne markers and algorithms such as CA125, HE4, ROMA, RMI, ROCA, and others. We also discuss various components of the liquid biopsy as well as a number of novel IHC biomarkers and non-routine blood-borne biomarkers, which have been examined in various ovarian cancer studies. We also discuss the future of ovarian cancer biomarker research and highlight some of the challenges currently facing the field.","citation-key":"batesBiomarkersHighGrade2024","container-title":"Biochimica Et Biophysica Acta. Reviews on Cancer","DOI":"10.1016/j.bbcan.2024.189224","ISSN":"1879-2561","issue":"6","journalAbbreviation":"Biochim Biophys Acta Rev Cancer","language":"eng","page":"189224","PMID":"39581234","source":"PubMed","title":"Biomarkers in high grade serous ovarian cancer","URL":"https://www.sciencedirect.com/science/article/pii/S0304419X24001550","volume":"1879","author":[{"family":"Bates","given":"Mark"},{"family":"Mohamed","given":"Bashir M."},{"family":"Lewis","given":"Faye"},{"family":"O'Toole","given":"Sharon"},{"family":"O'Leary","given":"John J."}],"issued":{"date-parts":[["2024",11]]}}},{"id":4391,"uris":["http://zotero.org/users/17607594/items/MHPQ6L4H"],"itemData":{"id":4391,"type":"article-journal","abstract":"Among a litany of malignancies affecting the female reproductive tract, that of the ovary is the most frequently fatal. Moreover, while the steady pace of scientific discovery has fuelled recent ameliorations in the outcomes of many other cancers, the rates of mortality for ovarian cancer have been stagnant since around 1980. Yet despite the grim outlook, progress is being made towards better understanding the fundamental biology of this disease and how its biology in turn influences clinical behaviour. It has long been evident that ovarian cancer is not a unitary disease but rather a multiplicity of distinct malignancies that share a common anatomical site upon presentation. Of these, the high-grade serous subtype predominates in the clinical setting and is responsible for a disproportionate share of the fatalities from all forms of ovarian cancer. This review aims to provide a detailed overview of the clinical-pathological features of ovarian cancer with a particular focus on the high-grade serous subtype. Along with a description of the relevant clinical aspects of this disease, including novel trends in treatment strategies, this text will inform the reader of recent updates to the scientific literature regarding the origin, aetiology and molecular-genetic basis of high-grade serous ovarian cancer (HGSOC).","citation-key":"lisioHighGradeSerousOvarian2019","container-title":"International Journal of Molecular Sciences","DOI":"10.3390/ijms20040952","ISSN":"1422-0067","issue":"4","journalAbbreviation":"Int J Mol Sci","language":"eng","license":"http://creativecommons.org/licenses/by/3.0/","page":"952","PMID":"30813239","PMCID":"PMC6412907","publisher":"Multidisciplinary Digital Publishing Institute","source":"PubMed","title":"High-grade serous ovarian cancer: basic sciences, clinical and therapeutic standpoints","title-short":"High-grade serous ovarian cancer","URL":"https://www.mdpi.com/1422-0067/20/4/952","volume":"20","author":[{"family":"Lisio","given":"Michael-Antony"},{"family":"Fu","given":"Lili"},{"family":"Goyeneche","given":"Alicia"},{"family":"Gao","given":"Zu-Hua"},{"family":"Telleria","given":"Carlos"}],"issued":{"date-parts":[["2019",2,22]]}}}],"schema":"https://github.com/citation-style-language/schema/raw/master/csl-citation.json"} </w:instrText>
      </w:r>
      <w:r w:rsidR="004F5E88" w:rsidRPr="0019627A">
        <w:fldChar w:fldCharType="separate"/>
      </w:r>
      <w:r w:rsidR="00155DA4" w:rsidRPr="00155DA4">
        <w:rPr>
          <w:vertAlign w:val="superscript"/>
        </w:rPr>
        <w:t>1,2</w:t>
      </w:r>
      <w:r w:rsidR="004F5E88" w:rsidRPr="0019627A">
        <w:fldChar w:fldCharType="end"/>
      </w:r>
      <w:r w:rsidR="004F5E88" w:rsidRPr="0019627A">
        <w:t xml:space="preserve">. </w:t>
      </w:r>
      <w:r w:rsidRPr="0019627A">
        <w:t>The standard first-line treatment is cytoreductive surgery followed by platinum-taxane chemotherapy, typically carboplatin</w:t>
      </w:r>
      <w:r w:rsidR="00110737" w:rsidRPr="0019627A">
        <w:t xml:space="preserve"> or cisplatin,</w:t>
      </w:r>
      <w:r w:rsidRPr="0019627A">
        <w:t xml:space="preserve"> and paclitaxel</w:t>
      </w:r>
      <w:r w:rsidR="00110737" w:rsidRPr="0019627A">
        <w:fldChar w:fldCharType="begin"/>
      </w:r>
      <w:r w:rsidR="005F73E3">
        <w:instrText xml:space="preserve"> ADDIN ZOTERO_ITEM CSL_CITATION {"citationID":"KWOSAyrj","properties":{"unsorted":false,"formattedCitation":"\\super 2\\nosupersub{}","plainCitation":"2","noteIndex":0},"citationItems":[{"id":4391,"uris":["http://zotero.org/users/17607594/items/MHPQ6L4H"],"itemData":{"id":4391,"type":"article-journal","abstract":"Among a litany of malignancies affecting the female reproductive tract, that of the ovary is the most frequently fatal. Moreover, while the steady pace of scientific discovery has fuelled recent ameliorations in the outcomes of many other cancers, the rates of mortality for ovarian cancer have been stagnant since around 1980. Yet despite the grim outlook, progress is being made towards better understanding the fundamental biology of this disease and how its biology in turn influences clinical behaviour. It has long been evident that ovarian cancer is not a unitary disease but rather a multiplicity of distinct malignancies that share a common anatomical site upon presentation. Of these, the high-grade serous subtype predominates in the clinical setting and is responsible for a disproportionate share of the fatalities from all forms of ovarian cancer. This review aims to provide a detailed overview of the clinical-pathological features of ovarian cancer with a particular focus on the high-grade serous subtype. Along with a description of the relevant clinical aspects of this disease, including novel trends in treatment strategies, this text will inform the reader of recent updates to the scientific literature regarding the origin, aetiology and molecular-genetic basis of high-grade serous ovarian cancer (HGSOC).","citation-key":"lisioHighGradeSerousOvarian2019","container-title":"International Journal of Molecular Sciences","DOI":"10.3390/ijms20040952","ISSN":"1422-0067","issue":"4","journalAbbreviation":"Int J Mol Sci","language":"eng","license":"http://creativecommons.org/licenses/by/3.0/","page":"952","PMID":"30813239","PMCID":"PMC6412907","publisher":"Multidisciplinary Digital Publishing Institute","source":"PubMed","title":"High-grade serous ovarian cancer: basic sciences, clinical and therapeutic standpoints","title-short":"High-grade serous ovarian cancer","URL":"https://www.mdpi.com/1422-0067/20/4/952","volume":"20","author":[{"family":"Lisio","given":"Michael-Antony"},{"family":"Fu","given":"Lili"},{"family":"Goyeneche","given":"Alicia"},{"family":"Gao","given":"Zu-Hua"},{"family":"Telleria","given":"Carlos"}],"issued":{"date-parts":[["2019",2,22]]}}}],"schema":"https://github.com/citation-style-language/schema/raw/master/csl-citation.json"} </w:instrText>
      </w:r>
      <w:r w:rsidR="00110737" w:rsidRPr="0019627A">
        <w:fldChar w:fldCharType="separate"/>
      </w:r>
      <w:r w:rsidR="00155DA4" w:rsidRPr="00155DA4">
        <w:rPr>
          <w:vertAlign w:val="superscript"/>
        </w:rPr>
        <w:t>2</w:t>
      </w:r>
      <w:r w:rsidR="00110737" w:rsidRPr="0019627A">
        <w:fldChar w:fldCharType="end"/>
      </w:r>
      <w:r w:rsidRPr="0019627A">
        <w:t xml:space="preserve">. Although </w:t>
      </w:r>
      <w:r w:rsidR="004F5E88" w:rsidRPr="0019627A">
        <w:t xml:space="preserve">more than </w:t>
      </w:r>
      <w:r w:rsidR="00110737" w:rsidRPr="0019627A">
        <w:t>7</w:t>
      </w:r>
      <w:r w:rsidR="004F5E88" w:rsidRPr="0019627A">
        <w:t>0% of</w:t>
      </w:r>
      <w:r w:rsidRPr="0019627A">
        <w:t xml:space="preserve"> patients initially respond </w:t>
      </w:r>
      <w:r w:rsidR="00110737" w:rsidRPr="0019627A">
        <w:t xml:space="preserve">favourably </w:t>
      </w:r>
      <w:r w:rsidRPr="0019627A">
        <w:t>to platinum</w:t>
      </w:r>
      <w:r w:rsidR="00110737" w:rsidRPr="0019627A">
        <w:t>-based chemotherapy</w:t>
      </w:r>
      <w:r w:rsidRPr="0019627A">
        <w:t>, the majority</w:t>
      </w:r>
      <w:r w:rsidR="00110737" w:rsidRPr="0019627A">
        <w:t xml:space="preserve"> (≥80%)</w:t>
      </w:r>
      <w:r w:rsidRPr="0019627A">
        <w:t xml:space="preserve"> relapse within two years</w:t>
      </w:r>
      <w:r w:rsidR="00110737" w:rsidRPr="0019627A">
        <w:t xml:space="preserve"> with chemoresistance</w:t>
      </w:r>
      <w:r w:rsidRPr="0019627A">
        <w:t>, and subsequent responses to re-treatment are progressively shorter</w:t>
      </w:r>
      <w:r w:rsidR="00110737" w:rsidRPr="0019627A">
        <w:fldChar w:fldCharType="begin"/>
      </w:r>
      <w:r w:rsidR="005F73E3">
        <w:instrText xml:space="preserve"> ADDIN ZOTERO_ITEM CSL_CITATION {"citationID":"sCfnB9nw","properties":{"unsorted":false,"formattedCitation":"\\super 1,2\\nosupersub{}","plainCitation":"1,2","noteIndex":0},"citationItems":[{"id":4392,"uris":["http://zotero.org/users/17607594/items/5XJGTVS7"],"itemData":{"id":4392,"type":"article-journal","abstract":"High-grade serous ovarian cancer (HGSC) is the most common subtype of ovarian cancer. HGSC patients typically present with advanced disease, which is often resistant to chemotherapy and recurs despite initial responses to therapy, resulting in the poor prognosis associated with this disease. There is a need to utilise biomarkers to manage the various aspects of HGSC patient care. In this review we discuss the current state of biomarkers in HGSC, focusing on the various available immunohistochemical (IHC) and blood-based biomarkers, which have been examined for their diagnostic, prognostic and theranostic potential in HGSC. These include various routine clinical IHC biomarkers such as p53, WT1, keratins, PAX8, Ki67 and p16 and clinical blood-borne markers and algorithms such as CA125, HE4, ROMA, RMI, ROCA, and others. We also discuss various components of the liquid biopsy as well as a number of novel IHC biomarkers and non-routine blood-borne biomarkers, which have been examined in various ovarian cancer studies. We also discuss the future of ovarian cancer biomarker research and highlight some of the challenges currently facing the field.","citation-key":"batesBiomarkersHighGrade2024","container-title":"Biochimica Et Biophysica Acta. Reviews on Cancer","DOI":"10.1016/j.bbcan.2024.189224","ISSN":"1879-2561","issue":"6","journalAbbreviation":"Biochim Biophys Acta Rev Cancer","language":"eng","page":"189224","PMID":"39581234","source":"PubMed","title":"Biomarkers in high grade serous ovarian cancer","URL":"https://www.sciencedirect.com/science/article/pii/S0304419X24001550","volume":"1879","author":[{"family":"Bates","given":"Mark"},{"family":"Mohamed","given":"Bashir M."},{"family":"Lewis","given":"Faye"},{"family":"O'Toole","given":"Sharon"},{"family":"O'Leary","given":"John J."}],"issued":{"date-parts":[["2024",11]]}}},{"id":4391,"uris":["http://zotero.org/users/17607594/items/MHPQ6L4H"],"itemData":{"id":4391,"type":"article-journal","abstract":"Among a litany of malignancies affecting the female reproductive tract, that of the ovary is the most frequently fatal. Moreover, while the steady pace of scientific discovery has fuelled recent ameliorations in the outcomes of many other cancers, the rates of mortality for ovarian cancer have been stagnant since around 1980. Yet despite the grim outlook, progress is being made towards better understanding the fundamental biology of this disease and how its biology in turn influences clinical behaviour. It has long been evident that ovarian cancer is not a unitary disease but rather a multiplicity of distinct malignancies that share a common anatomical site upon presentation. Of these, the high-grade serous subtype predominates in the clinical setting and is responsible for a disproportionate share of the fatalities from all forms of ovarian cancer. This review aims to provide a detailed overview of the clinical-pathological features of ovarian cancer with a particular focus on the high-grade serous subtype. Along with a description of the relevant clinical aspects of this disease, including novel trends in treatment strategies, this text will inform the reader of recent updates to the scientific literature regarding the origin, aetiology and molecular-genetic basis of high-grade serous ovarian cancer (HGSOC).","citation-key":"lisioHighGradeSerousOvarian2019","container-title":"International Journal of Molecular Sciences","DOI":"10.3390/ijms20040952","ISSN":"1422-0067","issue":"4","journalAbbreviation":"Int J Mol Sci","language":"eng","license":"http://creativecommons.org/licenses/by/3.0/","page":"952","PMID":"30813239","PMCID":"PMC6412907","publisher":"Multidisciplinary Digital Publishing Institute","source":"PubMed","title":"High-grade serous ovarian cancer: basic sciences, clinical and therapeutic standpoints","title-short":"High-grade serous ovarian cancer","URL":"https://www.mdpi.com/1422-0067/20/4/952","volume":"20","author":[{"family":"Lisio","given":"Michael-Antony"},{"family":"Fu","given":"Lili"},{"family":"Goyeneche","given":"Alicia"},{"family":"Gao","given":"Zu-Hua"},{"family":"Telleria","given":"Carlos"}],"issued":{"date-parts":[["2019",2,22]]}}}],"schema":"https://github.com/citation-style-language/schema/raw/master/csl-citation.json"} </w:instrText>
      </w:r>
      <w:r w:rsidR="00110737" w:rsidRPr="0019627A">
        <w:fldChar w:fldCharType="separate"/>
      </w:r>
      <w:r w:rsidR="00155DA4" w:rsidRPr="00155DA4">
        <w:rPr>
          <w:vertAlign w:val="superscript"/>
        </w:rPr>
        <w:t>1,2</w:t>
      </w:r>
      <w:r w:rsidR="00110737" w:rsidRPr="0019627A">
        <w:fldChar w:fldCharType="end"/>
      </w:r>
      <w:r w:rsidRPr="0019627A">
        <w:t xml:space="preserve">. </w:t>
      </w:r>
      <w:r w:rsidR="00110737" w:rsidRPr="0019627A">
        <w:t xml:space="preserve">This illustrates the urgent need for </w:t>
      </w:r>
      <w:r w:rsidRPr="0019627A">
        <w:t>reliable prognostic biomarkers that can identify patients at high risk of early relapse or poor platinum response at the point of diagnosis</w:t>
      </w:r>
      <w:r w:rsidR="00D82CEF" w:rsidRPr="0019627A">
        <w:fldChar w:fldCharType="begin"/>
      </w:r>
      <w:r w:rsidR="005F73E3">
        <w:instrText xml:space="preserve"> ADDIN ZOTERO_ITEM CSL_CITATION {"citationID":"g6qejJAM","properties":{"unsorted":false,"formattedCitation":"\\super 3\\nosupersub{}","plainCitation":"3","noteIndex":0},"citationItems":[{"id":4344,"uris":["http://zotero.org/users/17607594/items/JRKESX8T"],"itemData":{"id":4344,"type":"article-journal","abstract":"Background\nNew tools are needed to predict outcomes of ovarian cancer patients treated with platinum-based chemotherapy. We hypothesized that a molecular score based on expression of genes that are involved in platinum-induced DNA damage repair could provide such prognostic information.\n\nMethods\nGene expression data was extracted from The Cancer Genome Atlas (TCGA) database for 151 DNA repair genes from tumors of serous ovarian cystadenocarcinoma patients (n = 511). A molecular score was generated based on the expression of 23 genes involved in platinum-induced DNA damage repair pathways. Patients were divided into low (scores 0–10) and high (scores 11–20) score groups, and overall survival (OS) was analyzed by Kaplan–Meier method. Results were validated in two gene expression microarray datasets. Association of the score with OS was compared with known clinical factors (age, stage, grade, and extent of surgical debulking) using univariate and multivariable Cox proportional hazards models. Score performance was evaluated by receiver operating characteristic (ROC) curve analysis. Correlations between the score and likelihood of complete response, recurrence-free survival, and progression-free survival were assessed. Statistical tests were two-sided.\n\nResults\nImproved survival was associated with being in the high-scoring group (high vs low scores: 5-year OS, 40% vs 17%, P &lt; .001), and results were reproduced in the validation datasets (P &lt; .05). The score was the only pretreatment factor that showed a statistically significant association with OS (high vs low scores, hazard ratio of death = 0.40, 95% confidence interval = 0.32 to 0.66, P &lt; .001). ROC curves indicated that the score outperformed the known clinical factors (score in a validation dataset vs clinical factors, area under the curve = 0.65 vs 0.52). The score positively correlated with complete response rate, recurrence-free survival, and progression-free survival (Pearson correlation coefficient [r2] = 0.60, 0.84, and 0.80, respectively; P &lt; .001 for all).\n\nConclusion\nThe DNA repair pathway–focused score can be used to predict outcomes and response to platinum therapy in ovarian cancer patients.","citation-key":"kangDNARepairPathway2012","container-title":"Journal of the National Cancer Institute","DOI":"10.1093/jnci/djs177","ISSN":"0027-8874","issue":"9","journalAbbreviation":"J Natl Cancer Inst","language":"eng","page":"670-681","PMID":"22505474","PMCID":"PMC3341307","source":"PubMed","title":"A DNA repair pathway–focused score for prediction of outcomes in ovarian cancer treated with platinum-based chemotherapy","URL":"https://pmc.ncbi.nlm.nih.gov/articles/PMC3341307/","volume":"104","author":[{"family":"Kang","given":"Josephine"},{"family":"D’Andrea","given":"Alan D."},{"family":"Kozono","given":"David"}],"accessed":{"date-parts":[["2026",6,29]]},"issued":{"date-parts":[["2012",5,2]]}}}],"schema":"https://github.com/citation-style-language/schema/raw/master/csl-citation.json"} </w:instrText>
      </w:r>
      <w:r w:rsidR="00D82CEF" w:rsidRPr="0019627A">
        <w:fldChar w:fldCharType="separate"/>
      </w:r>
      <w:r w:rsidR="00155DA4" w:rsidRPr="00155DA4">
        <w:rPr>
          <w:vertAlign w:val="superscript"/>
        </w:rPr>
        <w:t>3</w:t>
      </w:r>
      <w:r w:rsidR="00D82CEF" w:rsidRPr="0019627A">
        <w:fldChar w:fldCharType="end"/>
      </w:r>
      <w:r w:rsidRPr="0019627A">
        <w:t>.</w:t>
      </w:r>
    </w:p>
    <w:p w14:paraId="249B03D1" w14:textId="5521E8F0" w:rsidR="00011003" w:rsidRPr="0019627A" w:rsidRDefault="00011003" w:rsidP="00011003">
      <w:pPr>
        <w:pStyle w:val="Heading2"/>
      </w:pPr>
      <w:r w:rsidRPr="0019627A">
        <w:t xml:space="preserve">1.2 The DNA </w:t>
      </w:r>
      <w:r w:rsidR="00476B40">
        <w:t>d</w:t>
      </w:r>
      <w:r w:rsidRPr="0019627A">
        <w:t xml:space="preserve">amage </w:t>
      </w:r>
      <w:r w:rsidR="00476B40">
        <w:t>r</w:t>
      </w:r>
      <w:r w:rsidRPr="0019627A">
        <w:t xml:space="preserve">esponse as a </w:t>
      </w:r>
      <w:r w:rsidR="00476B40">
        <w:t>p</w:t>
      </w:r>
      <w:r w:rsidRPr="0019627A">
        <w:t xml:space="preserve">rognostic </w:t>
      </w:r>
      <w:r w:rsidR="00476B40">
        <w:t>a</w:t>
      </w:r>
      <w:r w:rsidRPr="0019627A">
        <w:t>xis</w:t>
      </w:r>
    </w:p>
    <w:p w14:paraId="67C9CB59" w14:textId="5E6F71F4" w:rsidR="00D809FA" w:rsidRPr="0019627A" w:rsidRDefault="00117DD2" w:rsidP="00011003">
      <w:r w:rsidRPr="0019627A">
        <w:t>Platinum compounds act by binding to genomic or mitochondrial DNA, creating lesions or double-stranded breaks (DSBs) which subsequently trigger the DNA damage response (DDR) mechanism</w:t>
      </w:r>
      <w:r w:rsidR="00C52E2D" w:rsidRPr="0019627A">
        <w:fldChar w:fldCharType="begin"/>
      </w:r>
      <w:r w:rsidR="005F73E3">
        <w:instrText xml:space="preserve"> ADDIN ZOTERO_ITEM CSL_CITATION {"citationID":"ymNzPRkT","properties":{"unsorted":false,"formattedCitation":"\\super 4\\nosupersub{}","plainCitation":"4","noteIndex":0},"citationItems":[{"id":4393,"uris":["http://zotero.org/users/17607594/items/NN8ZHWUI"],"itemData":{"id":4393,"type":"article-journal","abstract":"Cisplatin or (SP-4-2)-diamminedichloridoplatinum(II) is one of the most potential and widely used drugs for the treatment of various solid cancers such as testicular, ovarian, head and neck, bladder, lung, cervical cancer, melanoma, lymphomas and several others. Cisplatin exerts anticancer activity via multiple mechanisms but its most acceptable mechanism involves generation of DNA lesions by interacting with purine bases on DNA followed by activation of several signal transduction pathways which finally lead to apoptosis. However, side effects and drug resistance are the two inherent challenges of cisplatin which limit its application and effectiveness. Reduction of drug accumulation inside cancer cells, inactivation of drug by reacting with glutathione and metallothioneins and faster repairing of DNA lesions are responsible for cisplatin resistance. To minimize cisplatin side effects and resistance, combination therapies are used and have proven more effective to defect cancers. This article highlights a systematic description on cisplatin which includes a brief history, synthesis, action mechanism, resistance, uses, side effects and modulation of side effects. It also briefly describes development of platinum drugs from very small cisplatin complex to very large next generation nanocarriers conjugated platinum complexes.","citation-key":"ghoshCisplatinFirstMetal2019","container-title":"Bioorganic Chemistry","DOI":"10.1016/j.bioorg.2019.102925","ISSN":"1090-2120","journalAbbreviation":"Bioorg Chem","language":"eng","page":"102925","PMID":"31003078","source":"PubMed","title":"Cisplatin: The first metal based anticancer drug","title-short":"Cisplatin","URL":"https://www.sciencedirect.com/science/article/pii/S0045206818311969","volume":"88","author":[{"family":"Ghosh","given":"Sumit"}],"issued":{"date-parts":[["2019",7]]}}}],"schema":"https://github.com/citation-style-language/schema/raw/master/csl-citation.json"} </w:instrText>
      </w:r>
      <w:r w:rsidR="00C52E2D" w:rsidRPr="0019627A">
        <w:fldChar w:fldCharType="separate"/>
      </w:r>
      <w:r w:rsidR="00155DA4" w:rsidRPr="00155DA4">
        <w:rPr>
          <w:vertAlign w:val="superscript"/>
        </w:rPr>
        <w:t>4</w:t>
      </w:r>
      <w:r w:rsidR="00C52E2D" w:rsidRPr="0019627A">
        <w:fldChar w:fldCharType="end"/>
      </w:r>
      <w:r w:rsidRPr="0019627A">
        <w:t>.</w:t>
      </w:r>
      <w:r w:rsidR="00782B8F">
        <w:t xml:space="preserve"> </w:t>
      </w:r>
      <w:r w:rsidR="00D809FA" w:rsidRPr="0019627A">
        <w:t xml:space="preserve">Following platinum exposure, cell fate is </w:t>
      </w:r>
      <w:r w:rsidR="00011003" w:rsidRPr="0019627A">
        <w:t xml:space="preserve">determined by the balance between two competing pathways: homologous recombination (HR) repair, which removes DSBs and allows cells to survive, and </w:t>
      </w:r>
      <w:r w:rsidR="00D809FA" w:rsidRPr="0019627A">
        <w:t>cell cycle arrest followed by</w:t>
      </w:r>
      <w:r w:rsidR="00011003" w:rsidRPr="0019627A">
        <w:t xml:space="preserve"> apoptosis. </w:t>
      </w:r>
      <w:r w:rsidR="00D82CEF" w:rsidRPr="0019627A">
        <w:t>In malignant tumours, increased DNA repair capacity translates clinically to reduced platinum sensitivity and poorer overall survival</w:t>
      </w:r>
      <w:r w:rsidR="00D82CEF" w:rsidRPr="0019627A">
        <w:fldChar w:fldCharType="begin"/>
      </w:r>
      <w:r w:rsidR="005F73E3">
        <w:instrText xml:space="preserve"> ADDIN ZOTERO_ITEM CSL_CITATION {"citationID":"aemZAWJN","properties":{"unsorted":false,"formattedCitation":"\\super 5\\nosupersub{}","plainCitation":"5","noteIndex":0},"citationItems":[{"id":3988,"uris":["http://zotero.org/users/17607594/items/PY4SIZ34"],"itemData":{"id":3988,"type":"article-journal","abstract":"Dysfunctional DNA repair with subsequent genome instability and high mutational burden represents a major hallmark of cancer. In established malignant tumors, increased DNA repair capacity mediates resistance to DNA-damaging therapeutics, including cytotoxic drugs, radiotherapy, and selected small molecules including inhibitors of poly (ADP-ribose) polymerase (PARP), Ataxia Telangiectasia Mutated (ATM), ataxia telangiectasia and Rad3-related protein (ATR), and Wee1 kinase (Wee1). In addition, DNA repair deficiency is not only associated with sensitivity to selected anticancer drugs, but also with increased mutagenicity and increased neoantigen load on tumor cells, resulting in increased immunogenicity and improved response to CTLA4- or PD-(L)1 targeting monoclonal antibodies. DNA damage response (DDR) is composed of complex signalling pathways, including the sensing of the DNA damage, signal transduction, cellular response pathways to DNA damage, and activation of DNA repair. DNA double strand breaks (DSBs) are the most dangerous form of DNA damage. Tumor cells are characterised by frequent accumulation of DSBs caused by either endogenous replication stress or the impact of cancer treatment, most prominently chemotherapy and radiotherapy. Therefore, response of cancer cells to DSBs represents a crucial mechanism for how tumors respond to systemic treatment or radiotherapy, and how resistance develops. Ample clinical evidence supports the importance of DDR associated kinases as predictive and prognostic biomarkers in cancer patients. The ATM-CHK2 and ATR-CHK1-WEE1 pathways initiate DNA DSB repair. In the current review, we focus on major DDR associated kinases including ATM, ATR, CHK1, CHK2, and WEE1, and discuss their potential prognostic and predictive value in solid malignancies.","citation-key":"gachechiladzePredictivePrognosticValue2020","container-title":"Frontiers in Oncology","DOI":"10.3389/fonc.2020.581217","ISSN":"2234-943X","journalAbbreviation":"Front Oncol","page":"581217","PMID":"33224881","PMCID":"PMC7670868","publisher":"Frontiers","source":"PubMed Central","title":"Predictive and prognostic value of DNA damage response associated kinases in solid tumors","URL":"https://www.frontiersin.org/journals/oncology/articles/10.3389/fonc.2020.581217/full","volume":"10","author":[{"family":"Gachechiladze","given":"Mariam"},{"family":"Skarda","given":"Josef"},{"family":"Bouchalova","given":"Katerina"},{"family":"Soltermann","given":"Alex"},{"family":"Joerger","given":"Markus"}],"accessed":{"date-parts":[["2026",6,17]]},"issued":{"date-parts":[["2020",11,3]]}}}],"schema":"https://github.com/citation-style-language/schema/raw/master/csl-citation.json"} </w:instrText>
      </w:r>
      <w:r w:rsidR="00D82CEF" w:rsidRPr="0019627A">
        <w:fldChar w:fldCharType="separate"/>
      </w:r>
      <w:r w:rsidR="00155DA4" w:rsidRPr="00155DA4">
        <w:rPr>
          <w:vertAlign w:val="superscript"/>
        </w:rPr>
        <w:t>5</w:t>
      </w:r>
      <w:r w:rsidR="00D82CEF" w:rsidRPr="0019627A">
        <w:fldChar w:fldCharType="end"/>
      </w:r>
      <w:r w:rsidR="00D82CEF" w:rsidRPr="0019627A">
        <w:t>.</w:t>
      </w:r>
    </w:p>
    <w:p w14:paraId="72C6E4F7" w14:textId="76B5282A" w:rsidR="003C20AA" w:rsidRDefault="00660219" w:rsidP="00464D27">
      <w:r>
        <w:t>K</w:t>
      </w:r>
      <w:r w:rsidR="0019627A">
        <w:t xml:space="preserve">ey proteins involved </w:t>
      </w:r>
      <w:r>
        <w:t xml:space="preserve">in the HR-DDR response </w:t>
      </w:r>
      <w:r w:rsidR="0019627A">
        <w:t xml:space="preserve">include </w:t>
      </w:r>
      <w:r w:rsidR="0019627A" w:rsidRPr="0019627A">
        <w:t>ataxia telangiectasia mutated</w:t>
      </w:r>
      <w:r w:rsidR="0019627A">
        <w:t xml:space="preserve"> (ATM) protein kinase, </w:t>
      </w:r>
      <w:r w:rsidR="0019627A" w:rsidRPr="0019627A">
        <w:t>ataxia telangiectasia and Rad3-related</w:t>
      </w:r>
      <w:r w:rsidR="0019627A">
        <w:t xml:space="preserve"> (ATR) protein kinase</w:t>
      </w:r>
      <w:r w:rsidR="0019627A">
        <w:fldChar w:fldCharType="begin"/>
      </w:r>
      <w:r w:rsidR="005F73E3">
        <w:instrText xml:space="preserve"> ADDIN ZOTERO_ITEM CSL_CITATION {"citationID":"KLgIS0Yu","properties":{"unsorted":false,"formattedCitation":"\\super 5\\uc0\\u8211{}7\\nosupersub{}","plainCitation":"5–7","noteIndex":0},"citationItems":[{"id":3988,"uris":["http://zotero.org/users/17607594/items/PY4SIZ34"],"itemData":{"id":3988,"type":"article-journal","abstract":"Dysfunctional DNA repair with subsequent genome instability and high mutational burden represents a major hallmark of cancer. In established malignant tumors, increased DNA repair capacity mediates resistance to DNA-damaging therapeutics, including cytotoxic drugs, radiotherapy, and selected small molecules including inhibitors of poly (ADP-ribose) polymerase (PARP), Ataxia Telangiectasia Mutated (ATM), ataxia telangiectasia and Rad3-related protein (ATR), and Wee1 kinase (Wee1). In addition, DNA repair deficiency is not only associated with sensitivity to selected anticancer drugs, but also with increased mutagenicity and increased neoantigen load on tumor cells, resulting in increased immunogenicity and improved response to CTLA4- or PD-(L)1 targeting monoclonal antibodies. DNA damage response (DDR) is composed of complex signalling pathways, including the sensing of the DNA damage, signal transduction, cellular response pathways to DNA damage, and activation of DNA repair. DNA double strand breaks (DSBs) are the most dangerous form of DNA damage. Tumor cells are characterised by frequent accumulation of DSBs caused by either endogenous replication stress or the impact of cancer treatment, most prominently chemotherapy and radiotherapy. Therefore, response of cancer cells to DSBs represents a crucial mechanism for how tumors respond to systemic treatment or radiotherapy, and how resistance develops. Ample clinical evidence supports the importance of DDR associated kinases as predictive and prognostic biomarkers in cancer patients. The ATM-CHK2 and ATR-CHK1-WEE1 pathways initiate DNA DSB repair. In the current review, we focus on major DDR associated kinases including ATM, ATR, CHK1, CHK2, and WEE1, and discuss their potential prognostic and predictive value in solid malignancies.","citation-key":"gachechiladzePredictivePrognosticValue2020","container-title":"Frontiers in Oncology","DOI":"10.3389/fonc.2020.581217","ISSN":"2234-943X","journalAbbreviation":"Front Oncol","page":"581217","PMID":"33224881","PMCID":"PMC7670868","publisher":"Frontiers","source":"PubMed Central","title":"Predictive and prognostic value of DNA damage response associated kinases in solid tumors","URL":"https://www.frontiersin.org/journals/oncology/articles/10.3389/fonc.2020.581217/full","volume":"10","author":[{"family":"Gachechiladze","given":"Mariam"},{"family":"Skarda","given":"Josef"},{"family":"Bouchalova","given":"Katerina"},{"family":"Soltermann","given":"Alex"},{"family":"Joerger","given":"Markus"}],"accessed":{"date-parts":[["2026",6,17]]},"issued":{"date-parts":[["2020",11,3]]}}},{"id":4401,"uris":["http://zotero.org/users/17607594/items/4QZYPT94"],"itemData":{"id":4401,"type":"article-journal","abstract":"The prevalence of homologous recombination-DNA damage response (HR-DDR) genetic alterations is of therapeutic interest in gastroesophageal cancers. This study is a comprehensive assessment of HR-DDR mutation prevalence across gastroesophageal adenocarcinomas and squamous cell carcinomas. Here we investigate the association of HR-DDR mutations with known predictors for immune-checkpoint inhibition [deficiency in mismatch-repair (dMMRP), tumor mutational burden (TMB), and programmed death ligand 1 (PD-L1)]. We confirmed HR-DDR mutations are present in a subset of gastroesophageal adenocarcinomas (23%) and gastroesophageal squamous cell carcinomas (20%). Biomarker expression of dMMRP (18% vs. 1%) and TMB-high with a cutoff of ≥10 mt/MB (27% vs. 9%) was significantly more prevalent in the DDR-mutated cohort compared with the non-DDR-mutated cohort. Mean combined positive score for PD-L1 in the total adenocarcinoma cohort was significantly higher in the DDR-mutated cohort compared with the non-DDR-mutated cohort (10.1 vs. 5.8). We demonstrated that alterations in ARID1A, BRCA2, PTEN, and ATM are correlated with dMMRP, TMB-high, and increased PD-L1 expression in gastroesophageal adenocarcinomas. Our findings show that a subset of gastroesophageal tumors harbor HR-DDR mutations correlated with established immune biomarkers. By better understanding the relationship between HR-DDR mutations and immune biomarkers, we may be able to develop better immunotherapy combination strategies to target these tumors.","citation-key":"cernigliaAssociationHomologousRecombinationDNA2022","container-title":"Molecular Cancer Therapeutics","DOI":"10.1158/1535-7163.MCT-20-0879","ISSN":"1538-8514","issue":"1","journalAbbreviation":"Mol Cancer Ther","language":"eng","page":"227-236","PMID":"34725190","PMCID":"PMC9506445","source":"PubMed","title":"Association of homologous recombination-DNA damage response gene mutations with immune biomarkers in gastroesophageal cancers","URL":"https://pmc.ncbi.nlm.nih.gov/articles/PMC9506445/","volume":"21","author":[{"family":"Cerniglia","given":"Michael"},{"family":"Xiu","given":"Joanne"},{"family":"Grothey","given":"Axel"},{"family":"Pishvaian","given":"Michael J."},{"family":"Baca","given":"Yasmine"},{"family":"Hwang","given":"Jimmy J."},{"family":"Marshall","given":"John L."},{"family":"VanderWalde","given":"Ari M."},{"family":"Shields","given":"Anthony F."},{"family":"Lenz","given":"Heinz-Josef"},{"family":"Korn","given":"W. Michael"},{"family":"Salem","given":"Mohamed"},{"family":"Philip","given":"Philip A."},{"family":"Goldberg","given":"Richard M."},{"family":"Zeng","given":"Jia"},{"family":"Kim","given":"Sunnie S."}],"issued":{"date-parts":[["2022",1]]}}},{"id":3977,"uris":["http://zotero.org/users/17607594/items/4MFHXVGB"],"itemData":{"id":3977,"type":"article-journal","abstract":"DNA is the genetic repository for all living organisms, and it is subject to constant changes caused by chemical and physical factors. Any change, if not repaired, erodes the genetic information and causes mutations and diseases. To ensure overall survival, robust DNA repair mechanisms and damage-bypass mechanisms have evolved to ensure that the DNA is constantly protected against potentially deleterious damage while maintaining its integrity. Not surprisingly, defects in DNA repair genes affect metabolic processes, and this can be seen in some types of cancer, where DNA repair pathways are disrupted and deregulated, resulting in genome instability. Mathematically modelling the complex network of genes and processes that make up the DNA repair network will not only provide insight into how cells recognise and react to mutations, but it may also reveal whether or not genes involved in the repair process can be controlled. Due to the complexity of this network and the need for a mathematical model and software platform to simulate different investigation scenarios, there must be an automatic way to convert this network into a mathematical model. In this paper, we present a topological analysis of one of the networks in DNA repair, specifically homologous recombination repair (HR). We propose a method for the automatic construction of a system of rate equations to describe network dynamics and present results of a numerical simulation of the model and model sensitivity analysis to the parameters. In the past, dynamic modelling and sensitivity analysis have been used to study the evolution of tumours in response to drugs in cancer medicine. However, automatic generation of a mathematical model and the study of its sensitivity to parameter have not been applied to research on the DNA repair network so far. Therefore, we present this application as an approach for medical research against cancer, since it could give insight into a possible approach with which central nodes of the networks and repair genes could be identified and controlled with the ultimate goal of aiding cancer therapy to fight the onset of cancer and its progression.","citation-key":"leccaDynamicModellingDNA2022","container-title":"Frontiers in Molecular Biosciences","DOI":"10.3389/fmolb.2022.878148","ISSN":"2296-889X","journalAbbreviation":"Front Mol Biosci","language":"eng","page":"878148","PMID":"36177351","PMCID":"PMC9513183","publisher":"Frontiers","source":"PubMed","title":"Dynamic modelling of DNA repair pathway at the molecular level: a new perspective","title-short":"Dynamic modelling of DNA repair pathway at the molecular level","URL":"https://pmc.ncbi.nlm.nih.gov/articles/PMC9513183/","volume":"9","author":[{"family":"Lecca","given":"Paola"},{"family":"Ihekwaba-Ndibe","given":"Adaoha E. C."}],"accessed":{"date-parts":[["2026",6,17]]},"issued":{"date-parts":[["2022",9,13]]}}}],"schema":"https://github.com/citation-style-language/schema/raw/master/csl-citation.json"} </w:instrText>
      </w:r>
      <w:r w:rsidR="0019627A">
        <w:fldChar w:fldCharType="separate"/>
      </w:r>
      <w:r w:rsidR="00155DA4" w:rsidRPr="00155DA4">
        <w:rPr>
          <w:vertAlign w:val="superscript"/>
        </w:rPr>
        <w:t>5–7</w:t>
      </w:r>
      <w:r w:rsidR="0019627A">
        <w:fldChar w:fldCharType="end"/>
      </w:r>
      <w:r w:rsidR="0019627A">
        <w:t xml:space="preserve">. ATM kinase senses DSBs and ATR kinase senses stalled </w:t>
      </w:r>
      <w:r w:rsidR="006F5A78">
        <w:t xml:space="preserve">DNA </w:t>
      </w:r>
      <w:r w:rsidR="0019627A">
        <w:t>replication forks</w:t>
      </w:r>
      <w:r w:rsidR="00464D27">
        <w:t xml:space="preserve">. Activation of ATM and ATR results in </w:t>
      </w:r>
      <w:r w:rsidR="00011003" w:rsidRPr="0019627A">
        <w:t>phosphorylati</w:t>
      </w:r>
      <w:r w:rsidR="00464D27">
        <w:t>on</w:t>
      </w:r>
      <w:r w:rsidR="00011003" w:rsidRPr="0019627A">
        <w:t xml:space="preserve"> and </w:t>
      </w:r>
      <w:r w:rsidR="00464D27">
        <w:t xml:space="preserve">subsequent </w:t>
      </w:r>
      <w:r w:rsidR="00011003" w:rsidRPr="0019627A">
        <w:t>activati</w:t>
      </w:r>
      <w:r w:rsidR="00464D27">
        <w:t>on</w:t>
      </w:r>
      <w:r w:rsidR="00011003" w:rsidRPr="0019627A">
        <w:t xml:space="preserve"> the checkpoint effector</w:t>
      </w:r>
      <w:r w:rsidR="00DD1699">
        <w:t xml:space="preserve"> kinases</w:t>
      </w:r>
      <w:r w:rsidR="006F5A78">
        <w:t>,</w:t>
      </w:r>
      <w:r w:rsidR="00011003" w:rsidRPr="0019627A">
        <w:t xml:space="preserve"> CHK1 and CHK2</w:t>
      </w:r>
      <w:r w:rsidR="00464D27">
        <w:fldChar w:fldCharType="begin"/>
      </w:r>
      <w:r w:rsidR="005F73E3">
        <w:instrText xml:space="preserve"> ADDIN ZOTERO_ITEM CSL_CITATION {"citationID":"O06EaIpE","properties":{"unsorted":false,"formattedCitation":"\\super 5\\nosupersub{}","plainCitation":"5","noteIndex":0},"citationItems":[{"id":3988,"uris":["http://zotero.org/users/17607594/items/PY4SIZ34"],"itemData":{"id":3988,"type":"article-journal","abstract":"Dysfunctional DNA repair with subsequent genome instability and high mutational burden represents a major hallmark of cancer. In established malignant tumors, increased DNA repair capacity mediates resistance to DNA-damaging therapeutics, including cytotoxic drugs, radiotherapy, and selected small molecules including inhibitors of poly (ADP-ribose) polymerase (PARP), Ataxia Telangiectasia Mutated (ATM), ataxia telangiectasia and Rad3-related protein (ATR), and Wee1 kinase (Wee1). In addition, DNA repair deficiency is not only associated with sensitivity to selected anticancer drugs, but also with increased mutagenicity and increased neoantigen load on tumor cells, resulting in increased immunogenicity and improved response to CTLA4- or PD-(L)1 targeting monoclonal antibodies. DNA damage response (DDR) is composed of complex signalling pathways, including the sensing of the DNA damage, signal transduction, cellular response pathways to DNA damage, and activation of DNA repair. DNA double strand breaks (DSBs) are the most dangerous form of DNA damage. Tumor cells are characterised by frequent accumulation of DSBs caused by either endogenous replication stress or the impact of cancer treatment, most prominently chemotherapy and radiotherapy. Therefore, response of cancer cells to DSBs represents a crucial mechanism for how tumors respond to systemic treatment or radiotherapy, and how resistance develops. Ample clinical evidence supports the importance of DDR associated kinases as predictive and prognostic biomarkers in cancer patients. The ATM-CHK2 and ATR-CHK1-WEE1 pathways initiate DNA DSB repair. In the current review, we focus on major DDR associated kinases including ATM, ATR, CHK1, CHK2, and WEE1, and discuss their potential prognostic and predictive value in solid malignancies.","citation-key":"gachechiladzePredictivePrognosticValue2020","container-title":"Frontiers in Oncology","DOI":"10.3389/fonc.2020.581217","ISSN":"2234-943X","journalAbbreviation":"Front Oncol","page":"581217","PMID":"33224881","PMCID":"PMC7670868","publisher":"Frontiers","source":"PubMed Central","title":"Predictive and prognostic value of DNA damage response associated kinases in solid tumors","URL":"https://www.frontiersin.org/journals/oncology/articles/10.3389/fonc.2020.581217/full","volume":"10","author":[{"family":"Gachechiladze","given":"Mariam"},{"family":"Skarda","given":"Josef"},{"family":"Bouchalova","given":"Katerina"},{"family":"Soltermann","given":"Alex"},{"family":"Joerger","given":"Markus"}],"accessed":{"date-parts":[["2026",6,17]]},"issued":{"date-parts":[["2020",11,3]]}}}],"schema":"https://github.com/citation-style-language/schema/raw/master/csl-citation.json"} </w:instrText>
      </w:r>
      <w:r w:rsidR="00464D27">
        <w:fldChar w:fldCharType="separate"/>
      </w:r>
      <w:r w:rsidR="00155DA4" w:rsidRPr="00155DA4">
        <w:rPr>
          <w:vertAlign w:val="superscript"/>
        </w:rPr>
        <w:t>5</w:t>
      </w:r>
      <w:r w:rsidR="00464D27">
        <w:fldChar w:fldCharType="end"/>
      </w:r>
      <w:r w:rsidR="00011003" w:rsidRPr="0019627A">
        <w:t xml:space="preserve">. CHK1/2 in turn coordinate cell cycle arrest and recruit the </w:t>
      </w:r>
      <w:r w:rsidR="00464D27">
        <w:t>DNA</w:t>
      </w:r>
      <w:r w:rsidR="00011003" w:rsidRPr="0019627A">
        <w:t xml:space="preserve"> repair machinery</w:t>
      </w:r>
      <w:r w:rsidR="00464D27">
        <w:fldChar w:fldCharType="begin"/>
      </w:r>
      <w:r w:rsidR="005F73E3">
        <w:instrText xml:space="preserve"> ADDIN ZOTERO_ITEM CSL_CITATION {"citationID":"A67mhKs9","properties":{"unsorted":false,"formattedCitation":"\\super 5\\nosupersub{}","plainCitation":"5","noteIndex":0},"citationItems":[{"id":3988,"uris":["http://zotero.org/users/17607594/items/PY4SIZ34"],"itemData":{"id":3988,"type":"article-journal","abstract":"Dysfunctional DNA repair with subsequent genome instability and high mutational burden represents a major hallmark of cancer. In established malignant tumors, increased DNA repair capacity mediates resistance to DNA-damaging therapeutics, including cytotoxic drugs, radiotherapy, and selected small molecules including inhibitors of poly (ADP-ribose) polymerase (PARP), Ataxia Telangiectasia Mutated (ATM), ataxia telangiectasia and Rad3-related protein (ATR), and Wee1 kinase (Wee1). In addition, DNA repair deficiency is not only associated with sensitivity to selected anticancer drugs, but also with increased mutagenicity and increased neoantigen load on tumor cells, resulting in increased immunogenicity and improved response to CTLA4- or PD-(L)1 targeting monoclonal antibodies. DNA damage response (DDR) is composed of complex signalling pathways, including the sensing of the DNA damage, signal transduction, cellular response pathways to DNA damage, and activation of DNA repair. DNA double strand breaks (DSBs) are the most dangerous form of DNA damage. Tumor cells are characterised by frequent accumulation of DSBs caused by either endogenous replication stress or the impact of cancer treatment, most prominently chemotherapy and radiotherapy. Therefore, response of cancer cells to DSBs represents a crucial mechanism for how tumors respond to systemic treatment or radiotherapy, and how resistance develops. Ample clinical evidence supports the importance of DDR associated kinases as predictive and prognostic biomarkers in cancer patients. The ATM-CHK2 and ATR-CHK1-WEE1 pathways initiate DNA DSB repair. In the current review, we focus on major DDR associated kinases including ATM, ATR, CHK1, CHK2, and WEE1, and discuss their potential prognostic and predictive value in solid malignancies.","citation-key":"gachechiladzePredictivePrognosticValue2020","container-title":"Frontiers in Oncology","DOI":"10.3389/fonc.2020.581217","ISSN":"2234-943X","journalAbbreviation":"Front Oncol","page":"581217","PMID":"33224881","PMCID":"PMC7670868","publisher":"Frontiers","source":"PubMed Central","title":"Predictive and prognostic value of DNA damage response associated kinases in solid tumors","URL":"https://www.frontiersin.org/journals/oncology/articles/10.3389/fonc.2020.581217/full","volume":"10","author":[{"family":"Gachechiladze","given":"Mariam"},{"family":"Skarda","given":"Josef"},{"family":"Bouchalova","given":"Katerina"},{"family":"Soltermann","given":"Alex"},{"family":"Joerger","given":"Markus"}],"accessed":{"date-parts":[["2026",6,17]]},"issued":{"date-parts":[["2020",11,3]]}}}],"schema":"https://github.com/citation-style-language/schema/raw/master/csl-citation.json"} </w:instrText>
      </w:r>
      <w:r w:rsidR="00464D27">
        <w:fldChar w:fldCharType="separate"/>
      </w:r>
      <w:r w:rsidR="00155DA4" w:rsidRPr="00155DA4">
        <w:rPr>
          <w:vertAlign w:val="superscript"/>
        </w:rPr>
        <w:t>5</w:t>
      </w:r>
      <w:r w:rsidR="00464D27">
        <w:fldChar w:fldCharType="end"/>
      </w:r>
      <w:r>
        <w:t xml:space="preserve">. This is </w:t>
      </w:r>
      <w:r w:rsidR="00011003" w:rsidRPr="0019627A">
        <w:t xml:space="preserve">anchored by </w:t>
      </w:r>
      <w:r w:rsidR="00822AD3">
        <w:t xml:space="preserve">an HR mediator complex, </w:t>
      </w:r>
      <w:r>
        <w:t>consisting</w:t>
      </w:r>
      <w:r w:rsidR="00822AD3">
        <w:t xml:space="preserve"> of the breast cancer </w:t>
      </w:r>
      <w:r w:rsidR="006F5A78">
        <w:t xml:space="preserve">type </w:t>
      </w:r>
      <w:r w:rsidR="00822AD3">
        <w:t xml:space="preserve">1 and 2 </w:t>
      </w:r>
      <w:r w:rsidR="00822AD3" w:rsidRPr="003C20AA">
        <w:t xml:space="preserve">susceptibility </w:t>
      </w:r>
      <w:r w:rsidR="00822AD3">
        <w:t>proteins (BRCA1 and BRCA2)</w:t>
      </w:r>
      <w:r w:rsidR="004B56A5">
        <w:t xml:space="preserve">, the </w:t>
      </w:r>
      <w:r w:rsidR="004B56A5" w:rsidRPr="004B56A5">
        <w:t>partner and localiser of BRCA2 (PALB2) protein</w:t>
      </w:r>
      <w:r w:rsidR="004B56A5">
        <w:t xml:space="preserve">, and the nucleoprotein filament </w:t>
      </w:r>
      <w:r w:rsidR="004B56A5">
        <w:lastRenderedPageBreak/>
        <w:t>RAD51</w:t>
      </w:r>
      <w:r w:rsidR="004B56A5">
        <w:fldChar w:fldCharType="begin"/>
      </w:r>
      <w:r w:rsidR="005F73E3">
        <w:instrText xml:space="preserve"> ADDIN ZOTERO_ITEM CSL_CITATION {"citationID":"vIy7xb9h","properties":{"unsorted":false,"formattedCitation":"\\super 7,8\\nosupersub{}","plainCitation":"7,8","noteIndex":0},"citationItems":[{"id":3977,"uris":["http://zotero.org/users/17607594/items/4MFHXVGB"],"itemData":{"id":3977,"type":"article-journal","abstract":"DNA is the genetic repository for all living organisms, and it is subject to constant changes caused by chemical and physical factors. Any change, if not repaired, erodes the genetic information and causes mutations and diseases. To ensure overall survival, robust DNA repair mechanisms and damage-bypass mechanisms have evolved to ensure that the DNA is constantly protected against potentially deleterious damage while maintaining its integrity. Not surprisingly, defects in DNA repair genes affect metabolic processes, and this can be seen in some types of cancer, where DNA repair pathways are disrupted and deregulated, resulting in genome instability. Mathematically modelling the complex network of genes and processes that make up the DNA repair network will not only provide insight into how cells recognise and react to mutations, but it may also reveal whether or not genes involved in the repair process can be controlled. Due to the complexity of this network and the need for a mathematical model and software platform to simulate different investigation scenarios, there must be an automatic way to convert this network into a mathematical model. In this paper, we present a topological analysis of one of the networks in DNA repair, specifically homologous recombination repair (HR). We propose a method for the automatic construction of a system of rate equations to describe network dynamics and present results of a numerical simulation of the model and model sensitivity analysis to the parameters. In the past, dynamic modelling and sensitivity analysis have been used to study the evolution of tumours in response to drugs in cancer medicine. However, automatic generation of a mathematical model and the study of its sensitivity to parameter have not been applied to research on the DNA repair network so far. Therefore, we present this application as an approach for medical research against cancer, since it could give insight into a possible approach with which central nodes of the networks and repair genes could be identified and controlled with the ultimate goal of aiding cancer therapy to fight the onset of cancer and its progression.","citation-key":"leccaDynamicModellingDNA2022","container-title":"Frontiers in Molecular Biosciences","DOI":"10.3389/fmolb.2022.878148","ISSN":"2296-889X","journalAbbreviation":"Front Mol Biosci","language":"eng","page":"878148","PMID":"36177351","PMCID":"PMC9513183","publisher":"Frontiers","source":"PubMed","title":"Dynamic modelling of DNA repair pathway at the molecular level: a new perspective","title-short":"Dynamic modelling of DNA repair pathway at the molecular level","URL":"https://pmc.ncbi.nlm.nih.gov/articles/PMC9513183/","volume":"9","author":[{"family":"Lecca","given":"Paola"},{"family":"Ihekwaba-Ndibe","given":"Adaoha E. C."}],"accessed":{"date-parts":[["2026",6,17]]},"issued":{"date-parts":[["2022",9,13]]}}},{"id":3981,"uris":["http://zotero.org/users/17607594/items/7VH3J6CR"],"itemData":{"id":3981,"type":"article-journal","abstract":"As the primary catalyst of homologous recombination (HR) in vertebrates, RAD51 has been extensively studied in the context of repair of double-stranded DNA breaks (DSBs). With recent advances in the understanding of RAD51 function extending beyond DSBs, the importance of RAD51 throughout DNA metabolism has become increasingly clear. Here we review the suggested roles of RAD51 beyond HR, specifically focusing on their interplay with DNA replication and the maintenance of genomic stability, in which RAD51 function emerges as a double-edged sword.","citation-key":"wassingRAD51Break2021","collection-title":"Genome stability","container-title":"Seminars in Cell &amp; Developmental Biology","DOI":"10.1016/j.semcdb.2020.08.010","ISSN":"1084-9521","journalAbbreviation":"Semin Cell Dev Biol","language":"eng","page":"38-46","PMID":"32938550","PMCID":"PMC8082279","source":"PubMed","title":"RAD51: Beyond the break","title-short":"RAD51","URL":"https://www.sciencedirect.com/science/article/pii/S1084952120301014","volume":"113","author":[{"family":"Wassing","given":"Isabel E."},{"family":"Esashi","given":"Fumiko"}],"accessed":{"date-parts":[["2026",6,17]]},"issued":{"date-parts":[["2021",5,1]]}}}],"schema":"https://github.com/citation-style-language/schema/raw/master/csl-citation.json"} </w:instrText>
      </w:r>
      <w:r w:rsidR="004B56A5">
        <w:fldChar w:fldCharType="separate"/>
      </w:r>
      <w:r w:rsidR="00155DA4" w:rsidRPr="00155DA4">
        <w:rPr>
          <w:vertAlign w:val="superscript"/>
        </w:rPr>
        <w:t>7,8</w:t>
      </w:r>
      <w:r w:rsidR="004B56A5">
        <w:fldChar w:fldCharType="end"/>
      </w:r>
      <w:r w:rsidR="004B56A5">
        <w:t xml:space="preserve"> (referred to as the </w:t>
      </w:r>
      <w:r w:rsidR="00011003" w:rsidRPr="0019627A">
        <w:t>BRCA1-PALB2-BRCA2-RAD51 scaffold</w:t>
      </w:r>
      <w:r w:rsidR="004B56A5">
        <w:t>)</w:t>
      </w:r>
      <w:r w:rsidR="00011003" w:rsidRPr="0019627A">
        <w:t xml:space="preserve">. </w:t>
      </w:r>
      <w:r w:rsidR="00476B40">
        <w:t xml:space="preserve">If damage persists, pro-apoptotic members of the </w:t>
      </w:r>
      <w:r w:rsidR="00476B40" w:rsidRPr="003C20AA">
        <w:t>B cell leuk</w:t>
      </w:r>
      <w:r w:rsidR="00476B40">
        <w:t>a</w:t>
      </w:r>
      <w:r w:rsidR="00476B40" w:rsidRPr="003C20AA">
        <w:t>emia/lymphoma-2</w:t>
      </w:r>
      <w:r w:rsidR="00476B40">
        <w:t xml:space="preserve"> (BCL-2) family, </w:t>
      </w:r>
      <w:r w:rsidR="00476B40" w:rsidRPr="003C20AA">
        <w:t>BCL-2 associated X-protein</w:t>
      </w:r>
      <w:r w:rsidR="00476B40">
        <w:t xml:space="preserve"> (BAX) and </w:t>
      </w:r>
      <w:r w:rsidR="00476B40" w:rsidRPr="003C20AA">
        <w:t>BCL-2 associated agonist of cell death</w:t>
      </w:r>
      <w:r w:rsidR="00476B40">
        <w:t xml:space="preserve"> (BAD) commit the cell to apoptosis</w:t>
      </w:r>
      <w:r w:rsidR="00476B40">
        <w:fldChar w:fldCharType="begin"/>
      </w:r>
      <w:r w:rsidR="005F73E3">
        <w:instrText xml:space="preserve"> ADDIN ZOTERO_ITEM CSL_CITATION {"citationID":"3mk2pi9R","properties":{"unsorted":false,"formattedCitation":"\\super 9\\nosupersub{}","plainCitation":"9","noteIndex":0},"citationItems":[{"id":3983,"uris":["http://zotero.org/users/17607594/items/UIGKKCI7"],"itemData":{"id":3983,"type":"article-journal","abstract":"Bax and Bak, two functionally similar, pro-apoptotic proteins of the Bcl-2 family, are known as the gateway to apoptosis because of their requisite roles as effectors of mitochondrial outer membrane permeabilization (MOMP), a major step during mitochondria-dependent apoptosis. The mechanism of how cells turn Bax/Bak from inert molecules into fully active and lethal effectors had long been the focal point of a major debate centered around two competing, but not mutually exclusive, models: direct activation and indirect activation. After intensive research efforts for over two decades, it is now widely accepted that to initiate apoptosis, some of the BH3-only proteins, a subclass of the Bcl-2 family, directly engage Bax/Bak to trigger their conformational transformation and activation. However, a series of recent discoveries, using previously unavailable CRISPR-engineered cell systems, challenge the basic premise that undergirds the consensus and provide evidence for a novel and surprisingly simple model of Bax/Bak activation: the membrane (lipids)-mediated spontaneous model. This review will discuss the evidence, rationale, significance, and implications of this new model.","citation-key":"luoThirdModelBax2020","container-title":"F1000Research","DOI":"10.12688/f1000research.25607.1","ISSN":"2046-1402","journalAbbreviation":"F1000Res","language":"eng","license":"https://creativecommons.org/licenses/by/4.0/","page":"F1000 Faculty Rev-935","PMID":"32802314","PMCID":"PMC7411521","publisher":"F1000Research","source":"PubMed","title":"The third model of Bax/Bak activation: a Bcl-2 family feud finally resolved?","title-short":"The third model of Bax/Bak activation","URL":"https://f1000research.com/articles/9-935","volume":"9","author":[{"family":"Luo","given":"Xu"},{"family":"O'Neill","given":"Katelyn L."},{"family":"Huang","given":"Kai"}],"issued":{"date-parts":[["2020"]]}}}],"schema":"https://github.com/citation-style-language/schema/raw/master/csl-citation.json"} </w:instrText>
      </w:r>
      <w:r w:rsidR="00476B40">
        <w:fldChar w:fldCharType="separate"/>
      </w:r>
      <w:r w:rsidR="00155DA4" w:rsidRPr="00155DA4">
        <w:rPr>
          <w:vertAlign w:val="superscript"/>
        </w:rPr>
        <w:t>9</w:t>
      </w:r>
      <w:r w:rsidR="00476B40">
        <w:fldChar w:fldCharType="end"/>
      </w:r>
      <w:r w:rsidR="006F5A78">
        <w:t>.</w:t>
      </w:r>
    </w:p>
    <w:p w14:paraId="62F08A55" w14:textId="52A521FE" w:rsidR="003C20AA" w:rsidRPr="0019627A" w:rsidRDefault="00464D27" w:rsidP="00464D27">
      <w:r>
        <w:t xml:space="preserve">The ATM pathway has previously been shown to be activated in response to platinum-induced </w:t>
      </w:r>
      <w:r w:rsidR="0037659A">
        <w:t>damage, resulting in phosphorylation of the tumour protein p53 (TP53)</w:t>
      </w:r>
      <w:r>
        <w:fldChar w:fldCharType="begin"/>
      </w:r>
      <w:r w:rsidR="005F73E3">
        <w:instrText xml:space="preserve"> ADDIN ZOTERO_ITEM CSL_CITATION {"citationID":"ycuEV2Xa","properties":{"unsorted":false,"formattedCitation":"\\super 3,10\\nosupersub{}","plainCitation":"3,10","noteIndex":0},"citationItems":[{"id":4344,"uris":["http://zotero.org/users/17607594/items/JRKESX8T"],"itemData":{"id":4344,"type":"article-journal","abstract":"Background\nNew tools are needed to predict outcomes of ovarian cancer patients treated with platinum-based chemotherapy. We hypothesized that a molecular score based on expression of genes that are involved in platinum-induced DNA damage repair could provide such prognostic information.\n\nMethods\nGene expression data was extracted from The Cancer Genome Atlas (TCGA) database for 151 DNA repair genes from tumors of serous ovarian cystadenocarcinoma patients (n = 511). A molecular score was generated based on the expression of 23 genes involved in platinum-induced DNA damage repair pathways. Patients were divided into low (scores 0–10) and high (scores 11–20) score groups, and overall survival (OS) was analyzed by Kaplan–Meier method. Results were validated in two gene expression microarray datasets. Association of the score with OS was compared with known clinical factors (age, stage, grade, and extent of surgical debulking) using univariate and multivariable Cox proportional hazards models. Score performance was evaluated by receiver operating characteristic (ROC) curve analysis. Correlations between the score and likelihood of complete response, recurrence-free survival, and progression-free survival were assessed. Statistical tests were two-sided.\n\nResults\nImproved survival was associated with being in the high-scoring group (high vs low scores: 5-year OS, 40% vs 17%, P &lt; .001), and results were reproduced in the validation datasets (P &lt; .05). The score was the only pretreatment factor that showed a statistically significant association with OS (high vs low scores, hazard ratio of death = 0.40, 95% confidence interval = 0.32 to 0.66, P &lt; .001). ROC curves indicated that the score outperformed the known clinical factors (score in a validation dataset vs clinical factors, area under the curve = 0.65 vs 0.52). The score positively correlated with complete response rate, recurrence-free survival, and progression-free survival (Pearson correlation coefficient [r2] = 0.60, 0.84, and 0.80, respectively; P &lt; .001 for all).\n\nConclusion\nThe DNA repair pathway–focused score can be used to predict outcomes and response to platinum therapy in ovarian cancer patients.","citation-key":"kangDNARepairPathway2012","container-title":"Journal of the National Cancer Institute","DOI":"10.1093/jnci/djs177","ISSN":"0027-8874","issue":"9","journalAbbreviation":"J Natl Cancer Inst","language":"eng","page":"670-681","PMID":"22505474","PMCID":"PMC3341307","source":"PubMed","title":"A DNA repair pathway–focused score for prediction of outcomes in ovarian cancer treated with platinum-based chemotherapy","URL":"https://pmc.ncbi.nlm.nih.gov/articles/PMC3341307/","volume":"104","author":[{"family":"Kang","given":"Josephine"},{"family":"D’Andrea","given":"Alan D."},{"family":"Kozono","given":"David"}],"accessed":{"date-parts":[["2026",6,29]]},"issued":{"date-parts":[["2012",5,2]]}}},{"id":3998,"uris":["http://zotero.org/users/17607594/items/YKB5C9ZS"],"itemData":{"id":3998,"type":"chapter","abstract":"DNA damage is a key factor both in the evolution and treatment of cancer. Genomic instability is a common feature of cancer cells, fuelling accumulation of oncogenic mutations, while radiation and diverse genotoxic agents remain important, if imperfect, therapeutic modalities. Cellular responses to DNA damage are coordinated primarily by two distinct kinase signaling cascades, the ATM-Chk2 and ATR-Chk1 pathways, which are activated by DNA double-strand breaks (DSBs) and single-stranded DNA respectively. Historically, these pathways were thought to act in parallel with overlapping functions; however, more recently it has become apparent that their relationship is more complex. In response to DSBs, ATM is required both for ATR-Chk1 activation and to initiate DNA repair via homologous recombination (HRR) by promoting formation of single-stranded DNA at sites of damage through nucleolytic resection. Interestingly, cells and organisms survive with mutations in ATM or other components required for HRR, such as BRCA1 and BRCA2, but at the cost of genomic instability and cancer predisposition. By contrast, the ATR-Chk1 pathway is the principal direct effector of the DNA damage and replication checkpoints and, as such, is essential for the survival of many, although not all, cell types. Remarkably, deficiency for HRR in BRCA1- and BRCA2-deficient tumors confers sensitivity to cisplatin and inhibitors of poly(ADP-ribose) polymerase (PARP), an enzyme required for repair of endogenous DNA damage. In addition, suppressing DNA damage and replication checkpoint responses by inhibiting Chk1 can enhance tumor cell killing by diverse genotoxic agents. Here, we review current understanding of the organization and functions of the ATM-Chk2 and ATR-Chk1 pathways and the prospects for targeting DNA damage signaling processes for therapeutic purposes.","citation-key":"smithATMChk2ATRChk1Pathways2010","container-title":"Advances in Cancer Research","DOI":"10.1016/B978-0-12-380888-2.00003-0","ISSN":"2162-5557","language":"eng","page":"73-112","publisher":"Academic Press","source":"PubMed","title":"The ATM-Chk2 and ATR-Chk1 pathways in DNA damage signaling and cancer","URL":"https://www.sciencedirect.com/science/article/pii/B9780123808882000030","volume":"108","author":[{"family":"Smith","given":"Joanne"},{"family":"Tho","given":"Lye Mun"},{"family":"Xu","given":"Naihan"},{"family":"Gillespie","given":"David A."}],"issued":{"date-parts":[["2010"]]}}}],"schema":"https://github.com/citation-style-language/schema/raw/master/csl-citation.json"} </w:instrText>
      </w:r>
      <w:r>
        <w:fldChar w:fldCharType="separate"/>
      </w:r>
      <w:r w:rsidR="00155DA4" w:rsidRPr="00155DA4">
        <w:rPr>
          <w:vertAlign w:val="superscript"/>
        </w:rPr>
        <w:t>3,10</w:t>
      </w:r>
      <w:r>
        <w:fldChar w:fldCharType="end"/>
      </w:r>
      <w:r>
        <w:t>.</w:t>
      </w:r>
      <w:r w:rsidR="00D47FED">
        <w:t xml:space="preserve"> </w:t>
      </w:r>
      <w:r w:rsidR="00D47FED" w:rsidRPr="00476B40">
        <w:t>However, p53 is near universally mutated in HGSOC (~96%), making p53 mutation status a poor variable for patient stratification</w:t>
      </w:r>
      <w:r w:rsidR="00476B40" w:rsidRPr="00476B40">
        <w:fldChar w:fldCharType="begin"/>
      </w:r>
      <w:r w:rsidR="005F73E3">
        <w:instrText xml:space="preserve"> ADDIN ZOTERO_ITEM CSL_CITATION {"citationID":"4ikT1AhY","properties":{"unsorted":false,"formattedCitation":"\\super 11\\nosupersub{}","plainCitation":"11","noteIndex":0},"citationItems":[{"id":4389,"uris":["http://zotero.org/users/17607594/items/9MZQII4M"],"itemData":{"id":4389,"type":"article-journal","abstract":"It has been well established that mutations in the tumor suppressor gene, p53, occur readily in a vast majority of cancer tumors, including ovarian cancer. Typically diagnosed in stages three or four, ovarian cancer is the fifth leading cause of death in women, despite accounting for only 2.5% of all female malignancies. The overall 5-year survival rate for ovarian cancer is around 47%; however, this drops to an abysmal 29% for the most common type of ovarian cancer, high-grade serous ovarian carcinoma (HGSOC). HGSOC has upwards of 96% of cases expressing mutations in p53. Therefore, wild-type (WT) p53 and p53-based therapies have been explored as treatment options via a plethora of drug delivery vehicles including nanoparticles, viruses, polymers, and liposomes. However, previous p53 therapeutics have faced many challenges, which have resulted in their limited translational success to date. This review highlights a selection of these historical p53-targeted therapeutics for ovarian cancer, why they failed, and what the future could hold for a new generation of this class of therapies.","citation-key":"wallisChallengesProspectsP53Based2023","container-title":"Biomolecules","DOI":"10.3390/biom13010159","ISSN":"2218-273X","issue":"1","journalAbbreviation":"Biomolecules","language":"eng","page":"159","PMID":"36671544","PMCID":"PMC9855757","source":"PubMed","title":"The challenges and prospects of p53-based therapies in ovarian cancer","volume":"13","author":[{"family":"Wallis","given":"Bryce"},{"family":"Bowman","given":"Katherine Redd"},{"family":"Lu","given":"Phong"},{"family":"Lim","given":"Carol S."}],"issued":{"date-parts":[["2023",1,12]]}}}],"schema":"https://github.com/citation-style-language/schema/raw/master/csl-citation.json"} </w:instrText>
      </w:r>
      <w:r w:rsidR="00476B40" w:rsidRPr="00476B40">
        <w:fldChar w:fldCharType="separate"/>
      </w:r>
      <w:r w:rsidR="00155DA4" w:rsidRPr="00155DA4">
        <w:rPr>
          <w:vertAlign w:val="superscript"/>
        </w:rPr>
        <w:t>11</w:t>
      </w:r>
      <w:r w:rsidR="00476B40" w:rsidRPr="00476B40">
        <w:fldChar w:fldCharType="end"/>
      </w:r>
      <w:r w:rsidR="00D47FED" w:rsidRPr="00476B40">
        <w:t>. The</w:t>
      </w:r>
      <w:r w:rsidR="00D47FED">
        <w:t xml:space="preserve"> alternative HR-DDR pathway (BRCA1/2, RAD51) </w:t>
      </w:r>
      <w:r w:rsidR="00011003" w:rsidRPr="0019627A">
        <w:t>framework</w:t>
      </w:r>
      <w:r w:rsidR="00507A00">
        <w:t xml:space="preserve"> </w:t>
      </w:r>
      <w:r w:rsidR="00011003" w:rsidRPr="0019627A">
        <w:t xml:space="preserve">provides a biologically grounded </w:t>
      </w:r>
      <w:r w:rsidR="00D47FED">
        <w:t xml:space="preserve">alternative </w:t>
      </w:r>
      <w:r w:rsidR="00011003" w:rsidRPr="0019627A">
        <w:t>basis for patient stratification.</w:t>
      </w:r>
    </w:p>
    <w:p w14:paraId="24A136CE" w14:textId="316C5BCB" w:rsidR="00814F9F" w:rsidRDefault="00814F9F" w:rsidP="00814F9F">
      <w:pPr>
        <w:pStyle w:val="Heading2"/>
      </w:pPr>
      <w:r>
        <w:t xml:space="preserve">1.3 Mechanistic </w:t>
      </w:r>
      <w:r w:rsidR="00476B40">
        <w:t>m</w:t>
      </w:r>
      <w:r>
        <w:t xml:space="preserve">odelling as an </w:t>
      </w:r>
      <w:r w:rsidR="00476B40">
        <w:t>a</w:t>
      </w:r>
      <w:r>
        <w:t xml:space="preserve">lternative to </w:t>
      </w:r>
      <w:r w:rsidR="00476B40">
        <w:t>b</w:t>
      </w:r>
      <w:r>
        <w:t>lack</w:t>
      </w:r>
      <w:r w:rsidR="00476B40">
        <w:t>-b</w:t>
      </w:r>
      <w:r>
        <w:t xml:space="preserve">ox </w:t>
      </w:r>
      <w:r w:rsidR="00476B40">
        <w:t>machine learning</w:t>
      </w:r>
    </w:p>
    <w:p w14:paraId="57C05480" w14:textId="1368DDAB" w:rsidR="00814F9F" w:rsidRDefault="00814F9F" w:rsidP="00671B03">
      <w:r>
        <w:t>Conventional data-driven approaches to survival prediction include Cox proportional hazards regression</w:t>
      </w:r>
      <w:r w:rsidR="00476B40">
        <w:t xml:space="preserve"> (CoxPH)</w:t>
      </w:r>
      <w:r>
        <w:t xml:space="preserve"> and ensemble </w:t>
      </w:r>
      <w:r w:rsidR="00C87FAA">
        <w:t xml:space="preserve">machine learning (ML) </w:t>
      </w:r>
      <w:r>
        <w:t>methods such as Random Survival Forests (RSFs)</w:t>
      </w:r>
      <w:r w:rsidR="00671B03">
        <w:fldChar w:fldCharType="begin"/>
      </w:r>
      <w:r w:rsidR="005F73E3">
        <w:instrText xml:space="preserve"> ADDIN ZOTERO_ITEM CSL_CITATION {"citationID":"3D5Z9AkQ","properties":{"unsorted":false,"formattedCitation":"\\super 12\\nosupersub{}","plainCitation":"12","noteIndex":0},"citationItems":[{"id":4386,"uris":["http://zotero.org/users/17607594/items/D2PC78CA"],"itemData":{"id":4386,"type":"article-journal","abstract":"BACKGROUND: Traditional CoxPH models are limited in handling real-world data complexities. While machine learning models like RSF and DeepSurv show promise, their application and comparative evaluation in the HER2-positive/HR-negative breast cancer subtype require further validation.\nAIMS: This study aims to build a survival prediction model for breast cancer patients based on different methods. The optimal model will provide more accurate survival predictions for clinical decision-making of HER2 positive and HR negative cancer patients.\nMETHODS AND RESULTS: This study analyzed 8,119 HER2-positive HR-negative breast cancer patients from the SEER database, randomly allocated to training/validation/test cohorts (7:1:2 ratio). Predictive models were developed using five feature sets and three algorithms (Cox PH, RSF, DeepSurv), with feature selection optimized via Concordance index (C-index). Evaluation revealed: The C-index of the DeepSurv models constructed using the training set is greater than 0.8, performing better than both the RSF and CoxPH models. However, CoxPH outperforms DeepSurv in terms of C-index when testset. The Brier scores for all models were below 0.25. Which indicates that the models predicted with high accuracy. Based on the training set, the Deepsurv model predicted the highest ROC-AUCs of 0.91, 0.863, and 0.855 for 1-, 3-, and 5-year overall survival (OS), respectively. The RSF model achieved the highest AUCs, specifically 0.876, 0.861, and 0.845, for 1-, 3-, and 5-year overall survival in the test group. The calibration graphs indicate that of the three models forecasting overall survival at 1, 3, and 5 years, the RSF model demonstrated the greatest level of agreement between predictions and actual observations, trailed by the DeepSurv model. There was poor agreement between CoxPH model predictions and observed data. Optimal Clinical Net Benefits at 1, 3, and 5 Years for DCA of the Deepsurv Model in the Training Set Data. However, in the test set, compared to other models, RSF showed better Optimal Clinical Net Benefits.\nCONCLUSIONS: In conclusion, compared to conventional prognostic models, the Random Survival Forest (RSF) model serves as a reliable tool for predicting long-term survival in breast cancer patients, demonstrating consistent performance across diverse datasets. Furthermore, the feature set selected via RSF-Variable Importance (VIMP) (compared with LASSO regression and Cox regression) significantly enhances the performance of prognostic models. Our findings may offer practical guidance for future development of long-term prognostic models tailored to breast cancer subtypes.","citation-key":"caiComparisonRandomSurvival2025","container-title":"Cancer Reports","DOI":"10.1002/cnr2.70262","ISSN":"2573-8348","issue":"7","journalAbbreviation":"Cancer Rep (Hoboken)","language":"eng","license":"© 2025 The Author(s). Cancer Reports published by Wiley Periodicals LLC.","note":"_eprint: https://onlinelibrary.wiley.com/doi/pdf/10.1002/cnr2.70262","page":"e70262","PMID":"40624807","PMCID":"PMC12234386","publisher-place":"Hoboken, N.J.","source":"PubMed","title":"Comparison of random survival forest based-overall survival with deep learning and Cox proportional hazard models in HER-2-positive HR-negative breast cancer","URL":"https://onlinelibrary.wiley.com/doi/abs/10.1002/cnr2.70262","volume":"8","author":[{"family":"Cai","given":"Wenqi"},{"family":"Qi","given":"Yan"},{"family":"Zheng","given":"Linhui"},{"family":"Wu","given":"Huachao"},{"family":"Yang","given":"Chunqian"},{"family":"Zhang","given":"Runze"},{"family":"Wu","given":"Chaoyan"},{"family":"Yu","given":"Haijun"}],"issued":{"date-parts":[["2025"]]}}}],"schema":"https://github.com/citation-style-language/schema/raw/master/csl-citation.json"} </w:instrText>
      </w:r>
      <w:r w:rsidR="00671B03">
        <w:fldChar w:fldCharType="separate"/>
      </w:r>
      <w:r w:rsidR="00155DA4" w:rsidRPr="00155DA4">
        <w:rPr>
          <w:vertAlign w:val="superscript"/>
        </w:rPr>
        <w:t>12</w:t>
      </w:r>
      <w:r w:rsidR="00671B03">
        <w:fldChar w:fldCharType="end"/>
      </w:r>
      <w:r w:rsidR="00476B40">
        <w:t xml:space="preserve">. </w:t>
      </w:r>
      <w:r w:rsidR="00671B03">
        <w:t xml:space="preserve">These methods </w:t>
      </w:r>
      <w:r>
        <w:t xml:space="preserve">treat gene expression profiles as statistical inputs and optimise model parameters directly against observed outcomes. While powerful, these </w:t>
      </w:r>
      <w:r w:rsidR="004E53A3">
        <w:t>approaches</w:t>
      </w:r>
      <w:r>
        <w:t xml:space="preserve"> require large training </w:t>
      </w:r>
      <w:r w:rsidR="00EA4769">
        <w:t xml:space="preserve">datasets </w:t>
      </w:r>
      <w:r>
        <w:t>to avoid overfitting, are sensitive to batch effects and platform heterogeneity, and produce predictions that are difficult to interpret mechanistically</w:t>
      </w:r>
      <w:r w:rsidR="00671B03">
        <w:fldChar w:fldCharType="begin"/>
      </w:r>
      <w:r w:rsidR="005F73E3">
        <w:instrText xml:space="preserve"> ADDIN ZOTERO_ITEM CSL_CITATION {"citationID":"pk5XiDBz","properties":{"unsorted":false,"formattedCitation":"\\super 13\\nosupersub{}","plainCitation":"13","noteIndex":0},"citationItems":[{"id":4343,"uris":["http://zotero.org/users/17607594/items/JW98S5T7"],"itemData":{"id":4343,"type":"article-journal","abstract":"Background and objective\nMechanistic-based Model simulations (MM) are an effective approach commonly employed, for research and learning purposes, to better investigate and understand the inherent behavior of biological systems. Recent advancements in modern technologies and the large availability of omics data allowed the application of Machine Learning (ML) techniques to different research fields, including systems biology. However, the availability of information regarding the analyzed biological context, sufficient experimental data, as well as the degree of computational complexity, represent some of the issues that both MMs and ML techniques could present individually. For this reason, recently, several studies suggest overcoming or significantly reducing these drawbacks by combining the above-mentioned two methods. In the wake of the growing interest in this hybrid analysis approach, with the present review, we want to systematically investigate the studies available in the scientific literature in which both MMs and ML have been combined to explain biological processes at genomics, proteomics, and metabolomics levels, or the behavior of entire cellular populations.\nMethods\nElsevier Scopus®, Clarivate Web of Science™ and National Library of Medicine PubMed® databases were enquired using the queries reported in Table 1, resulting in 350 scientific articles.\nResults\nOnly 14 of the 350 documents returned by the comprehensive search conducted on the three major online databases met our search criteria, i.e. present a hybrid approach consisting of the synergistic combination of MMs and ML to treat a particular aspect of systems biology.\nConclusions\nDespite the recent interest in this methodology, from a careful analysis of the selected papers, it emerged how examples of integration between MMs and ML are already present in systems biology, highlighting the great potential of this hybrid approach to both at micro and macro biological scales.","citation-key":"procopioCombinedMechanisticModeling2023","container-title":"Computer Methods and Programs in Biomedicine","DOI":"10.1016/j.cmpb.2023.107681","ISSN":"0169-2607","journalAbbreviation":"Comput Methods Programs Biomed","language":"eng","page":"107681","PMID":"37385142","source":"PubMed","title":"Combined mechanistic modeling and machine-learning approaches in systems biology – A systematic literature review","URL":"https://www.sciencedirect.com/science/article/pii/S0169260723003462","volume":"240","author":[{"family":"Procopio","given":"Anna"},{"family":"Cesarelli","given":"Giuseppe"},{"family":"Donisi","given":"Leandro"},{"family":"Merola","given":"Alessio"},{"family":"Amato","given":"Francesco"},{"family":"Cosentino","given":"Carlo"}],"accessed":{"date-parts":[["2026",6,29]]},"issued":{"date-parts":[["2023",10,1]]}}}],"schema":"https://github.com/citation-style-language/schema/raw/master/csl-citation.json"} </w:instrText>
      </w:r>
      <w:r w:rsidR="00671B03">
        <w:fldChar w:fldCharType="separate"/>
      </w:r>
      <w:r w:rsidR="00155DA4" w:rsidRPr="00155DA4">
        <w:rPr>
          <w:vertAlign w:val="superscript"/>
        </w:rPr>
        <w:t>13</w:t>
      </w:r>
      <w:r w:rsidR="00671B03">
        <w:fldChar w:fldCharType="end"/>
      </w:r>
      <w:r>
        <w:t>.</w:t>
      </w:r>
    </w:p>
    <w:p w14:paraId="6EA1E69B" w14:textId="74678CEA" w:rsidR="00011003" w:rsidRDefault="00814F9F" w:rsidP="00814F9F">
      <w:r>
        <w:t xml:space="preserve">Ordinary differential equation (ODE) models offer a complementary strategy. By encoding known biology as a system of coupled differential equations with literature-informed kinetic parameters, a mechanistic model </w:t>
      </w:r>
      <w:r w:rsidR="004E53A3">
        <w:t xml:space="preserve">(MM) </w:t>
      </w:r>
      <w:r>
        <w:t>can generate patient-specific predictions from steady-state gene expression alone, without fitting any outcome data. This "zero-shot" property means the model is not susceptible to overfitting and its parameters carry direct biological meaning. The canonical example is the p53 ODE model, which has been validated on neuroblastoma patient cohorts and shown to be prognostic of event-free survival using only pre-treatment expression data</w:t>
      </w:r>
      <w:r w:rsidR="00C87FAA">
        <w:fldChar w:fldCharType="begin"/>
      </w:r>
      <w:r w:rsidR="005F73E3">
        <w:instrText xml:space="preserve"> ADDIN ZOTERO_ITEM CSL_CITATION {"citationID":"czu6NO7Z","properties":{"unsorted":false,"formattedCitation":"\\super 14\\uc0\\u8211{}16\\nosupersub{}","plainCitation":"14–16","noteIndex":0},"citationItems":[{"id":4018,"uris":["http://zotero.org/users/17607594/items/LS9A637D"],"itemData":{"id":4018,"type":"article-journal","abstract":"Cells transmit information through molecular signals that often show complex dynamical patterns. The dynamic behavior of the tumor suppressor p53 varies depending on the stimulus; in response to double-strand DNA breaks, it shows a series of repeated pulses. Using a computational model, we identified a sequence of precisely timed drug additions that alter p53 pulses to instead produce a sustained p53 response. This leads to the expression of a different set of downstream genes and also alters cell fate: Cells that experience p53 pulses recover from DNA damage, whereas cells exposed to sustained p53 signaling frequently undergo senescence. Our results show that protein dynamics can be an important part of a signal, directly influencing cellular fate decisions.","citation-key":"purvisP53DynamicsControl2012","container-title":"Science","DOI":"10.1126/science.1218351","ISSN":"1095-9203","issue":"6087","journalAbbreviation":"Science","language":"eng","page":"1440-1444","PMID":"22700930","PMCID":"PMC4162876","publisher":"American Association for the Advancement of Science","publisher-place":"New York, NY, USA","source":"PubMed","title":"p53 dynamics control cell fate","URL":"https://www.science.org/doi/10.1126/science.1218351","volume":"336","author":[{"family":"Purvis","given":"Jeremy E."},{"family":"Karhohs","given":"Kyle W."},{"family":"Mock","given":"Caroline"},{"family":"Batchelor","given":"Eric"},{"family":"Loewer","given":"Alexander"},{"family":"Lahav","given":"Galit"}],"issued":{"date-parts":[["2012",6,15]]}}},{"id":4012,"uris":["http://zotero.org/users/17607594/items/QCEVFUQ7"],"itemData":{"id":4012,"type":"article-journal","abstract":"DNA damage initiates a series of p53 pulses. Although much is known about the interactions surrounding p53, little is known about which interactions contribute to p53's dynamical behavior. The simplest explanation is that these pulses are oscillations intrinsic to the p53/Mdm2 negative feedback loop. Here we present evidence that this simple mechanism is insufficient to explain p53 pulses; we show that p53 pulses are externally driven by pulses in the upstream signaling kinases, ATM and Chk2, and that the negative feedback between p53 and ATM, via Wip1, is essential for maintaining the uniform shape of p53 pulses. We propose that p53 pulses result from repeated initiation by ATM, which is reactivated by persistent DNA damage. Our study emphasizes the importance of collecting quantitative dynamic information at high temporal resolution for understanding the regulation of signaling pathways and opens new ways to manipulate p53 pulses to ask questions about their function in response to DNA damage.","citation-key":"batchelorRecurrentInitiationMechanism2008","container-title":"Molecular Cell","DOI":"10.1016/j.molcel.2008.03.016","ISSN":"1097-4164","issue":"3","journalAbbreviation":"Mol Cell","language":"eng","page":"277-289","PMID":"18471974","PMCID":"PMC2579769","source":"PubMed","title":"Recurrent initiation: a mechanism for triggering p53 pulses in response to DNA damage","title-short":"Recurrent initiation","URL":"https://www.sciencedirect.com/science/article/pii/S1097276508002402","volume":"30","author":[{"family":"Batchelor","given":"Eric"},{"family":"Mock","given":"Caroline S."},{"family":"Bhan","given":"Irun"},{"family":"Loewer","given":"Alexander"},{"family":"Lahav","given":"Galit"}],"issued":{"date-parts":[["2008",5,9]]}}},{"id":4013,"uris":["http://zotero.org/users/17607594/items/XP7QJWSI"],"itemData":{"id":4013,"type":"article-journal","abstract":"Neuroblastoma is a malignancy of the developing sympathetic nervous system that is often lethal when relapse occurs. We here used whole-exome sequencing, mRNA expression profiling, array CGH and DNA methylation analysis to characterize 16 paired samples at diagnosis and relapse from individuals with neuroblastoma. The mutational burden significantly increased in relapsing tumors, accompanied by altered mutational signatures and reduced subclonal heterogeneity. Global allele frequencies at relapse indicated clonal mutation selection during disease progression. Promoter methylation patterns were consistent over disease course and were patient specific. Recurrent alterations at relapse included mutations in the putative CHD5 neuroblastoma tumor suppressor, chromosome 9p losses, DOCK8 mutations, inactivating mutations in PTPN14 and a relapse-specific activity pattern for the PTPN14 target YAP. Recurrent new mutations in HRAS, KRAS and genes mediating cell-cell interaction in 13 of 16 relapse tumors indicate disturbances in signaling pathways mediating mesenchymal transition. Our data shed light on genetic alteration frequency, identity and evolution in neuroblastoma.","citation-key":"schrammMutationalDynamicsPrimary2015","container-title":"Nature Genetics","DOI":"10.1038/ng.3349","ISSN":"1546-1718","issue":"8","journalAbbreviation":"Nat Genet","language":"eng","license":"2015 Springer Nature America, Inc.","page":"872-877","PMID":"26121086","publisher":"Nature Publishing Group","source":"PubMed","title":"Mutational dynamics between primary and relapse neuroblastomas","URL":"https://www.nature.com/articles/ng.3349","volume":"47","author":[{"family":"Schramm","given":"Alexander"},{"family":"Köster","given":"Johannes"},{"family":"Assenov","given":"Yassen"},{"family":"Althoff","given":"Kristina"},{"family":"Peifer","given":"Martin"},{"family":"Mahlow","given":"Ellen"},{"family":"Odersky","given":"Andrea"},{"family":"Beisser","given":"Daniela"},{"family":"Ernst","given":"Corinna"},{"family":"Henssen","given":"Anton G."},{"family":"Stephan","given":"Harald"},{"family":"Schröder","given":"Christopher"},{"family":"Heukamp","given":"Lukas"},{"family":"Engesser","given":"Anne"},{"family":"Kahlert","given":"Yvonne"},{"family":"Theissen","given":"Jessica"},{"family":"Hero","given":"Barbara"},{"family":"Roels","given":"Frederik"},{"family":"Altmüller","given":"Janine"},{"family":"Nürnberg","given":"Peter"},{"family":"Astrahantseff","given":"Kathy"},{"family":"Gloeckner","given":"Christian"},{"family":"De Preter","given":"Katleen"},{"family":"Plass","given":"Christoph"},{"family":"Lee","given":"Sangkyun"},{"family":"Lode","given":"Holger N."},{"family":"Henrich","given":"Kai-Oliver"},{"family":"Gartlgruber","given":"Moritz"},{"family":"Speleman","given":"Frank"},{"family":"Schmezer","given":"Peter"},{"family":"Westermann","given":"Frank"},{"family":"Rahmann","given":"Sven"},{"family":"Fischer","given":"Matthias"},{"family":"Eggert","given":"Angelika"},{"family":"Schulte","given":"Johannes H."}],"issued":{"date-parts":[["2015",8]]}}}],"schema":"https://github.com/citation-style-language/schema/raw/master/csl-citation.json"} </w:instrText>
      </w:r>
      <w:r w:rsidR="00C87FAA">
        <w:fldChar w:fldCharType="separate"/>
      </w:r>
      <w:r w:rsidR="00155DA4" w:rsidRPr="00155DA4">
        <w:rPr>
          <w:vertAlign w:val="superscript"/>
        </w:rPr>
        <w:t>14–16</w:t>
      </w:r>
      <w:r w:rsidR="00C87FAA">
        <w:fldChar w:fldCharType="end"/>
      </w:r>
      <w:r>
        <w:t>.</w:t>
      </w:r>
    </w:p>
    <w:p w14:paraId="4C3B6516" w14:textId="77777777" w:rsidR="000E6E57" w:rsidRPr="000E6E57" w:rsidRDefault="00B23B7D" w:rsidP="004A4FCC">
      <w:pPr>
        <w:keepNext/>
        <w:spacing w:after="0" w:line="240" w:lineRule="auto"/>
        <w:jc w:val="center"/>
        <w:rPr>
          <w:b/>
          <w:bCs/>
          <w:sz w:val="20"/>
          <w:szCs w:val="20"/>
        </w:rPr>
      </w:pPr>
      <w:r>
        <w:rPr>
          <w:noProof/>
        </w:rPr>
        <w:lastRenderedPageBreak/>
        <w:drawing>
          <wp:inline distT="0" distB="0" distL="0" distR="0" wp14:anchorId="02245BED" wp14:editId="74E3B7EB">
            <wp:extent cx="5730240" cy="5910739"/>
            <wp:effectExtent l="0" t="0" r="3810" b="0"/>
            <wp:docPr id="1838855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855016"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30240" cy="5910739"/>
                    </a:xfrm>
                    <a:prstGeom prst="rect">
                      <a:avLst/>
                    </a:prstGeom>
                    <a:noFill/>
                    <a:ln>
                      <a:noFill/>
                    </a:ln>
                  </pic:spPr>
                </pic:pic>
              </a:graphicData>
            </a:graphic>
          </wp:inline>
        </w:drawing>
      </w:r>
    </w:p>
    <w:p w14:paraId="03F69F6D" w14:textId="0891E464" w:rsidR="00B23B7D" w:rsidRPr="00307EEA" w:rsidRDefault="000E6E57" w:rsidP="007923A4">
      <w:pPr>
        <w:pStyle w:val="FigureCaption"/>
        <w:rPr>
          <w:b/>
          <w:bCs/>
        </w:rPr>
      </w:pPr>
      <w:r w:rsidRPr="00307EEA">
        <w:rPr>
          <w:b/>
          <w:bCs/>
        </w:rPr>
        <w:t xml:space="preserve">Figure </w:t>
      </w:r>
      <w:r w:rsidRPr="00307EEA">
        <w:rPr>
          <w:b/>
          <w:bCs/>
        </w:rPr>
        <w:fldChar w:fldCharType="begin"/>
      </w:r>
      <w:r w:rsidRPr="00307EEA">
        <w:rPr>
          <w:b/>
          <w:bCs/>
        </w:rPr>
        <w:instrText xml:space="preserve"> SEQ Figure \* ARABIC </w:instrText>
      </w:r>
      <w:r w:rsidRPr="00307EEA">
        <w:rPr>
          <w:b/>
          <w:bCs/>
        </w:rPr>
        <w:fldChar w:fldCharType="separate"/>
      </w:r>
      <w:r w:rsidR="002E3C47" w:rsidRPr="00307EEA">
        <w:rPr>
          <w:b/>
          <w:bCs/>
          <w:noProof/>
        </w:rPr>
        <w:t>1</w:t>
      </w:r>
      <w:r w:rsidRPr="00307EEA">
        <w:rPr>
          <w:b/>
          <w:bCs/>
        </w:rPr>
        <w:fldChar w:fldCharType="end"/>
      </w:r>
      <w:r w:rsidRPr="00307EEA">
        <w:rPr>
          <w:b/>
          <w:bCs/>
        </w:rPr>
        <w:t>. Mechanistic structure of the HR-DDR ODE model.</w:t>
      </w:r>
    </w:p>
    <w:p w14:paraId="18B416FE" w14:textId="1A043E96" w:rsidR="00B23B7D" w:rsidRPr="000E6E57" w:rsidRDefault="00B23B7D" w:rsidP="007923A4">
      <w:pPr>
        <w:pStyle w:val="FigureCaption"/>
      </w:pPr>
      <w:r w:rsidRPr="000E6E57">
        <w:t>Carboplatin induces DNA DSBs at rate φ(t) = D</w:t>
      </w:r>
      <w:r w:rsidRPr="000E6E57">
        <w:rPr>
          <w:rFonts w:ascii="Cambria Math" w:hAnsi="Cambria Math" w:cs="Cambria Math"/>
        </w:rPr>
        <w:t>₀</w:t>
      </w:r>
      <w:r w:rsidRPr="000E6E57">
        <w:t>·e^(−t/τ), driving the damage state D(t). ATM/ATR kinases (A(t)) sense DSBs and activate CHK1/CHK2 effectors (C(t)), which simultaneously recruit the HR repair complex (R(t)) and drive apoptotic commitment (X(t)). Sustained checkpoint activity exhausts R(t) via BRCA1 hyperphosphorylation (k</w:t>
      </w:r>
      <w:r w:rsidRPr="000E6E57">
        <w:rPr>
          <w:vertAlign w:val="subscript"/>
        </w:rPr>
        <w:t>load</w:t>
      </w:r>
      <w:r w:rsidRPr="000E6E57">
        <w:t>·C·R), reducing repair capacity and releasing apoptotic suppression. The mitochondrial BCL2/BAX balance scales the decay rate of X(t), modulating apoptotic resistance. Patient-specific ODE parameters (</w:t>
      </w:r>
      <m:oMath>
        <m:sSub>
          <m:sSubPr>
            <m:ctrlPr>
              <w:rPr>
                <w:rFonts w:ascii="Cambria Math" w:hAnsi="Cambria Math"/>
                <w:bCs/>
                <w:lang w:val="en-IE"/>
              </w:rPr>
            </m:ctrlPr>
          </m:sSubPr>
          <m:e>
            <m:r>
              <w:rPr>
                <w:rFonts w:ascii="Cambria Math" w:hAnsi="Cambria Math"/>
                <w:lang w:val="en-IE"/>
              </w:rPr>
              <m:t>BRCA</m:t>
            </m:r>
          </m:e>
          <m:sub>
            <m:r>
              <w:rPr>
                <w:rFonts w:ascii="Cambria Math" w:hAnsi="Cambria Math"/>
                <w:lang w:val="en-IE"/>
              </w:rPr>
              <m:t>cap</m:t>
            </m:r>
          </m:sub>
        </m:sSub>
      </m:oMath>
      <w:r w:rsidRPr="000E6E57">
        <w:t xml:space="preserve">, </w:t>
      </w:r>
      <m:oMath>
        <m:sSub>
          <m:sSubPr>
            <m:ctrlPr>
              <w:rPr>
                <w:rFonts w:ascii="Cambria Math" w:hAnsi="Cambria Math"/>
                <w:bCs/>
                <w:lang w:val="en-IE"/>
              </w:rPr>
            </m:ctrlPr>
          </m:sSubPr>
          <m:e>
            <m:r>
              <w:rPr>
                <w:rFonts w:ascii="Cambria Math" w:hAnsi="Cambria Math"/>
                <w:lang w:val="en-IE"/>
              </w:rPr>
              <m:t>ATM</m:t>
            </m:r>
          </m:e>
          <m:sub>
            <m:r>
              <w:rPr>
                <w:rFonts w:ascii="Cambria Math" w:hAnsi="Cambria Math"/>
                <w:lang w:val="en-IE"/>
              </w:rPr>
              <m:t>tot</m:t>
            </m:r>
          </m:sub>
        </m:sSub>
      </m:oMath>
      <w:r w:rsidRPr="000E6E57">
        <w:t xml:space="preserve">, </w:t>
      </w:r>
      <m:oMath>
        <m:sSub>
          <m:sSubPr>
            <m:ctrlPr>
              <w:rPr>
                <w:rFonts w:ascii="Cambria Math" w:hAnsi="Cambria Math"/>
                <w:bCs/>
                <w:lang w:val="en-IE"/>
              </w:rPr>
            </m:ctrlPr>
          </m:sSubPr>
          <m:e>
            <m:r>
              <w:rPr>
                <w:rFonts w:ascii="Cambria Math" w:hAnsi="Cambria Math"/>
                <w:lang w:val="en-IE"/>
              </w:rPr>
              <m:t>CHK</m:t>
            </m:r>
          </m:e>
          <m:sub>
            <m:r>
              <w:rPr>
                <w:rFonts w:ascii="Cambria Math" w:hAnsi="Cambria Math"/>
                <w:lang w:val="en-IE"/>
              </w:rPr>
              <m:t>tot</m:t>
            </m:r>
          </m:sub>
        </m:sSub>
      </m:oMath>
      <w:r w:rsidRPr="000E6E57">
        <w:t>,</w:t>
      </w:r>
      <w:r w:rsidR="00E70A0F" w:rsidRPr="00E70A0F">
        <w:rPr>
          <w:rFonts w:ascii="Cambria Math" w:hAnsi="Cambria Math"/>
          <w:bCs/>
          <w:lang w:val="en-IE"/>
        </w:rPr>
        <w:t xml:space="preserve"> </w:t>
      </w:r>
      <m:oMath>
        <m:sSub>
          <m:sSubPr>
            <m:ctrlPr>
              <w:rPr>
                <w:rFonts w:ascii="Cambria Math" w:hAnsi="Cambria Math"/>
                <w:bCs/>
                <w:lang w:val="en-IE"/>
              </w:rPr>
            </m:ctrlPr>
          </m:sSubPr>
          <m:e>
            <m:r>
              <w:rPr>
                <w:rFonts w:ascii="Cambria Math" w:hAnsi="Cambria Math"/>
                <w:lang w:val="en-IE"/>
              </w:rPr>
              <m:t>BCL2</m:t>
            </m:r>
          </m:e>
          <m:sub>
            <m:r>
              <w:rPr>
                <w:rFonts w:ascii="Cambria Math" w:hAnsi="Cambria Math"/>
                <w:lang w:val="en-IE"/>
              </w:rPr>
              <m:t>ratio</m:t>
            </m:r>
          </m:sub>
        </m:sSub>
      </m:oMath>
      <w:r w:rsidRPr="000E6E57">
        <w:t>) are derived from pre-treatment RNA-seq expression of 14 pathway genes; global kinetic rate constants are informed from literature values. The primary model output,</w:t>
      </w:r>
      <w:r w:rsidR="00B93071">
        <w:t xml:space="preserve"> </w:t>
      </w:r>
      <m:oMath>
        <m:sSub>
          <m:sSubPr>
            <m:ctrlPr>
              <w:rPr>
                <w:rFonts w:ascii="Cambria Math" w:hAnsi="Cambria Math"/>
              </w:rPr>
            </m:ctrlPr>
          </m:sSubPr>
          <m:e>
            <m:r>
              <w:rPr>
                <w:rFonts w:ascii="Cambria Math" w:hAnsi="Cambria Math"/>
              </w:rPr>
              <m:t>AUC</m:t>
            </m:r>
          </m:e>
          <m:sub>
            <m:r>
              <w:rPr>
                <w:rFonts w:ascii="Cambria Math" w:hAnsi="Cambria Math"/>
              </w:rPr>
              <m:t>X</m:t>
            </m:r>
          </m:sub>
        </m:sSub>
        <m:r>
          <w:rPr>
            <w:rFonts w:ascii="Cambria Math" w:hAnsi="Cambria Math"/>
          </w:rPr>
          <m:t xml:space="preserve"> = ∫X(t) dt</m:t>
        </m:r>
      </m:oMath>
      <w:r w:rsidRPr="000E6E57">
        <w:t xml:space="preserve">, quantifies cumulative apoptotic commitment and is used as the survival predictor in all downstream Cox and </w:t>
      </w:r>
      <w:r w:rsidR="00307EEA">
        <w:t>KM</w:t>
      </w:r>
      <w:r w:rsidRPr="000E6E57">
        <w:t xml:space="preserve"> analyses. Solid arrows indicate activation; dashed bars (</w:t>
      </w:r>
      <w:r w:rsidRPr="000E6E57">
        <w:rPr>
          <w:rFonts w:ascii="Cambria Math" w:hAnsi="Cambria Math" w:cs="Cambria Math"/>
        </w:rPr>
        <w:t>⊣</w:t>
      </w:r>
      <w:r w:rsidRPr="000E6E57">
        <w:t>) indicate inhibition or suppression.</w:t>
      </w:r>
    </w:p>
    <w:p w14:paraId="4591CCF1" w14:textId="77777777" w:rsidR="000E6E57" w:rsidRPr="00B23B7D" w:rsidRDefault="000E6E57" w:rsidP="007923A4">
      <w:pPr>
        <w:pStyle w:val="FigureCaption"/>
      </w:pPr>
    </w:p>
    <w:p w14:paraId="14EE22F4" w14:textId="27274DC2" w:rsidR="00B23B7D" w:rsidRPr="00B23B7D" w:rsidRDefault="00B23B7D" w:rsidP="00B23B7D">
      <w:pPr>
        <w:pStyle w:val="Heading2"/>
      </w:pPr>
      <w:r w:rsidRPr="00B23B7D">
        <w:t>1.4 Aims</w:t>
      </w:r>
    </w:p>
    <w:p w14:paraId="0EBF9906" w14:textId="53E1D493" w:rsidR="00B23B7D" w:rsidRPr="00B23B7D" w:rsidRDefault="00B23B7D" w:rsidP="00B23B7D">
      <w:pPr>
        <w:rPr>
          <w:lang w:val="en-IE"/>
        </w:rPr>
      </w:pPr>
      <w:r w:rsidRPr="00B23B7D">
        <w:rPr>
          <w:lang w:val="en-IE"/>
        </w:rPr>
        <w:t xml:space="preserve">This project applies a mechanistic HR-DDR ODE model to </w:t>
      </w:r>
      <w:r w:rsidR="00173F98">
        <w:rPr>
          <w:lang w:val="en-IE"/>
        </w:rPr>
        <w:t xml:space="preserve">a </w:t>
      </w:r>
      <w:r w:rsidRPr="00B23B7D">
        <w:rPr>
          <w:lang w:val="en-IE"/>
        </w:rPr>
        <w:t>HGSOC cohort to address two questions:</w:t>
      </w:r>
    </w:p>
    <w:p w14:paraId="675E3F5D" w14:textId="4BF2B2CB" w:rsidR="00B23B7D" w:rsidRPr="00B23B7D" w:rsidRDefault="00B23B7D" w:rsidP="00307EEA">
      <w:pPr>
        <w:pStyle w:val="ListParagraph"/>
        <w:numPr>
          <w:ilvl w:val="0"/>
          <w:numId w:val="3"/>
        </w:numPr>
        <w:ind w:left="426" w:hanging="426"/>
        <w:rPr>
          <w:lang w:val="en-IE"/>
        </w:rPr>
      </w:pPr>
      <w:r w:rsidRPr="00B23B7D">
        <w:rPr>
          <w:b/>
          <w:bCs/>
          <w:lang w:val="en-IE"/>
        </w:rPr>
        <w:lastRenderedPageBreak/>
        <w:t>Can the ODE predict overall survival in HGSOC?</w:t>
      </w:r>
      <w:r w:rsidRPr="00B23B7D">
        <w:rPr>
          <w:lang w:val="en-IE"/>
        </w:rPr>
        <w:t> Patient-specific ODE parameters are derived from RNA-seq expression of 1</w:t>
      </w:r>
      <w:r>
        <w:rPr>
          <w:lang w:val="en-IE"/>
        </w:rPr>
        <w:t>4</w:t>
      </w:r>
      <w:r w:rsidRPr="00B23B7D">
        <w:rPr>
          <w:lang w:val="en-IE"/>
        </w:rPr>
        <w:t xml:space="preserve"> pathway genes, the model is integrated forward in time under a platinum damage perturbation, and the resulting apoptotic commitment score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w:r w:rsidRPr="00B23B7D">
        <w:rPr>
          <w:lang w:val="en-IE"/>
        </w:rPr>
        <w:t xml:space="preserve">) is tested for association with overall survival via Cox regression and Kaplan-Meier </w:t>
      </w:r>
      <w:r w:rsidR="00E949D8">
        <w:rPr>
          <w:lang w:val="en-IE"/>
        </w:rPr>
        <w:t xml:space="preserve">(KM) </w:t>
      </w:r>
      <w:r w:rsidRPr="00B23B7D">
        <w:rPr>
          <w:lang w:val="en-IE"/>
        </w:rPr>
        <w:t>stratification</w:t>
      </w:r>
      <w:r>
        <w:rPr>
          <w:lang w:val="en-IE"/>
        </w:rPr>
        <w:t>. This addresses question 1 of the assignment</w:t>
      </w:r>
      <w:r w:rsidRPr="00B23B7D">
        <w:rPr>
          <w:lang w:val="en-IE"/>
        </w:rPr>
        <w:t>.</w:t>
      </w:r>
    </w:p>
    <w:p w14:paraId="25B1B7DE" w14:textId="36600E4B" w:rsidR="00B23B7D" w:rsidRDefault="00B23B7D" w:rsidP="00307EEA">
      <w:pPr>
        <w:pStyle w:val="ListParagraph"/>
        <w:numPr>
          <w:ilvl w:val="0"/>
          <w:numId w:val="3"/>
        </w:numPr>
        <w:ind w:left="426" w:hanging="426"/>
        <w:rPr>
          <w:lang w:val="en-IE"/>
        </w:rPr>
      </w:pPr>
      <w:r w:rsidRPr="00B23B7D">
        <w:rPr>
          <w:b/>
          <w:bCs/>
          <w:lang w:val="en-IE"/>
        </w:rPr>
        <w:t>How does the ODE compare to data-trained ML models?</w:t>
      </w:r>
      <w:r w:rsidRPr="00B23B7D">
        <w:rPr>
          <w:lang w:val="en-IE"/>
        </w:rPr>
        <w:t> Cox</w:t>
      </w:r>
      <w:r w:rsidR="004C4DD6">
        <w:rPr>
          <w:lang w:val="en-IE"/>
        </w:rPr>
        <w:t xml:space="preserve"> </w:t>
      </w:r>
      <w:r w:rsidR="004C4DD6" w:rsidRPr="004C4DD6">
        <w:rPr>
          <w:lang w:val="en-IE"/>
        </w:rPr>
        <w:t>Least Absolute Shrinkage and Selection Operator</w:t>
      </w:r>
      <w:r w:rsidR="004C4DD6">
        <w:rPr>
          <w:lang w:val="en-IE"/>
        </w:rPr>
        <w:t xml:space="preserve"> (</w:t>
      </w:r>
      <w:r w:rsidRPr="00B23B7D">
        <w:rPr>
          <w:lang w:val="en-IE"/>
        </w:rPr>
        <w:t>LASSO</w:t>
      </w:r>
      <w:r w:rsidR="004C4DD6">
        <w:rPr>
          <w:lang w:val="en-IE"/>
        </w:rPr>
        <w:t>)</w:t>
      </w:r>
      <w:r w:rsidRPr="00B23B7D">
        <w:rPr>
          <w:lang w:val="en-IE"/>
        </w:rPr>
        <w:t xml:space="preserve"> and </w:t>
      </w:r>
      <w:r>
        <w:rPr>
          <w:lang w:val="en-IE"/>
        </w:rPr>
        <w:t>RSF</w:t>
      </w:r>
      <w:r w:rsidRPr="00B23B7D">
        <w:rPr>
          <w:lang w:val="en-IE"/>
        </w:rPr>
        <w:t xml:space="preserve"> models are benchmarked against the zero-shot ODE on the same 14-gene feature set (including TP53 as a negative control), using 5-fold cross-validated C-index and 1000-replicate bootstrap confidence intervals</w:t>
      </w:r>
      <w:r w:rsidR="00DD3A0C">
        <w:rPr>
          <w:lang w:val="en-IE"/>
        </w:rPr>
        <w:t xml:space="preserve"> (Cis)</w:t>
      </w:r>
      <w:r w:rsidRPr="00B23B7D">
        <w:rPr>
          <w:lang w:val="en-IE"/>
        </w:rPr>
        <w:t>.</w:t>
      </w:r>
      <w:r w:rsidR="00E84A39">
        <w:rPr>
          <w:lang w:val="en-IE"/>
        </w:rPr>
        <w:t xml:space="preserve"> This addresses question 5 of the assignment.</w:t>
      </w:r>
    </w:p>
    <w:p w14:paraId="56FB8505" w14:textId="77777777" w:rsidR="00B23B7D" w:rsidRDefault="00B23B7D">
      <w:pPr>
        <w:spacing w:after="160" w:line="259" w:lineRule="auto"/>
        <w:rPr>
          <w:lang w:val="en-IE"/>
        </w:rPr>
      </w:pPr>
      <w:r>
        <w:rPr>
          <w:lang w:val="en-IE"/>
        </w:rPr>
        <w:br w:type="page"/>
      </w:r>
    </w:p>
    <w:p w14:paraId="1B27B404" w14:textId="26FD8682" w:rsidR="00B23B7D" w:rsidRDefault="00B23B7D" w:rsidP="00B23B7D">
      <w:pPr>
        <w:pStyle w:val="Heading1"/>
      </w:pPr>
      <w:r w:rsidRPr="00B23B7D">
        <w:lastRenderedPageBreak/>
        <w:t>2. Methods</w:t>
      </w:r>
      <w:r w:rsidR="00F47FBC">
        <w:t xml:space="preserve"> and Code</w:t>
      </w:r>
    </w:p>
    <w:p w14:paraId="74F26CC2" w14:textId="27E59497" w:rsidR="00F47FBC" w:rsidRDefault="00F47FBC" w:rsidP="00F47FBC">
      <w:r w:rsidRPr="00150AFE">
        <w:t>The complete analysis pipeline is publicly available at</w:t>
      </w:r>
      <w:r>
        <w:t xml:space="preserve"> </w:t>
      </w:r>
      <w:hyperlink r:id="rId10" w:history="1">
        <w:r w:rsidRPr="002F0613">
          <w:rPr>
            <w:rStyle w:val="Hyperlink"/>
          </w:rPr>
          <w:t>https://github.com/gillespieza/hgsoc-tcga-ODE.git</w:t>
        </w:r>
      </w:hyperlink>
      <w:r>
        <w:t xml:space="preserve">. </w:t>
      </w:r>
      <w:r w:rsidRPr="00F47FBC">
        <w:t>The project is implemented entirely in Python (3.11.9)</w:t>
      </w:r>
      <w:r>
        <w:t xml:space="preserve">. </w:t>
      </w:r>
      <w:r w:rsidRPr="00F47FBC">
        <w:t xml:space="preserve">Core scientific computing relies on </w:t>
      </w:r>
      <w:r w:rsidRPr="00C23DE1">
        <w:rPr>
          <w:rStyle w:val="CodeChar"/>
        </w:rPr>
        <w:t>NumPy</w:t>
      </w:r>
      <w:r w:rsidR="005F73E3">
        <w:fldChar w:fldCharType="begin"/>
      </w:r>
      <w:r w:rsidR="005F73E3">
        <w:instrText xml:space="preserve"> ADDIN ZOTERO_ITEM CSL_CITATION {"citationID":"pc6xhbJi","properties":{"unsorted":false,"formattedCitation":"\\super 17\\nosupersub{}","plainCitation":"17","noteIndex":0},"citationItems":[{"id":4553,"uris":["http://zotero.org/users/17607594/items/XA5FMDET"],"itemData":{"id":4553,"type":"article-journal","abstract":"Array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analysis.","citation-key":"harrisArrayProgrammingNumPy2020","container-title":"Nature","DOI":"10.1038/s41586-020-2649-2","ISSN":"1476-4687","issue":"7825","journalAbbreviation":"Nature","language":"eng","license":"2020 The Author(s)","page":"357-362","PMID":"32939066","PMCID":"PMC7759461","publisher":"Nature Publishing Group","source":"PubMed","title":"Array programming with NumPy","URL":"https://www.nature.com/articles/s41586-020-2649-2","volume":"585","author":[{"family":"Harris","given":"Charles R."},{"family":"Millman","given":"K. Jarrod"},{"family":"Walt","given":"Stéfan J.","non-dropping-particle":"van der"},{"family":"Gommers","given":"Ralf"},{"family":"Virtanen","given":"Pauli"},{"family":"Cournapeau","given":"David"},{"family":"Wieser","given":"Eric"},{"family":"Taylor","given":"Julian"},{"family":"Berg","given":"Sebastian"},{"family":"Smith","given":"Nathaniel J."},{"family":"Kern","given":"Robert"},{"family":"Picus","given":"Matti"},{"family":"Hoyer","given":"Stephan"},{"family":"Kerkwijk","given":"Marten H.","non-dropping-particle":"van"},{"family":"Brett","given":"Matthew"},{"family":"Haldane","given":"Allan"},{"family":"Río","given":"Jaime Fernández","non-dropping-particle":"del"},{"family":"Wiebe","given":"Mark"},{"family":"Peterson","given":"Pearu"},{"family":"Gérard-Marchant","given":"Pierre"},{"family":"Sheppard","given":"Kevin"},{"family":"Reddy","given":"Tyler"},{"family":"Weckesser","given":"Warren"},{"family":"Abbasi","given":"Hameer"},{"family":"Gohlke","given":"Christoph"},{"family":"Oliphant","given":"Travis E."}],"accessed":{"date-parts":[["2026",6,30]]},"issued":{"date-parts":[["2020",9]]}}}],"schema":"https://github.com/citation-style-language/schema/raw/master/csl-citation.json"} </w:instrText>
      </w:r>
      <w:r w:rsidR="005F73E3">
        <w:fldChar w:fldCharType="separate"/>
      </w:r>
      <w:r w:rsidR="00155DA4" w:rsidRPr="00155DA4">
        <w:rPr>
          <w:vertAlign w:val="superscript"/>
        </w:rPr>
        <w:t>17</w:t>
      </w:r>
      <w:r w:rsidR="005F73E3">
        <w:fldChar w:fldCharType="end"/>
      </w:r>
      <w:r w:rsidRPr="00F47FBC">
        <w:t xml:space="preserve"> and </w:t>
      </w:r>
      <w:r w:rsidRPr="00C23DE1">
        <w:rPr>
          <w:rStyle w:val="CodeChar"/>
        </w:rPr>
        <w:t>pandas</w:t>
      </w:r>
      <w:r w:rsidR="005F73E3">
        <w:fldChar w:fldCharType="begin"/>
      </w:r>
      <w:r w:rsidR="005F73E3">
        <w:instrText xml:space="preserve"> ADDIN ZOTERO_ITEM CSL_CITATION {"citationID":"ZpclSOSG","properties":{"unsorted":false,"formattedCitation":"\\super 18\\nosupersub{}","plainCitation":"18","noteIndex":0},"citationItems":[{"id":4558,"uris":["http://zotero.org/users/17607594/items/YV9NHMIK"],"itemData":{"id":4558,"type":"article-journal","abstract":"In this paper we are concerned with the practical issues of working with data sets common to finance, statistics, and other related fields. pandas is a new library which aims to facilitate working with these data sets and to provide a set of fundamental building blocks for implementing statistical models.","citation-key":"mckinneyDataStructuresStatistical2010","container-title":"SciPy 2010","DOI":"10.25080/Majora-92bf1922-00a","language":"en","source":"proceedings.scipy.org","title":"Data structures for statistical computing in Python","URL":"https://proceedings.scipy.org/articles/Majora-92bf1922-00a","author":[{"family":"McKinney","given":"Wes"}],"accessed":{"date-parts":[["2026",6,30]]},"issued":{"date-parts":[["2010",5,1]]}}}],"schema":"https://github.com/citation-style-language/schema/raw/master/csl-citation.json"} </w:instrText>
      </w:r>
      <w:r w:rsidR="005F73E3">
        <w:fldChar w:fldCharType="separate"/>
      </w:r>
      <w:r w:rsidR="00155DA4" w:rsidRPr="00155DA4">
        <w:rPr>
          <w:vertAlign w:val="superscript"/>
        </w:rPr>
        <w:t>18</w:t>
      </w:r>
      <w:r w:rsidR="005F73E3">
        <w:fldChar w:fldCharType="end"/>
      </w:r>
      <w:r w:rsidRPr="00F47FBC">
        <w:t xml:space="preserve"> for data manipulation and numerical arrays, and SciPy's </w:t>
      </w:r>
      <w:r w:rsidRPr="00C23DE1">
        <w:rPr>
          <w:rStyle w:val="CodeChar"/>
        </w:rPr>
        <w:t>solve_ivp</w:t>
      </w:r>
      <w:r w:rsidRPr="00F47FBC">
        <w:t xml:space="preserve"> (LSODA method) for integrating the five-variable HR-DDR ODE system</w:t>
      </w:r>
      <w:r w:rsidR="005F73E3">
        <w:fldChar w:fldCharType="begin"/>
      </w:r>
      <w:r w:rsidR="005F73E3">
        <w:instrText xml:space="preserve"> ADDIN ZOTERO_ITEM CSL_CITATION {"citationID":"Ka34sFQO","properties":{"unsorted":false,"formattedCitation":"\\super 19\\nosupersub{}","plainCitation":"19","noteIndex":0},"citationItems":[{"id":4561,"uris":["http://zotero.org/users/17607594/items/XABFJFGI"],"itemData":{"id":4561,"type":"article-journal","abstract":"SciPy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developments.","citation-key":"virtanenSciPy10Fundamental2020","container-title":"Nature Methods","DOI":"10.1038/s41592-019-0686-2","ISSN":"1548-7105","issue":"3","journalAbbreviation":"Nat Methods","language":"eng","page":"261-272","PMID":"32015543","PMCID":"PMC7056644","publisher":"Nature Publishing Group","source":"PubMed","title":"SciPy 1.0: fundamental algorithms for scientific computing in Python","title-short":"SciPy 1.0","URL":"https://www.nature.com/articles/s41592-019-0686-2","volume":"17","author":[{"family":"Virtanen","given":"Pauli"},{"family":"Gommers","given":"Ralf"},{"family":"Oliphant","given":"Travis E."},{"family":"Haberland","given":"Matt"},{"family":"Reddy","given":"Tyler"},{"family":"Cournapeau","given":"David"},{"family":"Burovski","given":"Evgeni"},{"family":"Peterson","given":"Pearu"},{"family":"Weckesser","given":"Warren"},{"family":"Bright","given":"Jonathan"},{"family":"Walt","given":"Stéfan J.","non-dropping-particle":"van der"},{"family":"Brett","given":"Matthew"},{"family":"Wilson","given":"Joshua"},{"family":"Millman","given":"K. Jarrod"},{"family":"Mayorov","given":"Nikolay"},{"family":"Nelson","given":"Andrew R. J."},{"family":"Jones","given":"Eric"},{"family":"Kern","given":"Robert"},{"family":"Larson","given":"Eric"},{"family":"Carey","given":"C. J."},{"family":"Polat","given":"İlhan"},{"family":"Feng","given":"Yu"},{"family":"Moore","given":"Eric W."},{"family":"VanderPlas","given":"Jake"},{"family":"Laxalde","given":"Denis"},{"family":"Perktold","given":"Josef"},{"family":"Cimrman","given":"Robert"},{"family":"Henriksen","given":"Ian"},{"family":"Quintero","given":"E. A."},{"family":"Harris","given":"Charles R."},{"family":"Archibald","given":"Anne M."},{"family":"Ribeiro","given":"Antônio H."},{"family":"Pedregosa","given":"Fabian"},{"family":"Mulbregt","given":"Paul","non-dropping-particle":"van"},{"literal":"SciPy 1.0 Contributors"}],"issued":{"date-parts":[["2020",3]]}}}],"schema":"https://github.com/citation-style-language/schema/raw/master/csl-citation.json"} </w:instrText>
      </w:r>
      <w:r w:rsidR="005F73E3">
        <w:fldChar w:fldCharType="separate"/>
      </w:r>
      <w:r w:rsidR="00155DA4" w:rsidRPr="00155DA4">
        <w:rPr>
          <w:vertAlign w:val="superscript"/>
        </w:rPr>
        <w:t>19</w:t>
      </w:r>
      <w:r w:rsidR="005F73E3">
        <w:fldChar w:fldCharType="end"/>
      </w:r>
      <w:r w:rsidRPr="00F47FBC">
        <w:t xml:space="preserve">. Gene identifier mapping uses </w:t>
      </w:r>
      <w:r w:rsidRPr="00C23DE1">
        <w:rPr>
          <w:rStyle w:val="CodeChar"/>
        </w:rPr>
        <w:t>mygene</w:t>
      </w:r>
      <w:r w:rsidRPr="00F47FBC">
        <w:t xml:space="preserve"> to resolve gene symbols to Entrez IDs for RNA-seq alignment</w:t>
      </w:r>
      <w:r w:rsidR="005B2CFF">
        <w:fldChar w:fldCharType="begin"/>
      </w:r>
      <w:r w:rsidR="005B2CFF">
        <w:instrText xml:space="preserve"> ADDIN ZOTERO_ITEM CSL_CITATION {"citationID":"ttNnKeAW","properties":{"unsorted":false,"formattedCitation":"\\super 20\\nosupersub{}","plainCitation":"20","noteIndex":0},"citationItems":[{"id":4566,"uris":["http://zotero.org/users/17607594/items/RKNWW94U"],"itemData":{"id":4566,"type":"article-journal","abstract":"Efficient tools for data management and integration are essential for many aspects of high-throughput biology. In particular, annotations of genes and human genetic variants are commonly used but highly fragmented across many resources. Here, we describe MyGene.info and MyVariant.info, high-performance web services for querying gene and variant annotation information. These web services are currently accessed more than three million times permonth. They also demonstrate a generalizable cloud-based model for organizing and querying biological annotation information. MyGene.info and MyVariant.info are provided as high-performance web services, accessible at http://mygene.info and http://myvariant.info . Both are offered free of charge to the research community.","citation-key":"xinHighperformanceWebServices2016","container-title":"Genome Biology","DOI":"10.1186/s13059-016-0953-9","ISSN":"1474-760X","issue":"1","journalAbbreviation":"Genome Biol","language":"eng","page":"91","PMID":"27154141","PMCID":"PMC4858870","source":"PubMed","title":"High-performance web services for querying gene and variant annotation","URL":"https://doi.org/10.1186/s13059-016-0953-9","volume":"17","author":[{"family":"Xin","given":"Jiwen"},{"family":"Mark","given":"Adam"},{"family":"Afrasiabi","given":"Cyrus"},{"family":"Tsueng","given":"Ginger"},{"family":"Juchler","given":"Moritz"},{"family":"Gopal","given":"Nikhil"},{"family":"Stupp","given":"Gregory S."},{"family":"Putman","given":"Timothy E."},{"family":"Ainscough","given":"Benjamin J."},{"family":"Griffith","given":"Obi L."},{"family":"Torkamani","given":"Ali"},{"family":"Whetzel","given":"Patricia L."},{"family":"Mungall","given":"Christopher J."},{"family":"Mooney","given":"Sean D."},{"family":"Su","given":"Andrew I."},{"family":"Wu","given":"Chunlei"}],"issued":{"date-parts":[["2016",5,6]]}}}],"schema":"https://github.com/citation-style-language/schema/raw/master/csl-citation.json"} </w:instrText>
      </w:r>
      <w:r w:rsidR="005B2CFF">
        <w:fldChar w:fldCharType="separate"/>
      </w:r>
      <w:r w:rsidR="00155DA4" w:rsidRPr="00155DA4">
        <w:rPr>
          <w:vertAlign w:val="superscript"/>
        </w:rPr>
        <w:t>20</w:t>
      </w:r>
      <w:r w:rsidR="005B2CFF">
        <w:fldChar w:fldCharType="end"/>
      </w:r>
      <w:r w:rsidRPr="00F47FBC">
        <w:t xml:space="preserve">. Survival analysis is handled by </w:t>
      </w:r>
      <w:r w:rsidRPr="005B2CFF">
        <w:rPr>
          <w:rStyle w:val="CodeChar"/>
        </w:rPr>
        <w:t>lifelines</w:t>
      </w:r>
      <w:r w:rsidR="00A81BDC" w:rsidRPr="00A81BDC">
        <w:rPr>
          <w:rStyle w:val="CodeChar"/>
          <w:rFonts w:ascii="Open Sans" w:hAnsi="Open Sans"/>
        </w:rPr>
        <w:fldChar w:fldCharType="begin"/>
      </w:r>
      <w:r w:rsidR="00A81BDC" w:rsidRPr="00A81BDC">
        <w:rPr>
          <w:rStyle w:val="CodeChar"/>
          <w:rFonts w:ascii="Open Sans" w:hAnsi="Open Sans"/>
        </w:rPr>
        <w:instrText xml:space="preserve"> ADDIN ZOTERO_ITEM CSL_CITATION {"citationID":"LvRI41N7","properties":{"unsorted":false,"formattedCitation":"\\super 21\\nosupersub{}","plainCitation":"21","noteIndex":0},"citationItems":[{"id":4576,"uris":["http://zotero.org/users/17607594/items/PC6V4FU6"],"itemData":{"id":4576,"type":"article-journal","abstract":"Davidson-Pilon, (2019). lifelines: survival analysis in Python. Journal of Open Source Software, 4(40), 1317, https://doi.org/10.21105/joss.01317","citation-key":"davidson-pilonLifelinesSurvivalAnalysis2019","container-title":"Journal of Open Source Software","DOI":"10.21105/joss.01317","ISSN":"2475-9066","issue":"40","language":"en","page":"1317","source":"joss.theoj.org","title":"lifelines: survival analysis in Python","title-short":"lifelines","URL":"https://joss.theoj.org/papers/10.21105/joss.01317","volume":"4","author":[{"family":"Davidson-Pilon","given":"Cameron"}],"accessed":{"date-parts":[["2026",6,30]]},"issued":{"date-parts":[["2019",8,4]]}}}],"schema":"https://github.com/citation-style-language/schema/raw/master/csl-citation.json"} </w:instrText>
      </w:r>
      <w:r w:rsidR="00A81BDC" w:rsidRPr="00A81BDC">
        <w:rPr>
          <w:rStyle w:val="CodeChar"/>
          <w:rFonts w:ascii="Open Sans" w:hAnsi="Open Sans"/>
        </w:rPr>
        <w:fldChar w:fldCharType="separate"/>
      </w:r>
      <w:r w:rsidR="00155DA4" w:rsidRPr="00155DA4">
        <w:rPr>
          <w:vertAlign w:val="superscript"/>
        </w:rPr>
        <w:t>21</w:t>
      </w:r>
      <w:r w:rsidR="00A81BDC" w:rsidRPr="00A81BDC">
        <w:rPr>
          <w:rStyle w:val="CodeChar"/>
          <w:rFonts w:ascii="Open Sans" w:hAnsi="Open Sans"/>
        </w:rPr>
        <w:fldChar w:fldCharType="end"/>
      </w:r>
      <w:r w:rsidRPr="00F47FBC">
        <w:t xml:space="preserve"> (</w:t>
      </w:r>
      <w:r w:rsidR="00E949D8">
        <w:t>KM</w:t>
      </w:r>
      <w:r w:rsidRPr="00F47FBC">
        <w:t xml:space="preserve"> estimation, log-rank testing, Cox</w:t>
      </w:r>
      <w:r w:rsidR="00057F3B">
        <w:t xml:space="preserve">PH </w:t>
      </w:r>
      <w:r w:rsidRPr="00F47FBC">
        <w:t xml:space="preserve">modelling) and </w:t>
      </w:r>
      <w:r w:rsidRPr="00A81BDC">
        <w:rPr>
          <w:rStyle w:val="CodeChar"/>
        </w:rPr>
        <w:t>scikit-survival</w:t>
      </w:r>
      <w:r w:rsidR="00A81BDC">
        <w:fldChar w:fldCharType="begin"/>
      </w:r>
      <w:r w:rsidR="00A81BDC">
        <w:instrText xml:space="preserve"> ADDIN ZOTERO_ITEM CSL_CITATION {"citationID":"2GLlMmki","properties":{"unsorted":false,"formattedCitation":"\\super 22\\nosupersub{}","plainCitation":"22","noteIndex":0},"citationItems":[{"id":4579,"uris":["http://zotero.org/users/17607594/items/3F76IWJ9"],"itemData":{"id":4579,"type":"article-journal","abstract":"scikit-survival is an open-source Python package for time-to-event analysis fully compatible with scikit-learn. It provides implementations of many popular machine learning techniques for time-to-event analysis, including penalized Cox model, Random Survival Forest, and Survival Support Vector Machine. In addition, the library includes tools to evaluate model performance on censored time-to-event data. The documentation contains installation instructions, interactive notebooks, and a full description of the API. scikit-survival is distributed under the GPL-3 license with the source code and detailed instructions available at https://github.com/sebp/scikit-survival","citation-key":"polsterlScikitsurvivalLibraryTimetoEvent2020","container-title":"Journal of Machine Learning Research","ISSN":"1533-7928","issue":"212","page":"1-6","source":"jmlr.org","title":"scikit-survival: a library for time-to-event analysis built on top of scikit-learn","title-short":"scikit-survival","URL":"http://jmlr.org/papers/v21/20-729.html","volume":"21","author":[{"family":"Pölsterl","given":"Sebastian"}],"accessed":{"date-parts":[["2026",6,30]]},"issued":{"date-parts":[["2020"]]}}}],"schema":"https://github.com/citation-style-language/schema/raw/master/csl-citation.json"} </w:instrText>
      </w:r>
      <w:r w:rsidR="00A81BDC">
        <w:fldChar w:fldCharType="separate"/>
      </w:r>
      <w:r w:rsidR="00155DA4" w:rsidRPr="00155DA4">
        <w:rPr>
          <w:vertAlign w:val="superscript"/>
        </w:rPr>
        <w:t>22</w:t>
      </w:r>
      <w:r w:rsidR="00A81BDC">
        <w:fldChar w:fldCharType="end"/>
      </w:r>
      <w:r w:rsidR="00A81BDC">
        <w:t xml:space="preserve"> </w:t>
      </w:r>
      <w:r w:rsidRPr="00F47FBC">
        <w:t xml:space="preserve">(Cox LASSO via CoxnetSurvivalAnalysis, </w:t>
      </w:r>
      <w:r w:rsidR="005E0469">
        <w:t>RSFs</w:t>
      </w:r>
      <w:r w:rsidRPr="00F47FBC">
        <w:t xml:space="preserve">, concordance-index computation), while </w:t>
      </w:r>
      <w:r w:rsidRPr="00A81BDC">
        <w:rPr>
          <w:rStyle w:val="CodeChar"/>
        </w:rPr>
        <w:t>scikit-learn</w:t>
      </w:r>
      <w:r w:rsidR="00A81BDC">
        <w:fldChar w:fldCharType="begin"/>
      </w:r>
      <w:r w:rsidR="0090128C">
        <w:instrText xml:space="preserve"> ADDIN ZOTERO_ITEM CSL_CITATION {"citationID":"cqRPTw10","properties":{"unsorted":false,"formattedCitation":"\\super 23\\nosupersub{}","plainCitation":"23","noteIndex":0},"citationItems":[{"id":4582,"uris":["http://zotero.org/users/17607594/items/Z4MKLC5K"],"itemData":{"id":4582,"type":"article-journal","abstract":"Scikit-learn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http://scikit-learn.sourceforge.net.","citation-key":"pedregosaScikitlearnMachineLearning2011","container-title":"Journal of Machine Learning Research","ISSN":"1533-7928","issue":"85","page":"2825-2830","source":"jmlr.csail.mit.edu","title":"Scikit-learn: machine learning in Python","title-short":"Scikit-learn","URL":"http://jmlr.org/papers/v12/pedregosa11a.html","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accessed":{"date-parts":[["2026",6,30]]},"issued":{"date-parts":[["2011"]]}}}],"schema":"https://github.com/citation-style-language/schema/raw/master/csl-citation.json"} </w:instrText>
      </w:r>
      <w:r w:rsidR="00A81BDC">
        <w:fldChar w:fldCharType="separate"/>
      </w:r>
      <w:r w:rsidR="00155DA4" w:rsidRPr="00155DA4">
        <w:rPr>
          <w:vertAlign w:val="superscript"/>
        </w:rPr>
        <w:t>23</w:t>
      </w:r>
      <w:r w:rsidR="00A81BDC">
        <w:fldChar w:fldCharType="end"/>
      </w:r>
      <w:r w:rsidR="00A81BDC">
        <w:t xml:space="preserve"> </w:t>
      </w:r>
      <w:r w:rsidRPr="00F47FBC">
        <w:t xml:space="preserve">provides cross-validation utilities, preprocessing (StandardScaler), and pipeline construction shared across the ML benchmarking arm. Visualisation is produced with </w:t>
      </w:r>
      <w:r w:rsidRPr="00A81BDC">
        <w:rPr>
          <w:rStyle w:val="CodeChar"/>
        </w:rPr>
        <w:t>matplotlib</w:t>
      </w:r>
      <w:r w:rsidR="00A81BDC">
        <w:fldChar w:fldCharType="begin"/>
      </w:r>
      <w:r w:rsidR="0090128C">
        <w:instrText xml:space="preserve"> ADDIN ZOTERO_ITEM CSL_CITATION {"citationID":"wTWKAPay","properties":{"unsorted":false,"formattedCitation":"\\super 24\\nosupersub{}","plainCitation":"24","noteIndex":0},"citationItems":[{"id":4585,"uris":["http://zotero.org/users/17607594/items/WZVB8K9Q"],"itemData":{"id":4585,"type":"article-journal","abstract":"Matplotlib is a 2D graphics package used for Python for application development, interactive scripting,and publication-quality image generation across user interfaces and operating systems","citation-key":"hunterMatplotlib2DGraphics2007","container-title":"Computing in Science &amp; Engineering","DOI":"10.1109/MCSE.2007.55","ISSN":"1558-366X","issue":"3","page":"90-95","source":"IEEE Xplore","title":"Matplotlib: a 2D graphics environment","title-short":"Matplotlib","URL":"https://ieeexplore.ieee.org/document/4160265","volume":"9","author":[{"family":"Hunter","given":"John D."}],"accessed":{"date-parts":[["2026",6,30]]},"issued":{"date-parts":[["2007",5]]}}}],"schema":"https://github.com/citation-style-language/schema/raw/master/csl-citation.json"} </w:instrText>
      </w:r>
      <w:r w:rsidR="00A81BDC">
        <w:fldChar w:fldCharType="separate"/>
      </w:r>
      <w:r w:rsidR="00155DA4" w:rsidRPr="00155DA4">
        <w:rPr>
          <w:vertAlign w:val="superscript"/>
        </w:rPr>
        <w:t>24</w:t>
      </w:r>
      <w:r w:rsidR="00A81BDC">
        <w:fldChar w:fldCharType="end"/>
      </w:r>
      <w:r w:rsidR="00A81BDC">
        <w:t xml:space="preserve"> </w:t>
      </w:r>
      <w:r w:rsidRPr="00F47FBC">
        <w:t xml:space="preserve">using the non-interactive Agg backend for headless, reproducible figure generation. Supporting utilities include </w:t>
      </w:r>
      <w:r w:rsidRPr="00EF3932">
        <w:rPr>
          <w:rStyle w:val="CodeChar"/>
        </w:rPr>
        <w:t>tqdm</w:t>
      </w:r>
      <w:r w:rsidRPr="00F47FBC">
        <w:t xml:space="preserve"> for progress reporting during bootstrap and cross-validation loops and </w:t>
      </w:r>
      <w:r w:rsidRPr="00EF3932">
        <w:rPr>
          <w:rStyle w:val="CodeChar"/>
        </w:rPr>
        <w:t>colorama</w:t>
      </w:r>
      <w:r w:rsidRPr="00F47FBC">
        <w:t xml:space="preserve"> for readable console logging on Windows. All diagnostic output is routed through Python's built-in logging module rather than print statements, ensuring a complete, timestamped audit trail (pipeline.log) of every pipeline run.</w:t>
      </w:r>
    </w:p>
    <w:p w14:paraId="5475D70C" w14:textId="67B2DF05" w:rsidR="00D86530" w:rsidRDefault="00D86530" w:rsidP="00D86530">
      <w:pPr>
        <w:pStyle w:val="Heading2"/>
      </w:pPr>
      <w:r>
        <w:t>2.1 Dataset</w:t>
      </w:r>
      <w:r w:rsidR="00A1524C">
        <w:t xml:space="preserve">, </w:t>
      </w:r>
      <w:r>
        <w:t>cohort</w:t>
      </w:r>
      <w:r w:rsidR="00A1524C">
        <w:t xml:space="preserve"> assembly and attrition</w:t>
      </w:r>
    </w:p>
    <w:p w14:paraId="4FF56CD6" w14:textId="50CC2D09" w:rsidR="00D86530" w:rsidRDefault="00D86530" w:rsidP="00D86530">
      <w:r w:rsidRPr="00D86530">
        <w:t xml:space="preserve">Clinical, RNA-seq expression, and mutation data were obtained from </w:t>
      </w:r>
      <w:r w:rsidR="00696CD2">
        <w:t>The Cancer Genome Atlas (</w:t>
      </w:r>
      <w:r w:rsidRPr="00D86530">
        <w:t>TCGA</w:t>
      </w:r>
      <w:r w:rsidR="00696CD2">
        <w:t>)</w:t>
      </w:r>
      <w:r w:rsidRPr="00D86530">
        <w:t xml:space="preserve"> HGSOC dataset (</w:t>
      </w:r>
      <w:r w:rsidRPr="00D86530">
        <w:rPr>
          <w:rStyle w:val="CodeChar"/>
        </w:rPr>
        <w:t>hgsoc_tcga_gdc</w:t>
      </w:r>
      <w:r w:rsidRPr="00D86530">
        <w:t>) via cBioPortal (</w:t>
      </w:r>
      <w:hyperlink r:id="rId11" w:history="1">
        <w:r w:rsidRPr="00D86530">
          <w:rPr>
            <w:rStyle w:val="Hyperlink"/>
          </w:rPr>
          <w:t>https://www.cbioportal.org</w:t>
        </w:r>
      </w:hyperlink>
      <w:r w:rsidRPr="00D86530">
        <w:t>). The initial clinical table contained 60</w:t>
      </w:r>
      <w:r>
        <w:t>8</w:t>
      </w:r>
      <w:r w:rsidRPr="00D86530">
        <w:t xml:space="preserve"> patients. Patients</w:t>
      </w:r>
      <w:r w:rsidR="00A1524C">
        <w:t xml:space="preserve"> </w:t>
      </w:r>
      <w:r w:rsidRPr="00D86530">
        <w:t>were excluded if overall survival time (</w:t>
      </w:r>
      <w:r w:rsidRPr="00D86530">
        <w:rPr>
          <w:rStyle w:val="CodeChar"/>
        </w:rPr>
        <w:t>OS_MONTHS</w:t>
      </w:r>
      <w:r w:rsidRPr="00D86530">
        <w:t>) was missing or ≤ 0, or if overall survival status (</w:t>
      </w:r>
      <w:r w:rsidRPr="00D86530">
        <w:rPr>
          <w:rStyle w:val="CodeChar"/>
        </w:rPr>
        <w:t>OS_STATUS</w:t>
      </w:r>
      <w:r w:rsidRPr="00D86530">
        <w:t xml:space="preserve">) could not be mapped to a binary event indicator (0: living/censored; 1: deceased). Duplicate </w:t>
      </w:r>
      <w:r w:rsidRPr="00D86530">
        <w:rPr>
          <w:rStyle w:val="CodeChar"/>
        </w:rPr>
        <w:t>PATIENT_IDs</w:t>
      </w:r>
      <w:r w:rsidRPr="00D86530">
        <w:t xml:space="preserve"> were resolved by retaining the first occurrence. </w:t>
      </w:r>
    </w:p>
    <w:p w14:paraId="401B69A5" w14:textId="515BF9A5" w:rsidR="000B0D93" w:rsidRDefault="000B0D93" w:rsidP="000B0D93">
      <w:r w:rsidRPr="000B0D93">
        <w:rPr>
          <w:lang w:val="en-IE"/>
        </w:rPr>
        <w:t xml:space="preserve">RNA-seq expression profiles were downloaded as </w:t>
      </w:r>
      <w:r w:rsidR="00CF23B3" w:rsidRPr="00E06C86">
        <w:rPr>
          <w:lang w:val="en-IE"/>
        </w:rPr>
        <w:t>Fragments Per Kilobase of transcript per Million mapped reads</w:t>
      </w:r>
      <w:r w:rsidR="00CF23B3" w:rsidRPr="000B0D93">
        <w:rPr>
          <w:lang w:val="en-IE"/>
        </w:rPr>
        <w:t xml:space="preserve"> </w:t>
      </w:r>
      <w:r w:rsidR="00CF23B3">
        <w:rPr>
          <w:lang w:val="en-IE"/>
        </w:rPr>
        <w:t>(</w:t>
      </w:r>
      <w:r w:rsidRPr="000B0D93">
        <w:rPr>
          <w:lang w:val="en-IE"/>
        </w:rPr>
        <w:t>FPKM</w:t>
      </w:r>
      <w:r w:rsidR="00CF23B3">
        <w:rPr>
          <w:lang w:val="en-IE"/>
        </w:rPr>
        <w:t>)</w:t>
      </w:r>
      <w:r w:rsidRPr="000B0D93">
        <w:rPr>
          <w:lang w:val="en-IE"/>
        </w:rPr>
        <w:t xml:space="preserve"> values. Fourteen genes were selected </w:t>
      </w:r>
      <w:r w:rsidRPr="000B0D93">
        <w:rPr>
          <w:i/>
          <w:iCs/>
          <w:lang w:val="en-IE"/>
        </w:rPr>
        <w:t>a priori</w:t>
      </w:r>
      <w:r w:rsidRPr="000B0D93">
        <w:rPr>
          <w:lang w:val="en-IE"/>
        </w:rPr>
        <w:t xml:space="preserve"> based on their roles in the HR-DDR pathway: BRCA1, BRCA2, RAD51, PALB2, BRIP1 (</w:t>
      </w:r>
      <w:r w:rsidR="00974F82">
        <w:rPr>
          <w:lang w:val="en-IE"/>
        </w:rPr>
        <w:t>HR</w:t>
      </w:r>
      <w:r w:rsidRPr="000B0D93">
        <w:rPr>
          <w:lang w:val="en-IE"/>
        </w:rPr>
        <w:t xml:space="preserve"> repair); ATM, ATR (DNA damage sensing); CHK1, CHK2 (checkpoint effectors); BCL2, BCL2L1, </w:t>
      </w:r>
      <w:r w:rsidRPr="000B0D93">
        <w:rPr>
          <w:lang w:val="en-IE"/>
        </w:rPr>
        <w:lastRenderedPageBreak/>
        <w:t xml:space="preserve">BAX, BAD (apoptotic threshold); and TP53 (included as a negative control). Entrez Gene IDs were mapped from gene symbols using the MyGeneInfo API (mygene ≥ 3.2.0). FPKM values were </w:t>
      </w:r>
      <m:oMath>
        <m:sSub>
          <m:sSubPr>
            <m:ctrlPr>
              <w:rPr>
                <w:rFonts w:ascii="Cambria Math" w:hAnsi="Cambria Math"/>
                <w:lang w:val="en-IE"/>
              </w:rPr>
            </m:ctrlPr>
          </m:sSubPr>
          <m:e>
            <m:r>
              <w:rPr>
                <w:rFonts w:ascii="Cambria Math" w:hAnsi="Cambria Math"/>
                <w:lang w:val="en-IE"/>
              </w:rPr>
              <m:t>log</m:t>
            </m:r>
          </m:e>
          <m:sub>
            <m:r>
              <w:rPr>
                <w:rFonts w:ascii="Cambria Math" w:hAnsi="Cambria Math"/>
                <w:lang w:val="en-IE"/>
              </w:rPr>
              <m:t>2</m:t>
            </m:r>
          </m:sub>
        </m:sSub>
        <m:r>
          <m:rPr>
            <m:sty m:val="p"/>
          </m:rPr>
          <w:rPr>
            <w:rFonts w:ascii="Cambria Math" w:hAnsi="Cambria Math"/>
            <w:lang w:val="en-IE"/>
          </w:rPr>
          <m:t>(FPKM+1)</m:t>
        </m:r>
        <m:r>
          <m:rPr>
            <m:sty m:val="p"/>
          </m:rPr>
          <w:rPr>
            <w:rFonts w:ascii="Cambria Math" w:hAnsi="Cambria Math"/>
            <w:lang w:val="en-IE"/>
          </w:rPr>
          <m:t xml:space="preserve"> </m:t>
        </m:r>
      </m:oMath>
      <w:r w:rsidRPr="000B0D93">
        <w:rPr>
          <w:lang w:val="en-IE"/>
        </w:rPr>
        <w:t xml:space="preserve"> transformed to reduce right-skew and stabilise variance. TCGA sample barcodes were truncated to 12-character patient IDs. Patients with &gt; 20% missing expression values across the 14 genes were excluded. Where a patient had multiple samples, the sample with the fewest missing values was retained.</w:t>
      </w:r>
      <w:r>
        <w:rPr>
          <w:lang w:val="en-IE"/>
        </w:rPr>
        <w:t xml:space="preserve"> </w:t>
      </w:r>
      <w:r w:rsidR="00623025">
        <w:t>C</w:t>
      </w:r>
      <w:r w:rsidRPr="00A1524C">
        <w:t xml:space="preserve">linical records with no matching RNA-seq profile in the FPKM expression file </w:t>
      </w:r>
      <w:r>
        <w:t>were removed</w:t>
      </w:r>
      <w:r w:rsidRPr="00D86530">
        <w:t>.</w:t>
      </w:r>
    </w:p>
    <w:p w14:paraId="37FD15E9" w14:textId="36CB675C" w:rsidR="000B0D93" w:rsidRDefault="000B0D93" w:rsidP="000B0D93">
      <w:pPr>
        <w:rPr>
          <w:lang w:val="en-IE"/>
        </w:rPr>
      </w:pPr>
      <w:r w:rsidRPr="000B0D93">
        <w:rPr>
          <w:lang w:val="en-IE"/>
        </w:rPr>
        <w:t xml:space="preserve">BRCA1/2 mutation status was derived from the </w:t>
      </w:r>
      <w:r w:rsidR="008C2B34">
        <w:rPr>
          <w:lang w:val="en-IE"/>
        </w:rPr>
        <w:t>mutation annotation format (</w:t>
      </w:r>
      <w:r w:rsidRPr="000B0D93">
        <w:rPr>
          <w:lang w:val="en-IE"/>
        </w:rPr>
        <w:t>MAF</w:t>
      </w:r>
      <w:r w:rsidR="008C2B34">
        <w:rPr>
          <w:lang w:val="en-IE"/>
        </w:rPr>
        <w:t xml:space="preserve">) </w:t>
      </w:r>
      <w:r w:rsidRPr="000B0D93">
        <w:rPr>
          <w:lang w:val="en-IE"/>
        </w:rPr>
        <w:t xml:space="preserve">file. Any patient with at least one recorded mutation in BRCA1 or BRCA2 was flagged BRCA_MUTANT = 1; all others were flagged 0. All detected mutations were germline. </w:t>
      </w:r>
    </w:p>
    <w:p w14:paraId="3F813C90" w14:textId="53FEE24B" w:rsidR="000B0D93" w:rsidRPr="000B0D93" w:rsidRDefault="000B0D93" w:rsidP="000B0D93">
      <w:pPr>
        <w:rPr>
          <w:lang w:val="en-IE"/>
        </w:rPr>
      </w:pPr>
      <w:r w:rsidRPr="000B0D93">
        <w:rPr>
          <w:lang w:val="en-IE"/>
        </w:rPr>
        <w:t xml:space="preserve">The final merged cohort, produced by inner-joining the clinical and expression tables on PATIENT_ID, contained </w:t>
      </w:r>
      <w:r w:rsidRPr="00A1524C">
        <w:t xml:space="preserve">420 patients </w:t>
      </w:r>
      <w:r w:rsidRPr="00D86530">
        <w:t>(event rate: 62.2%; median OS: ~4</w:t>
      </w:r>
      <w:r>
        <w:t>4.5</w:t>
      </w:r>
      <w:r w:rsidRPr="00D86530">
        <w:t xml:space="preserve"> months)</w:t>
      </w:r>
      <w:r>
        <w:t>.</w:t>
      </w:r>
    </w:p>
    <w:p w14:paraId="1382EA0C" w14:textId="68641982" w:rsidR="00D86530" w:rsidRPr="00D86530" w:rsidRDefault="00D86530" w:rsidP="00D86530">
      <w:pPr>
        <w:pStyle w:val="Heading2"/>
        <w:rPr>
          <w:lang w:val="en-IE"/>
        </w:rPr>
      </w:pPr>
      <w:r w:rsidRPr="00D86530">
        <w:rPr>
          <w:lang w:val="en-IE"/>
        </w:rPr>
        <w:t>2.</w:t>
      </w:r>
      <w:r w:rsidR="000B0D93">
        <w:rPr>
          <w:lang w:val="en-IE"/>
        </w:rPr>
        <w:t>2</w:t>
      </w:r>
      <w:r w:rsidRPr="00D86530">
        <w:rPr>
          <w:lang w:val="en-IE"/>
        </w:rPr>
        <w:t xml:space="preserve"> ODE </w:t>
      </w:r>
      <w:r w:rsidR="00C60F78">
        <w:rPr>
          <w:lang w:val="en-IE"/>
        </w:rPr>
        <w:t>m</w:t>
      </w:r>
      <w:r w:rsidRPr="00D86530">
        <w:rPr>
          <w:lang w:val="en-IE"/>
        </w:rPr>
        <w:t>odel</w:t>
      </w:r>
    </w:p>
    <w:p w14:paraId="7ED8B2C2" w14:textId="6D8E0899" w:rsidR="000B0D93" w:rsidRDefault="000B0D93" w:rsidP="00D86530">
      <w:r w:rsidRPr="000B0D93">
        <w:t xml:space="preserve">A five-variable ODE system was constructed to represent the cellular </w:t>
      </w:r>
      <w:r w:rsidR="00C57406">
        <w:t xml:space="preserve">DDR </w:t>
      </w:r>
      <w:r w:rsidRPr="000B0D93">
        <w:t>to platinum-based chemotherapy. The state variables are:</w:t>
      </w:r>
    </w:p>
    <w:p w14:paraId="279140FD" w14:textId="77777777" w:rsidR="00D86530" w:rsidRPr="00D86530" w:rsidRDefault="00D86530" w:rsidP="00D86530">
      <w:pPr>
        <w:numPr>
          <w:ilvl w:val="0"/>
          <w:numId w:val="4"/>
        </w:numPr>
        <w:spacing w:after="120" w:line="240" w:lineRule="auto"/>
        <w:ind w:left="714" w:hanging="357"/>
        <w:rPr>
          <w:lang w:val="en-IE"/>
        </w:rPr>
      </w:pPr>
      <w:r w:rsidRPr="00D86530">
        <w:rPr>
          <w:b/>
          <w:bCs/>
          <w:lang w:val="en-IE"/>
        </w:rPr>
        <w:t>D(t)</w:t>
      </w:r>
      <w:r w:rsidRPr="00D86530">
        <w:rPr>
          <w:lang w:val="en-IE"/>
        </w:rPr>
        <w:t> - DNA damage load</w:t>
      </w:r>
    </w:p>
    <w:p w14:paraId="0A76FF55" w14:textId="77777777" w:rsidR="00D86530" w:rsidRPr="00D86530" w:rsidRDefault="00D86530" w:rsidP="00D86530">
      <w:pPr>
        <w:numPr>
          <w:ilvl w:val="0"/>
          <w:numId w:val="4"/>
        </w:numPr>
        <w:spacing w:after="120" w:line="240" w:lineRule="auto"/>
        <w:ind w:left="714" w:hanging="357"/>
        <w:rPr>
          <w:lang w:val="en-IE"/>
        </w:rPr>
      </w:pPr>
      <w:r w:rsidRPr="00D86530">
        <w:rPr>
          <w:b/>
          <w:bCs/>
          <w:lang w:val="en-IE"/>
        </w:rPr>
        <w:t>A(t)</w:t>
      </w:r>
      <w:r w:rsidRPr="00D86530">
        <w:rPr>
          <w:lang w:val="en-IE"/>
        </w:rPr>
        <w:t> - Activated ATM/ATR</w:t>
      </w:r>
    </w:p>
    <w:p w14:paraId="122E160E" w14:textId="77777777" w:rsidR="00D86530" w:rsidRPr="00D86530" w:rsidRDefault="00D86530" w:rsidP="00D86530">
      <w:pPr>
        <w:numPr>
          <w:ilvl w:val="0"/>
          <w:numId w:val="4"/>
        </w:numPr>
        <w:spacing w:after="120" w:line="240" w:lineRule="auto"/>
        <w:ind w:left="714" w:hanging="357"/>
        <w:rPr>
          <w:lang w:val="en-IE"/>
        </w:rPr>
      </w:pPr>
      <w:r w:rsidRPr="00D86530">
        <w:rPr>
          <w:b/>
          <w:bCs/>
          <w:lang w:val="en-IE"/>
        </w:rPr>
        <w:t>C(t)</w:t>
      </w:r>
      <w:r w:rsidRPr="00D86530">
        <w:rPr>
          <w:lang w:val="en-IE"/>
        </w:rPr>
        <w:t> - Activated CHK1/CHK2</w:t>
      </w:r>
    </w:p>
    <w:p w14:paraId="0D10D714" w14:textId="77777777" w:rsidR="00D86530" w:rsidRPr="00D86530" w:rsidRDefault="00D86530" w:rsidP="00D86530">
      <w:pPr>
        <w:numPr>
          <w:ilvl w:val="0"/>
          <w:numId w:val="4"/>
        </w:numPr>
        <w:spacing w:after="120" w:line="240" w:lineRule="auto"/>
        <w:ind w:left="714" w:hanging="357"/>
        <w:rPr>
          <w:lang w:val="en-IE"/>
        </w:rPr>
      </w:pPr>
      <w:r w:rsidRPr="00D86530">
        <w:rPr>
          <w:b/>
          <w:bCs/>
          <w:lang w:val="en-IE"/>
        </w:rPr>
        <w:t>R(t)</w:t>
      </w:r>
      <w:r w:rsidRPr="00D86530">
        <w:rPr>
          <w:lang w:val="en-IE"/>
        </w:rPr>
        <w:t> - Functional HR repair complex (BRCA1-BRCA2-PALB2-RAD51)</w:t>
      </w:r>
    </w:p>
    <w:p w14:paraId="5A17D263" w14:textId="77777777" w:rsidR="00D86530" w:rsidRDefault="00D86530" w:rsidP="00D86530">
      <w:pPr>
        <w:numPr>
          <w:ilvl w:val="0"/>
          <w:numId w:val="4"/>
        </w:numPr>
        <w:spacing w:line="240" w:lineRule="auto"/>
        <w:ind w:left="714" w:hanging="357"/>
        <w:rPr>
          <w:lang w:val="en-IE"/>
        </w:rPr>
      </w:pPr>
      <w:r w:rsidRPr="00D86530">
        <w:rPr>
          <w:b/>
          <w:bCs/>
          <w:lang w:val="en-IE"/>
        </w:rPr>
        <w:t>X(t)</w:t>
      </w:r>
      <w:r w:rsidRPr="00D86530">
        <w:rPr>
          <w:lang w:val="en-IE"/>
        </w:rPr>
        <w:t> - Apoptotic commitment signal</w:t>
      </w:r>
    </w:p>
    <w:p w14:paraId="6703849B" w14:textId="77777777" w:rsidR="000B0D93" w:rsidRPr="000B0D93" w:rsidRDefault="000B0D93" w:rsidP="000B0D93">
      <w:pPr>
        <w:rPr>
          <w:rFonts w:eastAsiaTheme="minorEastAsia"/>
          <w:lang w:val="en-IE" w:eastAsia="en-IE"/>
        </w:rPr>
      </w:pPr>
      <w:r w:rsidRPr="000B0D93">
        <w:rPr>
          <w:lang w:val="en-IE" w:eastAsia="en-IE"/>
        </w:rPr>
        <w:t>The system is governed by:</w:t>
      </w:r>
    </w:p>
    <w:p w14:paraId="4D16DB47" w14:textId="6A190B3F" w:rsidR="000B0D93" w:rsidRPr="000B0D93" w:rsidRDefault="00000000" w:rsidP="000B0D93">
      <w:pPr>
        <w:rPr>
          <w:rFonts w:eastAsiaTheme="minorEastAsia"/>
          <w:lang w:val="en-IE"/>
        </w:rPr>
      </w:pPr>
      <m:oMathPara>
        <m:oMathParaPr>
          <m:jc m:val="center"/>
        </m:oMathParaPr>
        <m:oMath>
          <m:f>
            <m:fPr>
              <m:ctrlPr>
                <w:rPr>
                  <w:rFonts w:ascii="Cambria Math" w:hAnsi="Cambria Math"/>
                  <w:lang w:eastAsia="en-IE"/>
                </w:rPr>
              </m:ctrlPr>
            </m:fPr>
            <m:num>
              <m:r>
                <w:rPr>
                  <w:rFonts w:ascii="Cambria Math" w:hAnsi="Cambria Math"/>
                  <w:lang w:eastAsia="en-IE"/>
                </w:rPr>
                <m:t>dD</m:t>
              </m:r>
            </m:num>
            <m:den>
              <m:r>
                <w:rPr>
                  <w:rFonts w:ascii="Cambria Math" w:hAnsi="Cambria Math"/>
                  <w:lang w:eastAsia="en-IE"/>
                </w:rPr>
                <m:t>dt</m:t>
              </m:r>
            </m:den>
          </m:f>
          <m:r>
            <w:rPr>
              <w:rFonts w:ascii="Cambria Math" w:hAnsi="Cambria Math"/>
              <w:lang w:eastAsia="en-IE"/>
            </w:rPr>
            <m:t>=φ(t)-(</m:t>
          </m:r>
          <m:sSub>
            <m:sSubPr>
              <m:ctrlPr>
                <w:rPr>
                  <w:rFonts w:ascii="Cambria Math" w:hAnsi="Cambria Math"/>
                  <w:lang w:eastAsia="en-IE"/>
                </w:rPr>
              </m:ctrlPr>
            </m:sSubPr>
            <m:e>
              <m:r>
                <w:rPr>
                  <w:rFonts w:ascii="Cambria Math" w:hAnsi="Cambria Math"/>
                  <w:lang w:eastAsia="en-IE"/>
                </w:rPr>
                <m:t>k</m:t>
              </m:r>
            </m:e>
            <m:sub>
              <m:r>
                <w:rPr>
                  <w:rFonts w:ascii="Cambria Math" w:hAnsi="Cambria Math"/>
                  <w:lang w:eastAsia="en-IE"/>
                </w:rPr>
                <m:t>HR</m:t>
              </m:r>
            </m:sub>
          </m:sSub>
          <m:r>
            <w:rPr>
              <w:rFonts w:ascii="Cambria Math" w:hAnsi="Cambria Math"/>
              <w:lang w:eastAsia="en-IE"/>
            </w:rPr>
            <m:t>⋅R+</m:t>
          </m:r>
          <m:sSub>
            <m:sSubPr>
              <m:ctrlPr>
                <w:rPr>
                  <w:rFonts w:ascii="Cambria Math" w:hAnsi="Cambria Math"/>
                  <w:lang w:eastAsia="en-IE"/>
                </w:rPr>
              </m:ctrlPr>
            </m:sSubPr>
            <m:e>
              <m:r>
                <w:rPr>
                  <w:rFonts w:ascii="Cambria Math" w:hAnsi="Cambria Math"/>
                  <w:lang w:eastAsia="en-IE"/>
                </w:rPr>
                <m:t>k</m:t>
              </m:r>
            </m:e>
            <m:sub>
              <m:r>
                <w:rPr>
                  <w:rFonts w:ascii="Cambria Math" w:hAnsi="Cambria Math"/>
                  <w:lang w:eastAsia="en-IE"/>
                </w:rPr>
                <m:t>NHEJ</m:t>
              </m:r>
            </m:sub>
          </m:sSub>
          <m:r>
            <w:rPr>
              <w:rFonts w:ascii="Cambria Math" w:hAnsi="Cambria Math"/>
              <w:lang w:eastAsia="en-IE"/>
            </w:rPr>
            <m:t>)⋅D</m:t>
          </m:r>
          <m:r>
            <w:rPr>
              <w:lang w:eastAsia="en-IE"/>
            </w:rPr>
            <w:br/>
          </m:r>
        </m:oMath>
        <m:oMath>
          <m:f>
            <m:fPr>
              <m:ctrlPr>
                <w:rPr>
                  <w:rFonts w:ascii="Cambria Math" w:hAnsi="Cambria Math"/>
                  <w:lang w:eastAsia="en-IE"/>
                </w:rPr>
              </m:ctrlPr>
            </m:fPr>
            <m:num>
              <m:r>
                <w:rPr>
                  <w:rFonts w:ascii="Cambria Math" w:hAnsi="Cambria Math"/>
                  <w:lang w:eastAsia="en-IE"/>
                </w:rPr>
                <m:t>dA</m:t>
              </m:r>
            </m:num>
            <m:den>
              <m:r>
                <w:rPr>
                  <w:rFonts w:ascii="Cambria Math" w:hAnsi="Cambria Math"/>
                  <w:lang w:eastAsia="en-IE"/>
                </w:rPr>
                <m:t>dt</m:t>
              </m:r>
            </m:den>
          </m:f>
          <m:r>
            <w:rPr>
              <w:rFonts w:ascii="Cambria Math" w:hAnsi="Cambria Math"/>
              <w:lang w:eastAsia="en-IE"/>
            </w:rPr>
            <m:t>=</m:t>
          </m:r>
          <m:sSub>
            <m:sSubPr>
              <m:ctrlPr>
                <w:rPr>
                  <w:rFonts w:ascii="Cambria Math" w:hAnsi="Cambria Math"/>
                  <w:lang w:eastAsia="en-IE"/>
                </w:rPr>
              </m:ctrlPr>
            </m:sSubPr>
            <m:e>
              <m:r>
                <w:rPr>
                  <w:rFonts w:ascii="Cambria Math" w:hAnsi="Cambria Math"/>
                  <w:lang w:eastAsia="en-IE"/>
                </w:rPr>
                <m:t>k</m:t>
              </m:r>
            </m:e>
            <m:sub>
              <m:r>
                <w:rPr>
                  <w:rFonts w:ascii="Cambria Math" w:hAnsi="Cambria Math"/>
                  <w:lang w:eastAsia="en-IE"/>
                </w:rPr>
                <m:t>a</m:t>
              </m:r>
            </m:sub>
          </m:sSub>
          <m:r>
            <w:rPr>
              <w:rFonts w:ascii="Cambria Math" w:hAnsi="Cambria Math"/>
              <w:lang w:eastAsia="en-IE"/>
            </w:rPr>
            <m:t>⋅</m:t>
          </m:r>
          <m:sSub>
            <m:sSubPr>
              <m:ctrlPr>
                <w:rPr>
                  <w:rFonts w:ascii="Cambria Math" w:hAnsi="Cambria Math"/>
                  <w:lang w:eastAsia="en-IE"/>
                </w:rPr>
              </m:ctrlPr>
            </m:sSubPr>
            <m:e>
              <m:r>
                <w:rPr>
                  <w:rFonts w:ascii="Cambria Math" w:hAnsi="Cambria Math"/>
                  <w:lang w:eastAsia="en-IE"/>
                </w:rPr>
                <m:t>A</m:t>
              </m:r>
            </m:e>
            <m:sub>
              <m:r>
                <w:rPr>
                  <w:rFonts w:ascii="Cambria Math" w:hAnsi="Cambria Math"/>
                  <w:lang w:eastAsia="en-IE"/>
                </w:rPr>
                <m:t>tot</m:t>
              </m:r>
            </m:sub>
          </m:sSub>
          <m:r>
            <w:rPr>
              <w:rFonts w:ascii="Cambria Math" w:hAnsi="Cambria Math"/>
              <w:lang w:eastAsia="en-IE"/>
            </w:rPr>
            <m:t>⋅D-</m:t>
          </m:r>
          <m:sSub>
            <m:sSubPr>
              <m:ctrlPr>
                <w:rPr>
                  <w:rFonts w:ascii="Cambria Math" w:hAnsi="Cambria Math"/>
                  <w:lang w:eastAsia="en-IE"/>
                </w:rPr>
              </m:ctrlPr>
            </m:sSubPr>
            <m:e>
              <m:r>
                <w:rPr>
                  <w:rFonts w:ascii="Cambria Math" w:hAnsi="Cambria Math"/>
                  <w:lang w:eastAsia="en-IE"/>
                </w:rPr>
                <m:t>d</m:t>
              </m:r>
            </m:e>
            <m:sub>
              <m:r>
                <w:rPr>
                  <w:rFonts w:ascii="Cambria Math" w:hAnsi="Cambria Math"/>
                  <w:lang w:eastAsia="en-IE"/>
                </w:rPr>
                <m:t>a</m:t>
              </m:r>
            </m:sub>
          </m:sSub>
          <m:r>
            <w:rPr>
              <w:rFonts w:ascii="Cambria Math" w:hAnsi="Cambria Math"/>
              <w:lang w:eastAsia="en-IE"/>
            </w:rPr>
            <m:t>⋅A</m:t>
          </m:r>
          <m:r>
            <w:rPr>
              <w:lang w:eastAsia="en-IE"/>
            </w:rPr>
            <w:br/>
          </m:r>
        </m:oMath>
        <m:oMath>
          <m:f>
            <m:fPr>
              <m:ctrlPr>
                <w:rPr>
                  <w:rFonts w:ascii="Cambria Math" w:hAnsi="Cambria Math"/>
                  <w:lang w:eastAsia="en-IE"/>
                </w:rPr>
              </m:ctrlPr>
            </m:fPr>
            <m:num>
              <m:r>
                <w:rPr>
                  <w:rFonts w:ascii="Cambria Math" w:hAnsi="Cambria Math"/>
                  <w:lang w:eastAsia="en-IE"/>
                </w:rPr>
                <m:t>dC</m:t>
              </m:r>
            </m:num>
            <m:den>
              <m:r>
                <w:rPr>
                  <w:rFonts w:ascii="Cambria Math" w:hAnsi="Cambria Math"/>
                  <w:lang w:eastAsia="en-IE"/>
                </w:rPr>
                <m:t>dt</m:t>
              </m:r>
            </m:den>
          </m:f>
          <m:r>
            <w:rPr>
              <w:rFonts w:ascii="Cambria Math" w:hAnsi="Cambria Math"/>
              <w:lang w:eastAsia="en-IE"/>
            </w:rPr>
            <m:t>=</m:t>
          </m:r>
          <m:sSub>
            <m:sSubPr>
              <m:ctrlPr>
                <w:rPr>
                  <w:rFonts w:ascii="Cambria Math" w:hAnsi="Cambria Math"/>
                  <w:lang w:eastAsia="en-IE"/>
                </w:rPr>
              </m:ctrlPr>
            </m:sSubPr>
            <m:e>
              <m:r>
                <w:rPr>
                  <w:rFonts w:ascii="Cambria Math" w:hAnsi="Cambria Math"/>
                  <w:lang w:eastAsia="en-IE"/>
                </w:rPr>
                <m:t>k</m:t>
              </m:r>
            </m:e>
            <m:sub>
              <m:r>
                <w:rPr>
                  <w:rFonts w:ascii="Cambria Math" w:hAnsi="Cambria Math"/>
                  <w:lang w:eastAsia="en-IE"/>
                </w:rPr>
                <m:t>c</m:t>
              </m:r>
            </m:sub>
          </m:sSub>
          <m:r>
            <w:rPr>
              <w:rFonts w:ascii="Cambria Math" w:hAnsi="Cambria Math"/>
              <w:lang w:eastAsia="en-IE"/>
            </w:rPr>
            <m:t>⋅A⋅</m:t>
          </m:r>
          <m:sSub>
            <m:sSubPr>
              <m:ctrlPr>
                <w:rPr>
                  <w:rFonts w:ascii="Cambria Math" w:hAnsi="Cambria Math"/>
                  <w:lang w:eastAsia="en-IE"/>
                </w:rPr>
              </m:ctrlPr>
            </m:sSubPr>
            <m:e>
              <m:r>
                <w:rPr>
                  <w:rFonts w:ascii="Cambria Math" w:hAnsi="Cambria Math"/>
                  <w:lang w:eastAsia="en-IE"/>
                </w:rPr>
                <m:t>C</m:t>
              </m:r>
            </m:e>
            <m:sub>
              <m:r>
                <w:rPr>
                  <w:rFonts w:ascii="Cambria Math" w:hAnsi="Cambria Math"/>
                  <w:lang w:eastAsia="en-IE"/>
                </w:rPr>
                <m:t>tot</m:t>
              </m:r>
            </m:sub>
          </m:sSub>
          <m:r>
            <w:rPr>
              <w:rFonts w:ascii="Cambria Math" w:hAnsi="Cambria Math"/>
              <w:lang w:eastAsia="en-IE"/>
            </w:rPr>
            <m:t>-</m:t>
          </m:r>
          <m:sSub>
            <m:sSubPr>
              <m:ctrlPr>
                <w:rPr>
                  <w:rFonts w:ascii="Cambria Math" w:hAnsi="Cambria Math"/>
                  <w:lang w:eastAsia="en-IE"/>
                </w:rPr>
              </m:ctrlPr>
            </m:sSubPr>
            <m:e>
              <m:r>
                <w:rPr>
                  <w:rFonts w:ascii="Cambria Math" w:hAnsi="Cambria Math"/>
                  <w:lang w:eastAsia="en-IE"/>
                </w:rPr>
                <m:t>d</m:t>
              </m:r>
            </m:e>
            <m:sub>
              <m:r>
                <w:rPr>
                  <w:rFonts w:ascii="Cambria Math" w:hAnsi="Cambria Math"/>
                  <w:lang w:eastAsia="en-IE"/>
                </w:rPr>
                <m:t>c</m:t>
              </m:r>
            </m:sub>
          </m:sSub>
          <m:r>
            <w:rPr>
              <w:rFonts w:ascii="Cambria Math" w:hAnsi="Cambria Math"/>
              <w:lang w:eastAsia="en-IE"/>
            </w:rPr>
            <m:t>⋅C</m:t>
          </m:r>
          <m:r>
            <w:rPr>
              <w:lang w:eastAsia="en-IE"/>
            </w:rPr>
            <w:br/>
          </m:r>
        </m:oMath>
        <m:oMath>
          <m:f>
            <m:fPr>
              <m:ctrlPr>
                <w:rPr>
                  <w:rFonts w:ascii="Cambria Math" w:hAnsi="Cambria Math"/>
                  <w:lang w:eastAsia="en-IE"/>
                </w:rPr>
              </m:ctrlPr>
            </m:fPr>
            <m:num>
              <m:r>
                <w:rPr>
                  <w:rFonts w:ascii="Cambria Math" w:hAnsi="Cambria Math"/>
                  <w:lang w:eastAsia="en-IE"/>
                </w:rPr>
                <m:t>dR</m:t>
              </m:r>
            </m:num>
            <m:den>
              <m:r>
                <w:rPr>
                  <w:rFonts w:ascii="Cambria Math" w:hAnsi="Cambria Math"/>
                  <w:lang w:eastAsia="en-IE"/>
                </w:rPr>
                <m:t>dt</m:t>
              </m:r>
            </m:den>
          </m:f>
          <m:r>
            <w:rPr>
              <w:rFonts w:ascii="Cambria Math" w:hAnsi="Cambria Math"/>
              <w:lang w:eastAsia="en-IE"/>
            </w:rPr>
            <m:t>=</m:t>
          </m:r>
          <m:sSub>
            <m:sSubPr>
              <m:ctrlPr>
                <w:rPr>
                  <w:rFonts w:ascii="Cambria Math" w:hAnsi="Cambria Math"/>
                  <w:lang w:eastAsia="en-IE"/>
                </w:rPr>
              </m:ctrlPr>
            </m:sSubPr>
            <m:e>
              <m:r>
                <w:rPr>
                  <w:rFonts w:ascii="Cambria Math" w:hAnsi="Cambria Math"/>
                  <w:lang w:eastAsia="en-IE"/>
                </w:rPr>
                <m:t>k</m:t>
              </m:r>
            </m:e>
            <m:sub>
              <m:r>
                <w:rPr>
                  <w:rFonts w:ascii="Cambria Math" w:hAnsi="Cambria Math"/>
                  <w:lang w:eastAsia="en-IE"/>
                </w:rPr>
                <m:t>r</m:t>
              </m:r>
            </m:sub>
          </m:sSub>
          <m:r>
            <w:rPr>
              <w:rFonts w:ascii="Cambria Math" w:hAnsi="Cambria Math"/>
              <w:lang w:eastAsia="en-IE"/>
            </w:rPr>
            <m:t>⋅BRC</m:t>
          </m:r>
          <m:sSub>
            <m:sSubPr>
              <m:ctrlPr>
                <w:rPr>
                  <w:rFonts w:ascii="Cambria Math" w:hAnsi="Cambria Math"/>
                  <w:lang w:eastAsia="en-IE"/>
                </w:rPr>
              </m:ctrlPr>
            </m:sSubPr>
            <m:e>
              <m:r>
                <w:rPr>
                  <w:rFonts w:ascii="Cambria Math" w:hAnsi="Cambria Math"/>
                  <w:lang w:eastAsia="en-IE"/>
                </w:rPr>
                <m:t>A</m:t>
              </m:r>
            </m:e>
            <m:sub>
              <m:r>
                <w:rPr>
                  <w:rFonts w:ascii="Cambria Math" w:hAnsi="Cambria Math"/>
                  <w:lang w:eastAsia="en-IE"/>
                </w:rPr>
                <m:t>cap</m:t>
              </m:r>
            </m:sub>
          </m:sSub>
          <m:r>
            <w:rPr>
              <w:rFonts w:ascii="Cambria Math" w:hAnsi="Cambria Math"/>
              <w:lang w:eastAsia="en-IE"/>
            </w:rPr>
            <m:t>-</m:t>
          </m:r>
          <m:sSub>
            <m:sSubPr>
              <m:ctrlPr>
                <w:rPr>
                  <w:rFonts w:ascii="Cambria Math" w:hAnsi="Cambria Math"/>
                  <w:lang w:eastAsia="en-IE"/>
                </w:rPr>
              </m:ctrlPr>
            </m:sSubPr>
            <m:e>
              <m:r>
                <w:rPr>
                  <w:rFonts w:ascii="Cambria Math" w:hAnsi="Cambria Math"/>
                  <w:lang w:eastAsia="en-IE"/>
                </w:rPr>
                <m:t>k</m:t>
              </m:r>
            </m:e>
            <m:sub>
              <m:r>
                <w:rPr>
                  <w:rFonts w:ascii="Cambria Math" w:hAnsi="Cambria Math"/>
                  <w:lang w:eastAsia="en-IE"/>
                </w:rPr>
                <m:t>load</m:t>
              </m:r>
            </m:sub>
          </m:sSub>
          <m:r>
            <w:rPr>
              <w:rFonts w:ascii="Cambria Math" w:hAnsi="Cambria Math"/>
              <w:lang w:eastAsia="en-IE"/>
            </w:rPr>
            <m:t>⋅C⋅R-</m:t>
          </m:r>
          <m:sSub>
            <m:sSubPr>
              <m:ctrlPr>
                <w:rPr>
                  <w:rFonts w:ascii="Cambria Math" w:hAnsi="Cambria Math"/>
                  <w:lang w:eastAsia="en-IE"/>
                </w:rPr>
              </m:ctrlPr>
            </m:sSubPr>
            <m:e>
              <m:r>
                <w:rPr>
                  <w:rFonts w:ascii="Cambria Math" w:hAnsi="Cambria Math"/>
                  <w:lang w:eastAsia="en-IE"/>
                </w:rPr>
                <m:t>d</m:t>
              </m:r>
            </m:e>
            <m:sub>
              <m:r>
                <w:rPr>
                  <w:rFonts w:ascii="Cambria Math" w:hAnsi="Cambria Math"/>
                  <w:lang w:eastAsia="en-IE"/>
                </w:rPr>
                <m:t>r</m:t>
              </m:r>
            </m:sub>
          </m:sSub>
          <m:r>
            <w:rPr>
              <w:rFonts w:ascii="Cambria Math" w:hAnsi="Cambria Math"/>
              <w:lang w:eastAsia="en-IE"/>
            </w:rPr>
            <m:t>⋅R</m:t>
          </m:r>
          <m:r>
            <w:rPr>
              <w:lang w:eastAsia="en-IE"/>
            </w:rPr>
            <w:br/>
          </m:r>
        </m:oMath>
        <m:oMath>
          <m:f>
            <m:fPr>
              <m:ctrlPr>
                <w:rPr>
                  <w:rFonts w:ascii="Cambria Math" w:hAnsi="Cambria Math"/>
                  <w:lang w:eastAsia="en-IE"/>
                </w:rPr>
              </m:ctrlPr>
            </m:fPr>
            <m:num>
              <m:r>
                <w:rPr>
                  <w:rFonts w:ascii="Cambria Math" w:hAnsi="Cambria Math"/>
                  <w:lang w:eastAsia="en-IE"/>
                </w:rPr>
                <m:t>dX</m:t>
              </m:r>
            </m:num>
            <m:den>
              <m:r>
                <w:rPr>
                  <w:rFonts w:ascii="Cambria Math" w:hAnsi="Cambria Math"/>
                  <w:lang w:eastAsia="en-IE"/>
                </w:rPr>
                <m:t>dt</m:t>
              </m:r>
            </m:den>
          </m:f>
          <m:r>
            <w:rPr>
              <w:rFonts w:ascii="Cambria Math" w:hAnsi="Cambria Math"/>
              <w:lang w:eastAsia="en-IE"/>
            </w:rPr>
            <m:t>=</m:t>
          </m:r>
          <m:sSub>
            <m:sSubPr>
              <m:ctrlPr>
                <w:rPr>
                  <w:rFonts w:ascii="Cambria Math" w:hAnsi="Cambria Math"/>
                  <w:lang w:eastAsia="en-IE"/>
                </w:rPr>
              </m:ctrlPr>
            </m:sSubPr>
            <m:e>
              <m:r>
                <w:rPr>
                  <w:rFonts w:ascii="Cambria Math" w:hAnsi="Cambria Math"/>
                  <w:lang w:eastAsia="en-IE"/>
                </w:rPr>
                <m:t>k</m:t>
              </m:r>
            </m:e>
            <m:sub>
              <m:r>
                <w:rPr>
                  <w:rFonts w:ascii="Cambria Math" w:hAnsi="Cambria Math"/>
                  <w:lang w:eastAsia="en-IE"/>
                </w:rPr>
                <m:t>x</m:t>
              </m:r>
            </m:sub>
          </m:sSub>
          <m:r>
            <w:rPr>
              <w:rFonts w:ascii="Cambria Math" w:hAnsi="Cambria Math"/>
              <w:lang w:eastAsia="en-IE"/>
            </w:rPr>
            <m:t>⋅C-</m:t>
          </m:r>
          <m:sSub>
            <m:sSubPr>
              <m:ctrlPr>
                <w:rPr>
                  <w:rFonts w:ascii="Cambria Math" w:hAnsi="Cambria Math"/>
                  <w:lang w:eastAsia="en-IE"/>
                </w:rPr>
              </m:ctrlPr>
            </m:sSubPr>
            <m:e>
              <m:r>
                <w:rPr>
                  <w:rFonts w:ascii="Cambria Math" w:hAnsi="Cambria Math"/>
                  <w:lang w:eastAsia="en-IE"/>
                </w:rPr>
                <m:t>d</m:t>
              </m:r>
            </m:e>
            <m:sub>
              <m:r>
                <w:rPr>
                  <w:rFonts w:ascii="Cambria Math" w:hAnsi="Cambria Math"/>
                  <w:lang w:eastAsia="en-IE"/>
                </w:rPr>
                <m:t>x</m:t>
              </m:r>
            </m:sub>
          </m:sSub>
          <m:r>
            <w:rPr>
              <w:rFonts w:ascii="Cambria Math" w:hAnsi="Cambria Math"/>
              <w:lang w:eastAsia="en-IE"/>
            </w:rPr>
            <m:t>⋅BCL</m:t>
          </m:r>
          <m:sSub>
            <m:sSubPr>
              <m:ctrlPr>
                <w:rPr>
                  <w:rFonts w:ascii="Cambria Math" w:hAnsi="Cambria Math"/>
                  <w:lang w:eastAsia="en-IE"/>
                </w:rPr>
              </m:ctrlPr>
            </m:sSubPr>
            <m:e>
              <m:r>
                <w:rPr>
                  <w:rFonts w:ascii="Cambria Math" w:hAnsi="Cambria Math"/>
                  <w:lang w:eastAsia="en-IE"/>
                </w:rPr>
                <m:t>2</m:t>
              </m:r>
            </m:e>
            <m:sub>
              <m:r>
                <w:rPr>
                  <w:rFonts w:ascii="Cambria Math" w:hAnsi="Cambria Math"/>
                  <w:lang w:eastAsia="en-IE"/>
                </w:rPr>
                <m:t>ratio</m:t>
              </m:r>
            </m:sub>
          </m:sSub>
          <m:r>
            <w:rPr>
              <w:rFonts w:ascii="Cambria Math" w:hAnsi="Cambria Math"/>
              <w:lang w:eastAsia="en-IE"/>
            </w:rPr>
            <m:t>⋅X-</m:t>
          </m:r>
          <m:sSub>
            <m:sSubPr>
              <m:ctrlPr>
                <w:rPr>
                  <w:rFonts w:ascii="Cambria Math" w:hAnsi="Cambria Math"/>
                  <w:lang w:eastAsia="en-IE"/>
                </w:rPr>
              </m:ctrlPr>
            </m:sSubPr>
            <m:e>
              <m:r>
                <w:rPr>
                  <w:rFonts w:ascii="Cambria Math" w:hAnsi="Cambria Math"/>
                  <w:lang w:eastAsia="en-IE"/>
                </w:rPr>
                <m:t>k</m:t>
              </m:r>
            </m:e>
            <m:sub>
              <m:r>
                <w:rPr>
                  <w:rFonts w:ascii="Cambria Math" w:hAnsi="Cambria Math"/>
                  <w:lang w:eastAsia="en-IE"/>
                </w:rPr>
                <m:t>suppress</m:t>
              </m:r>
            </m:sub>
          </m:sSub>
          <m:r>
            <w:rPr>
              <w:rFonts w:ascii="Cambria Math" w:hAnsi="Cambria Math"/>
              <w:lang w:eastAsia="en-IE"/>
            </w:rPr>
            <m:t>⋅</m:t>
          </m:r>
          <m:f>
            <m:fPr>
              <m:ctrlPr>
                <w:rPr>
                  <w:rFonts w:ascii="Cambria Math" w:hAnsi="Cambria Math"/>
                  <w:lang w:eastAsia="en-IE"/>
                </w:rPr>
              </m:ctrlPr>
            </m:fPr>
            <m:num>
              <m:r>
                <w:rPr>
                  <w:rFonts w:ascii="Cambria Math" w:hAnsi="Cambria Math"/>
                  <w:lang w:eastAsia="en-IE"/>
                </w:rPr>
                <m:t>R⋅X</m:t>
              </m:r>
            </m:num>
            <m:den>
              <m:sSub>
                <m:sSubPr>
                  <m:ctrlPr>
                    <w:rPr>
                      <w:rFonts w:ascii="Cambria Math" w:hAnsi="Cambria Math"/>
                      <w:lang w:eastAsia="en-IE"/>
                    </w:rPr>
                  </m:ctrlPr>
                </m:sSubPr>
                <m:e>
                  <m:r>
                    <w:rPr>
                      <w:rFonts w:ascii="Cambria Math" w:hAnsi="Cambria Math"/>
                      <w:lang w:eastAsia="en-IE"/>
                    </w:rPr>
                    <m:t>K</m:t>
                  </m:r>
                </m:e>
                <m:sub>
                  <m:r>
                    <w:rPr>
                      <w:rFonts w:ascii="Cambria Math" w:hAnsi="Cambria Math"/>
                      <w:lang w:eastAsia="en-IE"/>
                    </w:rPr>
                    <m:t>HR</m:t>
                  </m:r>
                </m:sub>
              </m:sSub>
              <m:r>
                <w:rPr>
                  <w:rFonts w:ascii="Cambria Math" w:hAnsi="Cambria Math"/>
                  <w:lang w:eastAsia="en-IE"/>
                </w:rPr>
                <m:t>+R</m:t>
              </m:r>
            </m:den>
          </m:f>
          <m:r>
            <m:rPr>
              <m:sty m:val="p"/>
            </m:rPr>
            <w:rPr>
              <w:lang w:eastAsia="en-IE"/>
            </w:rPr>
            <w:br/>
          </m:r>
        </m:oMath>
        <m:oMath>
          <m:r>
            <m:rPr>
              <m:sty m:val="p"/>
            </m:rPr>
            <w:rPr>
              <w:lang w:val="en-IE" w:eastAsia="en-IE"/>
            </w:rPr>
            <w:br/>
          </m:r>
        </m:oMath>
      </m:oMathPara>
      <w:r w:rsidR="000B0D93" w:rsidRPr="000B0D93">
        <w:rPr>
          <w:rFonts w:eastAsiaTheme="minorEastAsia"/>
          <w:lang w:val="en-IE"/>
        </w:rPr>
        <w:t>where the drug perturbation input is φ(t) = D</w:t>
      </w:r>
      <w:r w:rsidR="000B0D93" w:rsidRPr="000B0D93">
        <w:rPr>
          <w:rFonts w:ascii="Cambria Math" w:eastAsiaTheme="minorEastAsia" w:hAnsi="Cambria Math" w:cs="Cambria Math"/>
          <w:lang w:val="en-IE"/>
        </w:rPr>
        <w:t>₀</w:t>
      </w:r>
      <w:r w:rsidR="000B0D93" w:rsidRPr="000B0D93">
        <w:rPr>
          <w:rFonts w:eastAsiaTheme="minorEastAsia"/>
          <w:lang w:val="en-IE"/>
        </w:rPr>
        <w:t xml:space="preserve"> · exp(−t / τ</w:t>
      </w:r>
      <w:r w:rsidR="000B0D93" w:rsidRPr="002D2851">
        <w:rPr>
          <w:rFonts w:eastAsiaTheme="minorEastAsia"/>
          <w:vertAlign w:val="subscript"/>
          <w:lang w:val="en-IE"/>
        </w:rPr>
        <w:t>drug</w:t>
      </w:r>
      <w:r w:rsidR="000B0D93" w:rsidRPr="000B0D93">
        <w:rPr>
          <w:rFonts w:eastAsiaTheme="minorEastAsia"/>
          <w:lang w:val="en-IE"/>
        </w:rPr>
        <w:t>), modelling carboplatin delivery and exponential clearance. HR-mediated suppression of the apoptotic signal follows Michaelis-Menten kinetics (final term of dX/dt), saturating at high R rather than zeroing X completely at high repair capacity</w:t>
      </w:r>
      <w:r w:rsidR="000B0D93">
        <w:rPr>
          <w:rFonts w:eastAsiaTheme="minorEastAsia"/>
          <w:lang w:val="en-IE"/>
        </w:rPr>
        <w:t xml:space="preserve">. This is </w:t>
      </w:r>
      <w:r w:rsidR="000B0D93" w:rsidRPr="000B0D93">
        <w:rPr>
          <w:rFonts w:eastAsiaTheme="minorEastAsia"/>
          <w:lang w:val="en-IE"/>
        </w:rPr>
        <w:t>a deliberate correction over a linear suppression formulation that would drive X to zero in high-BRCA patients.</w:t>
      </w:r>
    </w:p>
    <w:p w14:paraId="55A1AD73" w14:textId="73C55165" w:rsidR="00111A63" w:rsidRPr="006917E5" w:rsidRDefault="000B0D93" w:rsidP="000B0D93">
      <w:pPr>
        <w:rPr>
          <w:rFonts w:eastAsiaTheme="minorEastAsia"/>
          <w:lang w:val="en-IE"/>
        </w:rPr>
      </w:pPr>
      <w:r w:rsidRPr="000B0D93">
        <w:rPr>
          <w:rFonts w:eastAsiaTheme="minorEastAsia"/>
          <w:lang w:val="en-IE"/>
        </w:rPr>
        <w:t>Global kinetic parameters were literature-informed and held fixed across all patients:</w:t>
      </w:r>
    </w:p>
    <w:p w14:paraId="7B2A14E8" w14:textId="367C45C3" w:rsidR="00111A63" w:rsidRPr="00111A63" w:rsidRDefault="00111A63" w:rsidP="00111A63">
      <w:pPr>
        <w:pStyle w:val="Caption"/>
        <w:keepNext/>
        <w:jc w:val="center"/>
        <w:rPr>
          <w:b/>
          <w:bCs/>
          <w:sz w:val="20"/>
          <w:szCs w:val="20"/>
        </w:rPr>
      </w:pPr>
      <w:r w:rsidRPr="00111A63">
        <w:rPr>
          <w:b/>
          <w:bCs/>
          <w:sz w:val="20"/>
          <w:szCs w:val="20"/>
        </w:rPr>
        <w:t xml:space="preserve">Table </w:t>
      </w:r>
      <w:r w:rsidRPr="00111A63">
        <w:rPr>
          <w:b/>
          <w:bCs/>
          <w:sz w:val="20"/>
          <w:szCs w:val="20"/>
        </w:rPr>
        <w:fldChar w:fldCharType="begin"/>
      </w:r>
      <w:r w:rsidRPr="00111A63">
        <w:rPr>
          <w:b/>
          <w:bCs/>
          <w:sz w:val="20"/>
          <w:szCs w:val="20"/>
        </w:rPr>
        <w:instrText xml:space="preserve"> SEQ Table \* ARABIC </w:instrText>
      </w:r>
      <w:r w:rsidRPr="00111A63">
        <w:rPr>
          <w:b/>
          <w:bCs/>
          <w:sz w:val="20"/>
          <w:szCs w:val="20"/>
        </w:rPr>
        <w:fldChar w:fldCharType="separate"/>
      </w:r>
      <w:r w:rsidR="00321648">
        <w:rPr>
          <w:b/>
          <w:bCs/>
          <w:noProof/>
          <w:sz w:val="20"/>
          <w:szCs w:val="20"/>
        </w:rPr>
        <w:t>1</w:t>
      </w:r>
      <w:r w:rsidRPr="00111A63">
        <w:rPr>
          <w:b/>
          <w:bCs/>
          <w:sz w:val="20"/>
          <w:szCs w:val="20"/>
        </w:rPr>
        <w:fldChar w:fldCharType="end"/>
      </w:r>
      <w:r w:rsidRPr="00111A63">
        <w:rPr>
          <w:b/>
          <w:bCs/>
          <w:sz w:val="20"/>
          <w:szCs w:val="20"/>
        </w:rPr>
        <w:t xml:space="preserve">. Global kinetic parameters of the HR-DDR ODE model. </w:t>
      </w:r>
      <w:r w:rsidRPr="00111A63">
        <w:rPr>
          <w:b/>
          <w:bCs/>
          <w:sz w:val="20"/>
          <w:szCs w:val="20"/>
        </w:rPr>
        <w:br/>
      </w:r>
      <w:r w:rsidRPr="00111A63">
        <w:rPr>
          <w:sz w:val="20"/>
          <w:szCs w:val="20"/>
        </w:rPr>
        <w:t>All parameters are fixed across patients and were not optimised against survival outcomes; patient-specific variation enters exclusively through the RNA-derived parameters</w:t>
      </w:r>
      <w:r w:rsidR="00217346">
        <w:rPr>
          <w:sz w:val="20"/>
          <w:szCs w:val="20"/>
        </w:rPr>
        <w:t xml:space="preserve"> </w:t>
      </w:r>
      <m:oMath>
        <m:sSub>
          <m:sSubPr>
            <m:ctrlPr>
              <w:rPr>
                <w:rFonts w:ascii="Cambria Math" w:hAnsi="Cambria Math"/>
                <w:sz w:val="20"/>
                <w:szCs w:val="20"/>
              </w:rPr>
            </m:ctrlPr>
          </m:sSubPr>
          <m:e>
            <m:r>
              <w:rPr>
                <w:rFonts w:ascii="Cambria Math" w:hAnsi="Cambria Math"/>
                <w:sz w:val="20"/>
                <w:szCs w:val="20"/>
              </w:rPr>
              <m:t>BRCA</m:t>
            </m:r>
          </m:e>
          <m:sub>
            <m:r>
              <w:rPr>
                <w:rFonts w:ascii="Cambria Math" w:hAnsi="Cambria Math"/>
                <w:sz w:val="20"/>
                <w:szCs w:val="20"/>
              </w:rPr>
              <m:t>cap</m:t>
            </m:r>
          </m:sub>
        </m:sSub>
      </m:oMath>
      <w:r w:rsidRPr="00111A63">
        <w:rPr>
          <w:sz w:val="20"/>
          <w:szCs w:val="20"/>
        </w:rPr>
        <w:t xml:space="preserve">, </w:t>
      </w:r>
      <m:oMath>
        <m:sSub>
          <m:sSubPr>
            <m:ctrlPr>
              <w:rPr>
                <w:rFonts w:ascii="Cambria Math" w:hAnsi="Cambria Math"/>
                <w:bCs/>
                <w:sz w:val="20"/>
                <w:szCs w:val="20"/>
                <w:lang w:val="en-IE"/>
              </w:rPr>
            </m:ctrlPr>
          </m:sSubPr>
          <m:e>
            <m:r>
              <w:rPr>
                <w:rFonts w:ascii="Cambria Math" w:hAnsi="Cambria Math"/>
                <w:sz w:val="20"/>
                <w:szCs w:val="20"/>
                <w:lang w:val="en-IE"/>
              </w:rPr>
              <m:t>ATM</m:t>
            </m:r>
          </m:e>
          <m:sub>
            <m:r>
              <w:rPr>
                <w:rFonts w:ascii="Cambria Math" w:hAnsi="Cambria Math"/>
                <w:sz w:val="20"/>
                <w:szCs w:val="20"/>
                <w:lang w:val="en-IE"/>
              </w:rPr>
              <m:t>tot</m:t>
            </m:r>
          </m:sub>
        </m:sSub>
      </m:oMath>
      <w:r w:rsidRPr="00111A63">
        <w:rPr>
          <w:sz w:val="20"/>
          <w:szCs w:val="20"/>
        </w:rPr>
        <w:t xml:space="preserve">, </w:t>
      </w:r>
      <m:oMath>
        <m:sSub>
          <m:sSubPr>
            <m:ctrlPr>
              <w:rPr>
                <w:rFonts w:ascii="Cambria Math" w:hAnsi="Cambria Math"/>
                <w:bCs/>
                <w:sz w:val="20"/>
                <w:szCs w:val="20"/>
                <w:lang w:val="en-IE"/>
              </w:rPr>
            </m:ctrlPr>
          </m:sSubPr>
          <m:e>
            <m:r>
              <w:rPr>
                <w:rFonts w:ascii="Cambria Math" w:hAnsi="Cambria Math"/>
                <w:sz w:val="20"/>
                <w:szCs w:val="20"/>
                <w:lang w:val="en-IE"/>
              </w:rPr>
              <m:t>CHK</m:t>
            </m:r>
          </m:e>
          <m:sub>
            <m:r>
              <w:rPr>
                <w:rFonts w:ascii="Cambria Math" w:hAnsi="Cambria Math"/>
                <w:sz w:val="20"/>
                <w:szCs w:val="20"/>
                <w:lang w:val="en-IE"/>
              </w:rPr>
              <m:t>tot</m:t>
            </m:r>
          </m:sub>
        </m:sSub>
      </m:oMath>
      <w:r w:rsidRPr="00111A63">
        <w:rPr>
          <w:sz w:val="20"/>
          <w:szCs w:val="20"/>
        </w:rPr>
        <w:t xml:space="preserve">, and </w:t>
      </w:r>
      <m:oMath>
        <m:sSub>
          <m:sSubPr>
            <m:ctrlPr>
              <w:rPr>
                <w:rFonts w:ascii="Cambria Math" w:hAnsi="Cambria Math"/>
                <w:bCs/>
                <w:sz w:val="20"/>
                <w:szCs w:val="20"/>
                <w:lang w:val="en-IE"/>
              </w:rPr>
            </m:ctrlPr>
          </m:sSubPr>
          <m:e>
            <m:r>
              <w:rPr>
                <w:rFonts w:ascii="Cambria Math" w:hAnsi="Cambria Math"/>
                <w:sz w:val="20"/>
                <w:szCs w:val="20"/>
                <w:lang w:val="en-IE"/>
              </w:rPr>
              <m:t>BCL2</m:t>
            </m:r>
          </m:e>
          <m:sub>
            <m:r>
              <w:rPr>
                <w:rFonts w:ascii="Cambria Math" w:hAnsi="Cambria Math"/>
                <w:sz w:val="20"/>
                <w:szCs w:val="20"/>
                <w:lang w:val="en-IE"/>
              </w:rPr>
              <m:t>ratio</m:t>
            </m:r>
          </m:sub>
        </m:sSub>
      </m:oMath>
      <w:r w:rsidR="00E70A0F" w:rsidRPr="00E70A0F">
        <w:rPr>
          <w:sz w:val="20"/>
          <w:szCs w:val="20"/>
        </w:rPr>
        <w:t xml:space="preserve"> </w:t>
      </w:r>
      <w:r w:rsidRPr="00111A63">
        <w:rPr>
          <w:sz w:val="20"/>
          <w:szCs w:val="20"/>
        </w:rPr>
        <w:t>(Section 2.</w:t>
      </w:r>
      <w:r w:rsidR="00E70A0F">
        <w:rPr>
          <w:sz w:val="20"/>
          <w:szCs w:val="20"/>
        </w:rPr>
        <w:t>2</w:t>
      </w:r>
      <w:r w:rsidRPr="00111A63">
        <w:rPr>
          <w:sz w:val="20"/>
          <w:szCs w:val="20"/>
        </w:rPr>
        <w:t xml:space="preserve">). Rate constants reflect literature-reported timescales for the corresponding biological processes (DNA damage sensing, checkpoint signalling, </w:t>
      </w:r>
      <w:r w:rsidR="00CF306E">
        <w:rPr>
          <w:sz w:val="20"/>
          <w:szCs w:val="20"/>
        </w:rPr>
        <w:t>HR</w:t>
      </w:r>
      <w:r w:rsidRPr="00111A63">
        <w:rPr>
          <w:sz w:val="20"/>
          <w:szCs w:val="20"/>
        </w:rPr>
        <w:t xml:space="preserve"> repair, and apoptotic commitment); τ</w:t>
      </w:r>
      <w:r w:rsidRPr="00111A63">
        <w:rPr>
          <w:sz w:val="20"/>
          <w:szCs w:val="20"/>
          <w:vertAlign w:val="subscript"/>
        </w:rPr>
        <w:t>drug</w:t>
      </w:r>
      <w:r w:rsidRPr="00111A63">
        <w:rPr>
          <w:sz w:val="20"/>
          <w:szCs w:val="20"/>
        </w:rPr>
        <w:t xml:space="preserve"> is set conservatively at the upper bound of the reported carboplatin plasma half-life range.</w:t>
      </w:r>
    </w:p>
    <w:tbl>
      <w:tblPr>
        <w:tblW w:w="0" w:type="auto"/>
        <w:tblLook w:val="04A0" w:firstRow="1" w:lastRow="0" w:firstColumn="1" w:lastColumn="0" w:noHBand="0" w:noVBand="1"/>
      </w:tblPr>
      <w:tblGrid>
        <w:gridCol w:w="1392"/>
        <w:gridCol w:w="1013"/>
        <w:gridCol w:w="992"/>
        <w:gridCol w:w="5619"/>
      </w:tblGrid>
      <w:tr w:rsidR="00DC3938" w:rsidRPr="00DC3938" w14:paraId="4B2DD8F2" w14:textId="77777777" w:rsidTr="00DC3938">
        <w:tc>
          <w:tcPr>
            <w:tcW w:w="0" w:type="auto"/>
            <w:tcBorders>
              <w:bottom w:val="single" w:sz="4" w:space="0" w:color="auto"/>
            </w:tcBorders>
            <w:hideMark/>
          </w:tcPr>
          <w:p w14:paraId="3586BABA" w14:textId="77777777" w:rsidR="00DC3938" w:rsidRPr="00DC3938" w:rsidRDefault="00DC3938" w:rsidP="00DC3938">
            <w:pPr>
              <w:spacing w:after="0" w:line="240" w:lineRule="auto"/>
              <w:rPr>
                <w:rFonts w:eastAsiaTheme="minorEastAsia"/>
                <w:b/>
                <w:bCs/>
                <w:lang w:val="en-IE"/>
              </w:rPr>
            </w:pPr>
            <w:r w:rsidRPr="00DC3938">
              <w:rPr>
                <w:rFonts w:eastAsiaTheme="minorEastAsia"/>
                <w:b/>
                <w:bCs/>
                <w:lang w:val="en-IE"/>
              </w:rPr>
              <w:t>Parameter</w:t>
            </w:r>
          </w:p>
        </w:tc>
        <w:tc>
          <w:tcPr>
            <w:tcW w:w="1013" w:type="dxa"/>
            <w:tcBorders>
              <w:bottom w:val="single" w:sz="4" w:space="0" w:color="auto"/>
            </w:tcBorders>
            <w:hideMark/>
          </w:tcPr>
          <w:p w14:paraId="0CB6384E" w14:textId="77777777" w:rsidR="00DC3938" w:rsidRPr="00DC3938" w:rsidRDefault="00DC3938" w:rsidP="00DC3938">
            <w:pPr>
              <w:spacing w:after="0" w:line="240" w:lineRule="auto"/>
              <w:rPr>
                <w:rFonts w:eastAsiaTheme="minorEastAsia"/>
                <w:b/>
                <w:bCs/>
                <w:lang w:val="en-IE"/>
              </w:rPr>
            </w:pPr>
            <w:r w:rsidRPr="00DC3938">
              <w:rPr>
                <w:rFonts w:eastAsiaTheme="minorEastAsia"/>
                <w:b/>
                <w:bCs/>
                <w:lang w:val="en-IE"/>
              </w:rPr>
              <w:t>Value</w:t>
            </w:r>
          </w:p>
        </w:tc>
        <w:tc>
          <w:tcPr>
            <w:tcW w:w="992" w:type="dxa"/>
            <w:tcBorders>
              <w:bottom w:val="single" w:sz="4" w:space="0" w:color="auto"/>
            </w:tcBorders>
            <w:hideMark/>
          </w:tcPr>
          <w:p w14:paraId="459ACDCB" w14:textId="77777777" w:rsidR="00DC3938" w:rsidRPr="00DC3938" w:rsidRDefault="00DC3938" w:rsidP="00DC3938">
            <w:pPr>
              <w:spacing w:after="0" w:line="240" w:lineRule="auto"/>
              <w:rPr>
                <w:rFonts w:eastAsiaTheme="minorEastAsia"/>
                <w:b/>
                <w:bCs/>
                <w:lang w:val="en-IE"/>
              </w:rPr>
            </w:pPr>
            <w:r w:rsidRPr="00DC3938">
              <w:rPr>
                <w:rFonts w:eastAsiaTheme="minorEastAsia"/>
                <w:b/>
                <w:bCs/>
                <w:lang w:val="en-IE"/>
              </w:rPr>
              <w:t>Units</w:t>
            </w:r>
          </w:p>
        </w:tc>
        <w:tc>
          <w:tcPr>
            <w:tcW w:w="5619" w:type="dxa"/>
            <w:tcBorders>
              <w:bottom w:val="single" w:sz="4" w:space="0" w:color="auto"/>
            </w:tcBorders>
            <w:hideMark/>
          </w:tcPr>
          <w:p w14:paraId="5ED5CD32" w14:textId="77777777" w:rsidR="00DC3938" w:rsidRPr="00DC3938" w:rsidRDefault="00DC3938" w:rsidP="00DC3938">
            <w:pPr>
              <w:spacing w:after="0" w:line="240" w:lineRule="auto"/>
              <w:rPr>
                <w:rFonts w:eastAsiaTheme="minorEastAsia"/>
                <w:b/>
                <w:bCs/>
                <w:lang w:val="en-IE"/>
              </w:rPr>
            </w:pPr>
            <w:r w:rsidRPr="00DC3938">
              <w:rPr>
                <w:rFonts w:eastAsiaTheme="minorEastAsia"/>
                <w:b/>
                <w:bCs/>
                <w:lang w:val="en-IE"/>
              </w:rPr>
              <w:t>Biological basis</w:t>
            </w:r>
          </w:p>
        </w:tc>
      </w:tr>
      <w:tr w:rsidR="00DC3938" w:rsidRPr="00DC3938" w14:paraId="6648E303" w14:textId="77777777" w:rsidTr="00DC3938">
        <w:tc>
          <w:tcPr>
            <w:tcW w:w="0" w:type="auto"/>
            <w:tcBorders>
              <w:top w:val="single" w:sz="4" w:space="0" w:color="auto"/>
            </w:tcBorders>
            <w:hideMark/>
          </w:tcPr>
          <w:p w14:paraId="38E89754"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D</w:t>
            </w:r>
            <w:r w:rsidRPr="00DC3938">
              <w:rPr>
                <w:rFonts w:ascii="Cambria Math" w:eastAsiaTheme="minorEastAsia" w:hAnsi="Cambria Math" w:cs="Cambria Math"/>
                <w:lang w:val="en-IE"/>
              </w:rPr>
              <w:t>₀</w:t>
            </w:r>
          </w:p>
        </w:tc>
        <w:tc>
          <w:tcPr>
            <w:tcW w:w="1013" w:type="dxa"/>
            <w:tcBorders>
              <w:top w:val="single" w:sz="4" w:space="0" w:color="auto"/>
            </w:tcBorders>
            <w:hideMark/>
          </w:tcPr>
          <w:p w14:paraId="4E023C12"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1.0</w:t>
            </w:r>
          </w:p>
        </w:tc>
        <w:tc>
          <w:tcPr>
            <w:tcW w:w="992" w:type="dxa"/>
            <w:tcBorders>
              <w:top w:val="single" w:sz="4" w:space="0" w:color="auto"/>
            </w:tcBorders>
            <w:hideMark/>
          </w:tcPr>
          <w:p w14:paraId="46C74E1D"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w:t>
            </w:r>
          </w:p>
        </w:tc>
        <w:tc>
          <w:tcPr>
            <w:tcW w:w="5619" w:type="dxa"/>
            <w:tcBorders>
              <w:top w:val="single" w:sz="4" w:space="0" w:color="auto"/>
            </w:tcBorders>
            <w:hideMark/>
          </w:tcPr>
          <w:p w14:paraId="670C84A0" w14:textId="77777777" w:rsidR="00DC3938" w:rsidRPr="00DC3938" w:rsidRDefault="00DC3938" w:rsidP="004961FA">
            <w:pPr>
              <w:spacing w:after="0" w:line="240" w:lineRule="auto"/>
              <w:rPr>
                <w:rFonts w:eastAsiaTheme="minorEastAsia"/>
                <w:lang w:val="en-IE"/>
              </w:rPr>
            </w:pPr>
            <w:r w:rsidRPr="00DC3938">
              <w:rPr>
                <w:rFonts w:eastAsiaTheme="minorEastAsia"/>
                <w:lang w:val="en-IE"/>
              </w:rPr>
              <w:t>Normalised damage input magnitude</w:t>
            </w:r>
          </w:p>
        </w:tc>
      </w:tr>
      <w:tr w:rsidR="00DC3938" w:rsidRPr="00DC3938" w14:paraId="3AACD1E6" w14:textId="77777777" w:rsidTr="00DC3938">
        <w:tc>
          <w:tcPr>
            <w:tcW w:w="0" w:type="auto"/>
            <w:hideMark/>
          </w:tcPr>
          <w:p w14:paraId="1539D1B8" w14:textId="55FFD947" w:rsidR="00DC3938" w:rsidRPr="00DC3938" w:rsidRDefault="00DC3938" w:rsidP="00DC3938">
            <w:pPr>
              <w:spacing w:after="0" w:line="240" w:lineRule="auto"/>
              <w:rPr>
                <w:rFonts w:eastAsiaTheme="minorEastAsia"/>
                <w:lang w:val="en-IE"/>
              </w:rPr>
            </w:pPr>
            <w:r w:rsidRPr="00DC3938">
              <w:rPr>
                <w:rFonts w:eastAsiaTheme="minorEastAsia"/>
                <w:lang w:val="en-IE"/>
              </w:rPr>
              <w:t>τ</w:t>
            </w:r>
            <w:r w:rsidRPr="002D2851">
              <w:rPr>
                <w:rFonts w:eastAsiaTheme="minorEastAsia"/>
                <w:vertAlign w:val="subscript"/>
                <w:lang w:val="en-IE"/>
              </w:rPr>
              <w:t>drug</w:t>
            </w:r>
          </w:p>
        </w:tc>
        <w:tc>
          <w:tcPr>
            <w:tcW w:w="1013" w:type="dxa"/>
            <w:hideMark/>
          </w:tcPr>
          <w:p w14:paraId="662F3B56"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6.0</w:t>
            </w:r>
          </w:p>
        </w:tc>
        <w:tc>
          <w:tcPr>
            <w:tcW w:w="992" w:type="dxa"/>
            <w:hideMark/>
          </w:tcPr>
          <w:p w14:paraId="3D0434A0"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w:t>
            </w:r>
          </w:p>
        </w:tc>
        <w:tc>
          <w:tcPr>
            <w:tcW w:w="5619" w:type="dxa"/>
            <w:hideMark/>
          </w:tcPr>
          <w:p w14:paraId="6563A48E"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Carboplatin plasma half-life ~2–6 h</w:t>
            </w:r>
          </w:p>
        </w:tc>
      </w:tr>
      <w:tr w:rsidR="00DC3938" w:rsidRPr="00DC3938" w14:paraId="795D476F" w14:textId="77777777" w:rsidTr="00DC3938">
        <w:tc>
          <w:tcPr>
            <w:tcW w:w="0" w:type="auto"/>
            <w:hideMark/>
          </w:tcPr>
          <w:p w14:paraId="12FD3721" w14:textId="61F6D96B" w:rsidR="00DC3938" w:rsidRPr="00DC3938" w:rsidRDefault="00DC3938" w:rsidP="00DC3938">
            <w:pPr>
              <w:spacing w:after="0" w:line="240" w:lineRule="auto"/>
              <w:rPr>
                <w:rFonts w:eastAsiaTheme="minorEastAsia"/>
                <w:lang w:val="en-IE"/>
              </w:rPr>
            </w:pPr>
            <w:r w:rsidRPr="00DC3938">
              <w:rPr>
                <w:rFonts w:eastAsiaTheme="minorEastAsia"/>
                <w:lang w:val="en-IE"/>
              </w:rPr>
              <w:t>k</w:t>
            </w:r>
            <w:r w:rsidRPr="002D2851">
              <w:rPr>
                <w:rFonts w:eastAsiaTheme="minorEastAsia"/>
                <w:vertAlign w:val="subscript"/>
                <w:lang w:val="en-IE"/>
              </w:rPr>
              <w:t>a</w:t>
            </w:r>
          </w:p>
        </w:tc>
        <w:tc>
          <w:tcPr>
            <w:tcW w:w="1013" w:type="dxa"/>
            <w:hideMark/>
          </w:tcPr>
          <w:p w14:paraId="1738A6E9"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1.0</w:t>
            </w:r>
          </w:p>
        </w:tc>
        <w:tc>
          <w:tcPr>
            <w:tcW w:w="992" w:type="dxa"/>
            <w:hideMark/>
          </w:tcPr>
          <w:p w14:paraId="7367FBC7"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w:t>
            </w:r>
            <w:r w:rsidRPr="00DC3938">
              <w:rPr>
                <w:rFonts w:ascii="Cambria Math" w:eastAsiaTheme="minorEastAsia" w:hAnsi="Cambria Math" w:cs="Cambria Math"/>
                <w:lang w:val="en-IE"/>
              </w:rPr>
              <w:t>⁻</w:t>
            </w:r>
            <w:r w:rsidRPr="00DC3938">
              <w:rPr>
                <w:rFonts w:eastAsiaTheme="minorEastAsia"/>
                <w:lang w:val="en-IE"/>
              </w:rPr>
              <w:t>¹</w:t>
            </w:r>
          </w:p>
        </w:tc>
        <w:tc>
          <w:tcPr>
            <w:tcW w:w="5619" w:type="dxa"/>
            <w:hideMark/>
          </w:tcPr>
          <w:p w14:paraId="7732F7E7"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ATM/ATR activation rate</w:t>
            </w:r>
          </w:p>
        </w:tc>
      </w:tr>
      <w:tr w:rsidR="00DC3938" w:rsidRPr="00DC3938" w14:paraId="03F9742D" w14:textId="77777777" w:rsidTr="00DC3938">
        <w:tc>
          <w:tcPr>
            <w:tcW w:w="0" w:type="auto"/>
            <w:hideMark/>
          </w:tcPr>
          <w:p w14:paraId="0A8A6A88" w14:textId="7EE9949A" w:rsidR="00DC3938" w:rsidRPr="00DC3938" w:rsidRDefault="00DC3938" w:rsidP="00DC3938">
            <w:pPr>
              <w:spacing w:after="0" w:line="240" w:lineRule="auto"/>
              <w:rPr>
                <w:rFonts w:eastAsiaTheme="minorEastAsia"/>
                <w:lang w:val="en-IE"/>
              </w:rPr>
            </w:pPr>
            <w:r w:rsidRPr="00DC3938">
              <w:rPr>
                <w:rFonts w:eastAsiaTheme="minorEastAsia"/>
                <w:lang w:val="en-IE"/>
              </w:rPr>
              <w:t>d</w:t>
            </w:r>
            <w:r w:rsidRPr="002D2851">
              <w:rPr>
                <w:rFonts w:eastAsiaTheme="minorEastAsia"/>
                <w:vertAlign w:val="subscript"/>
                <w:lang w:val="en-IE"/>
              </w:rPr>
              <w:t>a</w:t>
            </w:r>
          </w:p>
        </w:tc>
        <w:tc>
          <w:tcPr>
            <w:tcW w:w="1013" w:type="dxa"/>
            <w:hideMark/>
          </w:tcPr>
          <w:p w14:paraId="7B25AAF6"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0.5</w:t>
            </w:r>
          </w:p>
        </w:tc>
        <w:tc>
          <w:tcPr>
            <w:tcW w:w="992" w:type="dxa"/>
            <w:hideMark/>
          </w:tcPr>
          <w:p w14:paraId="6F1C8B1D"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w:t>
            </w:r>
            <w:r w:rsidRPr="00DC3938">
              <w:rPr>
                <w:rFonts w:ascii="Cambria Math" w:eastAsiaTheme="minorEastAsia" w:hAnsi="Cambria Math" w:cs="Cambria Math"/>
                <w:lang w:val="en-IE"/>
              </w:rPr>
              <w:t>⁻</w:t>
            </w:r>
            <w:r w:rsidRPr="00DC3938">
              <w:rPr>
                <w:rFonts w:eastAsiaTheme="minorEastAsia"/>
                <w:lang w:val="en-IE"/>
              </w:rPr>
              <w:t>¹</w:t>
            </w:r>
          </w:p>
        </w:tc>
        <w:tc>
          <w:tcPr>
            <w:tcW w:w="5619" w:type="dxa"/>
            <w:hideMark/>
          </w:tcPr>
          <w:p w14:paraId="3511B92B"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ATM deactivation (half-life ~2 h)</w:t>
            </w:r>
          </w:p>
        </w:tc>
      </w:tr>
      <w:tr w:rsidR="00DC3938" w:rsidRPr="00DC3938" w14:paraId="2A5FAD98" w14:textId="77777777" w:rsidTr="00DC3938">
        <w:tc>
          <w:tcPr>
            <w:tcW w:w="0" w:type="auto"/>
            <w:hideMark/>
          </w:tcPr>
          <w:p w14:paraId="13EA95C0" w14:textId="20628734" w:rsidR="00DC3938" w:rsidRPr="00DC3938" w:rsidRDefault="00DC3938" w:rsidP="00DC3938">
            <w:pPr>
              <w:spacing w:after="0" w:line="240" w:lineRule="auto"/>
              <w:rPr>
                <w:rFonts w:eastAsiaTheme="minorEastAsia"/>
                <w:lang w:val="en-IE"/>
              </w:rPr>
            </w:pPr>
            <w:r w:rsidRPr="00DC3938">
              <w:rPr>
                <w:rFonts w:eastAsiaTheme="minorEastAsia"/>
                <w:lang w:val="en-IE"/>
              </w:rPr>
              <w:t>k</w:t>
            </w:r>
            <w:r w:rsidRPr="002D2851">
              <w:rPr>
                <w:rFonts w:eastAsiaTheme="minorEastAsia"/>
                <w:vertAlign w:val="subscript"/>
                <w:lang w:val="en-IE"/>
              </w:rPr>
              <w:t>c</w:t>
            </w:r>
          </w:p>
        </w:tc>
        <w:tc>
          <w:tcPr>
            <w:tcW w:w="1013" w:type="dxa"/>
            <w:hideMark/>
          </w:tcPr>
          <w:p w14:paraId="297FB175"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0.5</w:t>
            </w:r>
          </w:p>
        </w:tc>
        <w:tc>
          <w:tcPr>
            <w:tcW w:w="992" w:type="dxa"/>
            <w:hideMark/>
          </w:tcPr>
          <w:p w14:paraId="22C78CA7"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w:t>
            </w:r>
            <w:r w:rsidRPr="00DC3938">
              <w:rPr>
                <w:rFonts w:ascii="Cambria Math" w:eastAsiaTheme="minorEastAsia" w:hAnsi="Cambria Math" w:cs="Cambria Math"/>
                <w:lang w:val="en-IE"/>
              </w:rPr>
              <w:t>⁻</w:t>
            </w:r>
            <w:r w:rsidRPr="00DC3938">
              <w:rPr>
                <w:rFonts w:eastAsiaTheme="minorEastAsia"/>
                <w:lang w:val="en-IE"/>
              </w:rPr>
              <w:t>¹</w:t>
            </w:r>
          </w:p>
        </w:tc>
        <w:tc>
          <w:tcPr>
            <w:tcW w:w="5619" w:type="dxa"/>
            <w:hideMark/>
          </w:tcPr>
          <w:p w14:paraId="5C6BB084"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CHK1/2 activation rate</w:t>
            </w:r>
          </w:p>
        </w:tc>
      </w:tr>
      <w:tr w:rsidR="00DC3938" w:rsidRPr="00DC3938" w14:paraId="5613F83A" w14:textId="77777777" w:rsidTr="00DC3938">
        <w:tc>
          <w:tcPr>
            <w:tcW w:w="0" w:type="auto"/>
            <w:hideMark/>
          </w:tcPr>
          <w:p w14:paraId="33935A70" w14:textId="56F216D3" w:rsidR="00DC3938" w:rsidRPr="00DC3938" w:rsidRDefault="00DC3938" w:rsidP="00DC3938">
            <w:pPr>
              <w:spacing w:after="0" w:line="240" w:lineRule="auto"/>
              <w:rPr>
                <w:rFonts w:eastAsiaTheme="minorEastAsia"/>
                <w:lang w:val="en-IE"/>
              </w:rPr>
            </w:pPr>
            <w:r w:rsidRPr="00DC3938">
              <w:rPr>
                <w:rFonts w:eastAsiaTheme="minorEastAsia"/>
                <w:lang w:val="en-IE"/>
              </w:rPr>
              <w:t>d</w:t>
            </w:r>
            <w:r w:rsidRPr="002D2851">
              <w:rPr>
                <w:rFonts w:eastAsiaTheme="minorEastAsia"/>
                <w:vertAlign w:val="subscript"/>
                <w:lang w:val="en-IE"/>
              </w:rPr>
              <w:t>c</w:t>
            </w:r>
          </w:p>
        </w:tc>
        <w:tc>
          <w:tcPr>
            <w:tcW w:w="1013" w:type="dxa"/>
            <w:hideMark/>
          </w:tcPr>
          <w:p w14:paraId="370159B3"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0.2</w:t>
            </w:r>
          </w:p>
        </w:tc>
        <w:tc>
          <w:tcPr>
            <w:tcW w:w="992" w:type="dxa"/>
            <w:hideMark/>
          </w:tcPr>
          <w:p w14:paraId="49DAE7CB"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w:t>
            </w:r>
            <w:r w:rsidRPr="00DC3938">
              <w:rPr>
                <w:rFonts w:ascii="Cambria Math" w:eastAsiaTheme="minorEastAsia" w:hAnsi="Cambria Math" w:cs="Cambria Math"/>
                <w:lang w:val="en-IE"/>
              </w:rPr>
              <w:t>⁻</w:t>
            </w:r>
            <w:r w:rsidRPr="00DC3938">
              <w:rPr>
                <w:rFonts w:eastAsiaTheme="minorEastAsia"/>
                <w:lang w:val="en-IE"/>
              </w:rPr>
              <w:t>¹</w:t>
            </w:r>
          </w:p>
        </w:tc>
        <w:tc>
          <w:tcPr>
            <w:tcW w:w="5619" w:type="dxa"/>
            <w:hideMark/>
          </w:tcPr>
          <w:p w14:paraId="6DFB2053"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CHK1/2 deactivation (half-life ~5 h)</w:t>
            </w:r>
          </w:p>
        </w:tc>
      </w:tr>
      <w:tr w:rsidR="00DC3938" w:rsidRPr="00DC3938" w14:paraId="78CCB3BF" w14:textId="77777777" w:rsidTr="00DC3938">
        <w:tc>
          <w:tcPr>
            <w:tcW w:w="0" w:type="auto"/>
            <w:hideMark/>
          </w:tcPr>
          <w:p w14:paraId="5726AE72" w14:textId="1FE95F19" w:rsidR="00DC3938" w:rsidRPr="00DC3938" w:rsidRDefault="00DC3938" w:rsidP="00DC3938">
            <w:pPr>
              <w:spacing w:after="0" w:line="240" w:lineRule="auto"/>
              <w:rPr>
                <w:rFonts w:eastAsiaTheme="minorEastAsia"/>
                <w:lang w:val="en-IE"/>
              </w:rPr>
            </w:pPr>
            <w:r w:rsidRPr="00DC3938">
              <w:rPr>
                <w:rFonts w:eastAsiaTheme="minorEastAsia"/>
                <w:lang w:val="en-IE"/>
              </w:rPr>
              <w:t>k</w:t>
            </w:r>
            <w:r w:rsidRPr="002D2851">
              <w:rPr>
                <w:rFonts w:eastAsiaTheme="minorEastAsia"/>
                <w:vertAlign w:val="subscript"/>
                <w:lang w:val="en-IE"/>
              </w:rPr>
              <w:t>HR</w:t>
            </w:r>
          </w:p>
        </w:tc>
        <w:tc>
          <w:tcPr>
            <w:tcW w:w="1013" w:type="dxa"/>
            <w:hideMark/>
          </w:tcPr>
          <w:p w14:paraId="01FF4268"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0.15</w:t>
            </w:r>
          </w:p>
        </w:tc>
        <w:tc>
          <w:tcPr>
            <w:tcW w:w="992" w:type="dxa"/>
            <w:hideMark/>
          </w:tcPr>
          <w:p w14:paraId="38A32DFA"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w:t>
            </w:r>
            <w:r w:rsidRPr="00DC3938">
              <w:rPr>
                <w:rFonts w:ascii="Cambria Math" w:eastAsiaTheme="minorEastAsia" w:hAnsi="Cambria Math" w:cs="Cambria Math"/>
                <w:lang w:val="en-IE"/>
              </w:rPr>
              <w:t>⁻</w:t>
            </w:r>
            <w:r w:rsidRPr="00DC3938">
              <w:rPr>
                <w:rFonts w:eastAsiaTheme="minorEastAsia"/>
                <w:lang w:val="en-IE"/>
              </w:rPr>
              <w:t>¹</w:t>
            </w:r>
          </w:p>
        </w:tc>
        <w:tc>
          <w:tcPr>
            <w:tcW w:w="5619" w:type="dxa"/>
            <w:hideMark/>
          </w:tcPr>
          <w:p w14:paraId="6727B161"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HR repair rate per unit R</w:t>
            </w:r>
          </w:p>
        </w:tc>
      </w:tr>
      <w:tr w:rsidR="00DC3938" w:rsidRPr="00DC3938" w14:paraId="24A0C624" w14:textId="77777777" w:rsidTr="00DC3938">
        <w:tc>
          <w:tcPr>
            <w:tcW w:w="0" w:type="auto"/>
            <w:hideMark/>
          </w:tcPr>
          <w:p w14:paraId="60189A99" w14:textId="2CCF1871" w:rsidR="00DC3938" w:rsidRPr="00DC3938" w:rsidRDefault="00DC3938" w:rsidP="00DC3938">
            <w:pPr>
              <w:spacing w:after="0" w:line="240" w:lineRule="auto"/>
              <w:rPr>
                <w:rFonts w:eastAsiaTheme="minorEastAsia"/>
                <w:lang w:val="en-IE"/>
              </w:rPr>
            </w:pPr>
            <w:r w:rsidRPr="00DC3938">
              <w:rPr>
                <w:rFonts w:eastAsiaTheme="minorEastAsia"/>
                <w:lang w:val="en-IE"/>
              </w:rPr>
              <w:t>k</w:t>
            </w:r>
            <w:r w:rsidRPr="002D2851">
              <w:rPr>
                <w:rFonts w:eastAsiaTheme="minorEastAsia"/>
                <w:vertAlign w:val="subscript"/>
                <w:lang w:val="en-IE"/>
              </w:rPr>
              <w:t>NHEJ</w:t>
            </w:r>
          </w:p>
        </w:tc>
        <w:tc>
          <w:tcPr>
            <w:tcW w:w="1013" w:type="dxa"/>
            <w:hideMark/>
          </w:tcPr>
          <w:p w14:paraId="2AEFD54C"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0.30</w:t>
            </w:r>
          </w:p>
        </w:tc>
        <w:tc>
          <w:tcPr>
            <w:tcW w:w="992" w:type="dxa"/>
            <w:hideMark/>
          </w:tcPr>
          <w:p w14:paraId="4DD685CC"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w:t>
            </w:r>
            <w:r w:rsidRPr="00DC3938">
              <w:rPr>
                <w:rFonts w:ascii="Cambria Math" w:eastAsiaTheme="minorEastAsia" w:hAnsi="Cambria Math" w:cs="Cambria Math"/>
                <w:lang w:val="en-IE"/>
              </w:rPr>
              <w:t>⁻</w:t>
            </w:r>
            <w:r w:rsidRPr="00DC3938">
              <w:rPr>
                <w:rFonts w:eastAsiaTheme="minorEastAsia"/>
                <w:lang w:val="en-IE"/>
              </w:rPr>
              <w:t>¹</w:t>
            </w:r>
          </w:p>
        </w:tc>
        <w:tc>
          <w:tcPr>
            <w:tcW w:w="5619" w:type="dxa"/>
            <w:hideMark/>
          </w:tcPr>
          <w:p w14:paraId="39D7BE00"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NHEJ repair rate (R-independent)</w:t>
            </w:r>
          </w:p>
        </w:tc>
      </w:tr>
      <w:tr w:rsidR="00DC3938" w:rsidRPr="00DC3938" w14:paraId="24CB6E24" w14:textId="77777777" w:rsidTr="00DC3938">
        <w:tc>
          <w:tcPr>
            <w:tcW w:w="0" w:type="auto"/>
            <w:hideMark/>
          </w:tcPr>
          <w:p w14:paraId="46DE1923" w14:textId="2842FC20" w:rsidR="00DC3938" w:rsidRPr="00DC3938" w:rsidRDefault="00DC3938" w:rsidP="00DC3938">
            <w:pPr>
              <w:spacing w:after="0" w:line="240" w:lineRule="auto"/>
              <w:rPr>
                <w:rFonts w:eastAsiaTheme="minorEastAsia"/>
                <w:lang w:val="en-IE"/>
              </w:rPr>
            </w:pPr>
            <w:r w:rsidRPr="00DC3938">
              <w:rPr>
                <w:rFonts w:eastAsiaTheme="minorEastAsia"/>
                <w:lang w:val="en-IE"/>
              </w:rPr>
              <w:t>k</w:t>
            </w:r>
            <w:r w:rsidRPr="002D2851">
              <w:rPr>
                <w:rFonts w:eastAsiaTheme="minorEastAsia"/>
                <w:vertAlign w:val="subscript"/>
                <w:lang w:val="en-IE"/>
              </w:rPr>
              <w:t>load</w:t>
            </w:r>
          </w:p>
        </w:tc>
        <w:tc>
          <w:tcPr>
            <w:tcW w:w="1013" w:type="dxa"/>
            <w:hideMark/>
          </w:tcPr>
          <w:p w14:paraId="5177272F"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0.20</w:t>
            </w:r>
          </w:p>
        </w:tc>
        <w:tc>
          <w:tcPr>
            <w:tcW w:w="992" w:type="dxa"/>
            <w:hideMark/>
          </w:tcPr>
          <w:p w14:paraId="63271D40"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w:t>
            </w:r>
            <w:r w:rsidRPr="00DC3938">
              <w:rPr>
                <w:rFonts w:ascii="Cambria Math" w:eastAsiaTheme="minorEastAsia" w:hAnsi="Cambria Math" w:cs="Cambria Math"/>
                <w:lang w:val="en-IE"/>
              </w:rPr>
              <w:t>⁻</w:t>
            </w:r>
            <w:r w:rsidRPr="00DC3938">
              <w:rPr>
                <w:rFonts w:eastAsiaTheme="minorEastAsia"/>
                <w:lang w:val="en-IE"/>
              </w:rPr>
              <w:t>¹</w:t>
            </w:r>
          </w:p>
        </w:tc>
        <w:tc>
          <w:tcPr>
            <w:tcW w:w="5619" w:type="dxa"/>
            <w:hideMark/>
          </w:tcPr>
          <w:p w14:paraId="6E99FEA8"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CHK-driven HR complex depletion</w:t>
            </w:r>
          </w:p>
        </w:tc>
      </w:tr>
      <w:tr w:rsidR="00DC3938" w:rsidRPr="00DC3938" w14:paraId="3094C549" w14:textId="77777777" w:rsidTr="00DC3938">
        <w:tc>
          <w:tcPr>
            <w:tcW w:w="0" w:type="auto"/>
            <w:hideMark/>
          </w:tcPr>
          <w:p w14:paraId="2B4D1F57" w14:textId="45B412D3" w:rsidR="00DC3938" w:rsidRPr="00DC3938" w:rsidRDefault="00DC3938" w:rsidP="00DC3938">
            <w:pPr>
              <w:spacing w:after="0" w:line="240" w:lineRule="auto"/>
              <w:rPr>
                <w:rFonts w:eastAsiaTheme="minorEastAsia"/>
                <w:lang w:val="en-IE"/>
              </w:rPr>
            </w:pPr>
            <w:r w:rsidRPr="00DC3938">
              <w:rPr>
                <w:rFonts w:eastAsiaTheme="minorEastAsia"/>
                <w:lang w:val="en-IE"/>
              </w:rPr>
              <w:t>d</w:t>
            </w:r>
            <w:r w:rsidRPr="002D2851">
              <w:rPr>
                <w:rFonts w:eastAsiaTheme="minorEastAsia"/>
                <w:vertAlign w:val="subscript"/>
                <w:lang w:val="en-IE"/>
              </w:rPr>
              <w:t>r</w:t>
            </w:r>
          </w:p>
        </w:tc>
        <w:tc>
          <w:tcPr>
            <w:tcW w:w="1013" w:type="dxa"/>
            <w:hideMark/>
          </w:tcPr>
          <w:p w14:paraId="48B8124A"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0.10</w:t>
            </w:r>
          </w:p>
        </w:tc>
        <w:tc>
          <w:tcPr>
            <w:tcW w:w="992" w:type="dxa"/>
            <w:hideMark/>
          </w:tcPr>
          <w:p w14:paraId="58A277E0"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w:t>
            </w:r>
            <w:r w:rsidRPr="00DC3938">
              <w:rPr>
                <w:rFonts w:ascii="Cambria Math" w:eastAsiaTheme="minorEastAsia" w:hAnsi="Cambria Math" w:cs="Cambria Math"/>
                <w:lang w:val="en-IE"/>
              </w:rPr>
              <w:t>⁻</w:t>
            </w:r>
            <w:r w:rsidRPr="00DC3938">
              <w:rPr>
                <w:rFonts w:eastAsiaTheme="minorEastAsia"/>
                <w:lang w:val="en-IE"/>
              </w:rPr>
              <w:t>¹</w:t>
            </w:r>
          </w:p>
        </w:tc>
        <w:tc>
          <w:tcPr>
            <w:tcW w:w="5619" w:type="dxa"/>
            <w:hideMark/>
          </w:tcPr>
          <w:p w14:paraId="6BDDA1CA"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HR complex basal turnover</w:t>
            </w:r>
          </w:p>
        </w:tc>
      </w:tr>
      <w:tr w:rsidR="00DC3938" w:rsidRPr="00DC3938" w14:paraId="22F361BF" w14:textId="77777777" w:rsidTr="00DC3938">
        <w:tc>
          <w:tcPr>
            <w:tcW w:w="0" w:type="auto"/>
            <w:hideMark/>
          </w:tcPr>
          <w:p w14:paraId="56614195" w14:textId="43A5AB94" w:rsidR="00DC3938" w:rsidRPr="00DC3938" w:rsidRDefault="00DC3938" w:rsidP="00DC3938">
            <w:pPr>
              <w:spacing w:after="0" w:line="240" w:lineRule="auto"/>
              <w:rPr>
                <w:rFonts w:eastAsiaTheme="minorEastAsia"/>
                <w:lang w:val="en-IE"/>
              </w:rPr>
            </w:pPr>
            <w:r w:rsidRPr="00DC3938">
              <w:rPr>
                <w:rFonts w:eastAsiaTheme="minorEastAsia"/>
                <w:lang w:val="en-IE"/>
              </w:rPr>
              <w:t>k</w:t>
            </w:r>
            <w:r w:rsidRPr="002D2851">
              <w:rPr>
                <w:rFonts w:eastAsiaTheme="minorEastAsia"/>
                <w:vertAlign w:val="subscript"/>
                <w:lang w:val="en-IE"/>
              </w:rPr>
              <w:t>x</w:t>
            </w:r>
          </w:p>
        </w:tc>
        <w:tc>
          <w:tcPr>
            <w:tcW w:w="1013" w:type="dxa"/>
            <w:hideMark/>
          </w:tcPr>
          <w:p w14:paraId="6C1DD694"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0.10</w:t>
            </w:r>
          </w:p>
        </w:tc>
        <w:tc>
          <w:tcPr>
            <w:tcW w:w="992" w:type="dxa"/>
            <w:hideMark/>
          </w:tcPr>
          <w:p w14:paraId="4FBDE9B8"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w:t>
            </w:r>
            <w:r w:rsidRPr="00DC3938">
              <w:rPr>
                <w:rFonts w:ascii="Cambria Math" w:eastAsiaTheme="minorEastAsia" w:hAnsi="Cambria Math" w:cs="Cambria Math"/>
                <w:lang w:val="en-IE"/>
              </w:rPr>
              <w:t>⁻</w:t>
            </w:r>
            <w:r w:rsidRPr="00DC3938">
              <w:rPr>
                <w:rFonts w:eastAsiaTheme="minorEastAsia"/>
                <w:lang w:val="en-IE"/>
              </w:rPr>
              <w:t>¹</w:t>
            </w:r>
          </w:p>
        </w:tc>
        <w:tc>
          <w:tcPr>
            <w:tcW w:w="5619" w:type="dxa"/>
            <w:hideMark/>
          </w:tcPr>
          <w:p w14:paraId="43BC1EB8"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Checkpoint-driven apoptotic rate</w:t>
            </w:r>
          </w:p>
        </w:tc>
      </w:tr>
      <w:tr w:rsidR="00DC3938" w:rsidRPr="00DC3938" w14:paraId="402160FE" w14:textId="77777777" w:rsidTr="00DC3938">
        <w:tc>
          <w:tcPr>
            <w:tcW w:w="0" w:type="auto"/>
            <w:hideMark/>
          </w:tcPr>
          <w:p w14:paraId="6DF99B40" w14:textId="77DF1140" w:rsidR="00DC3938" w:rsidRPr="00DC3938" w:rsidRDefault="00DC3938" w:rsidP="00DC3938">
            <w:pPr>
              <w:spacing w:after="0" w:line="240" w:lineRule="auto"/>
              <w:rPr>
                <w:rFonts w:eastAsiaTheme="minorEastAsia"/>
                <w:lang w:val="en-IE"/>
              </w:rPr>
            </w:pPr>
            <w:r w:rsidRPr="00DC3938">
              <w:rPr>
                <w:rFonts w:eastAsiaTheme="minorEastAsia"/>
                <w:lang w:val="en-IE"/>
              </w:rPr>
              <w:t>d</w:t>
            </w:r>
            <w:r w:rsidRPr="002D2851">
              <w:rPr>
                <w:rFonts w:eastAsiaTheme="minorEastAsia"/>
                <w:vertAlign w:val="subscript"/>
                <w:lang w:val="en-IE"/>
              </w:rPr>
              <w:t>x</w:t>
            </w:r>
          </w:p>
        </w:tc>
        <w:tc>
          <w:tcPr>
            <w:tcW w:w="1013" w:type="dxa"/>
            <w:hideMark/>
          </w:tcPr>
          <w:p w14:paraId="1BC5CF4D"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0.02</w:t>
            </w:r>
          </w:p>
        </w:tc>
        <w:tc>
          <w:tcPr>
            <w:tcW w:w="992" w:type="dxa"/>
            <w:hideMark/>
          </w:tcPr>
          <w:p w14:paraId="0EAE89ED"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w:t>
            </w:r>
            <w:r w:rsidRPr="00DC3938">
              <w:rPr>
                <w:rFonts w:ascii="Cambria Math" w:eastAsiaTheme="minorEastAsia" w:hAnsi="Cambria Math" w:cs="Cambria Math"/>
                <w:lang w:val="en-IE"/>
              </w:rPr>
              <w:t>⁻</w:t>
            </w:r>
            <w:r w:rsidRPr="00DC3938">
              <w:rPr>
                <w:rFonts w:eastAsiaTheme="minorEastAsia"/>
                <w:lang w:val="en-IE"/>
              </w:rPr>
              <w:t>¹</w:t>
            </w:r>
          </w:p>
        </w:tc>
        <w:tc>
          <w:tcPr>
            <w:tcW w:w="5619" w:type="dxa"/>
            <w:hideMark/>
          </w:tcPr>
          <w:p w14:paraId="58EE117A"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Apoptotic signal decay</w:t>
            </w:r>
          </w:p>
        </w:tc>
      </w:tr>
      <w:tr w:rsidR="00DC3938" w:rsidRPr="00DC3938" w14:paraId="38448DB2" w14:textId="77777777" w:rsidTr="00DC3938">
        <w:tc>
          <w:tcPr>
            <w:tcW w:w="0" w:type="auto"/>
            <w:hideMark/>
          </w:tcPr>
          <w:p w14:paraId="5B92CAC9" w14:textId="7952C867" w:rsidR="00DC3938" w:rsidRPr="00DC3938" w:rsidRDefault="00DC3938" w:rsidP="00DC3938">
            <w:pPr>
              <w:spacing w:after="0" w:line="240" w:lineRule="auto"/>
              <w:rPr>
                <w:rFonts w:eastAsiaTheme="minorEastAsia"/>
                <w:lang w:val="en-IE"/>
              </w:rPr>
            </w:pPr>
            <w:r w:rsidRPr="00DC3938">
              <w:rPr>
                <w:rFonts w:eastAsiaTheme="minorEastAsia"/>
                <w:lang w:val="en-IE"/>
              </w:rPr>
              <w:t>k</w:t>
            </w:r>
            <w:r w:rsidRPr="002D2851">
              <w:rPr>
                <w:rFonts w:eastAsiaTheme="minorEastAsia"/>
                <w:vertAlign w:val="subscript"/>
                <w:lang w:val="en-IE"/>
              </w:rPr>
              <w:t>suppress</w:t>
            </w:r>
          </w:p>
        </w:tc>
        <w:tc>
          <w:tcPr>
            <w:tcW w:w="1013" w:type="dxa"/>
            <w:hideMark/>
          </w:tcPr>
          <w:p w14:paraId="297A6B0B"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0.30</w:t>
            </w:r>
          </w:p>
        </w:tc>
        <w:tc>
          <w:tcPr>
            <w:tcW w:w="992" w:type="dxa"/>
            <w:hideMark/>
          </w:tcPr>
          <w:p w14:paraId="58695FA8"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w:t>
            </w:r>
            <w:r w:rsidRPr="00DC3938">
              <w:rPr>
                <w:rFonts w:ascii="Cambria Math" w:eastAsiaTheme="minorEastAsia" w:hAnsi="Cambria Math" w:cs="Cambria Math"/>
                <w:lang w:val="en-IE"/>
              </w:rPr>
              <w:t>⁻</w:t>
            </w:r>
            <w:r w:rsidRPr="00DC3938">
              <w:rPr>
                <w:rFonts w:eastAsiaTheme="minorEastAsia"/>
                <w:lang w:val="en-IE"/>
              </w:rPr>
              <w:t>¹</w:t>
            </w:r>
          </w:p>
        </w:tc>
        <w:tc>
          <w:tcPr>
            <w:tcW w:w="5619" w:type="dxa"/>
            <w:hideMark/>
          </w:tcPr>
          <w:p w14:paraId="5D87A7FD"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HR suppression of apoptosis</w:t>
            </w:r>
          </w:p>
        </w:tc>
      </w:tr>
      <w:tr w:rsidR="00DC3938" w:rsidRPr="00DC3938" w14:paraId="09856D1F" w14:textId="77777777" w:rsidTr="00DC3938">
        <w:tc>
          <w:tcPr>
            <w:tcW w:w="0" w:type="auto"/>
            <w:hideMark/>
          </w:tcPr>
          <w:p w14:paraId="38FCB803" w14:textId="1440142D" w:rsidR="00DC3938" w:rsidRPr="00DC3938" w:rsidRDefault="00DC3938" w:rsidP="00DC3938">
            <w:pPr>
              <w:spacing w:after="0" w:line="240" w:lineRule="auto"/>
              <w:rPr>
                <w:rFonts w:eastAsiaTheme="minorEastAsia"/>
                <w:lang w:val="en-IE"/>
              </w:rPr>
            </w:pPr>
            <w:r w:rsidRPr="00DC3938">
              <w:rPr>
                <w:rFonts w:eastAsiaTheme="minorEastAsia"/>
                <w:lang w:val="en-IE"/>
              </w:rPr>
              <w:t>K</w:t>
            </w:r>
            <w:r w:rsidRPr="002D2851">
              <w:rPr>
                <w:rFonts w:eastAsiaTheme="minorEastAsia"/>
                <w:vertAlign w:val="subscript"/>
                <w:lang w:val="en-IE"/>
              </w:rPr>
              <w:t>HR</w:t>
            </w:r>
          </w:p>
        </w:tc>
        <w:tc>
          <w:tcPr>
            <w:tcW w:w="1013" w:type="dxa"/>
            <w:hideMark/>
          </w:tcPr>
          <w:p w14:paraId="522C1678"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1.0</w:t>
            </w:r>
          </w:p>
        </w:tc>
        <w:tc>
          <w:tcPr>
            <w:tcW w:w="992" w:type="dxa"/>
            <w:hideMark/>
          </w:tcPr>
          <w:p w14:paraId="0066C919"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w:t>
            </w:r>
          </w:p>
        </w:tc>
        <w:tc>
          <w:tcPr>
            <w:tcW w:w="5619" w:type="dxa"/>
            <w:hideMark/>
          </w:tcPr>
          <w:p w14:paraId="023D6CD9" w14:textId="77777777" w:rsidR="00DC3938" w:rsidRPr="00DC3938" w:rsidRDefault="00DC3938" w:rsidP="00DC3938">
            <w:pPr>
              <w:spacing w:after="0" w:line="240" w:lineRule="auto"/>
              <w:rPr>
                <w:rFonts w:eastAsiaTheme="minorEastAsia"/>
                <w:lang w:val="en-IE"/>
              </w:rPr>
            </w:pPr>
            <w:r w:rsidRPr="00DC3938">
              <w:rPr>
                <w:rFonts w:eastAsiaTheme="minorEastAsia"/>
                <w:lang w:val="en-IE"/>
              </w:rPr>
              <w:t>Half-saturation constant for HR suppression</w:t>
            </w:r>
          </w:p>
        </w:tc>
      </w:tr>
    </w:tbl>
    <w:p w14:paraId="319B1BF4" w14:textId="2F0B39FD" w:rsidR="00DC3938" w:rsidRPr="000B0D93" w:rsidRDefault="00DC3938" w:rsidP="000B0D93">
      <w:pPr>
        <w:rPr>
          <w:rFonts w:eastAsiaTheme="minorEastAsia"/>
          <w:lang w:val="en-IE"/>
        </w:rPr>
      </w:pPr>
    </w:p>
    <w:p w14:paraId="2B1F004C" w14:textId="6161E310" w:rsidR="00DC3938" w:rsidRPr="00DC3938" w:rsidRDefault="00DC3938" w:rsidP="00DC3938">
      <w:pPr>
        <w:rPr>
          <w:lang w:val="en-IE"/>
        </w:rPr>
      </w:pPr>
      <w:r w:rsidRPr="00DC3938">
        <w:rPr>
          <w:lang w:val="en-IE"/>
        </w:rPr>
        <w:t xml:space="preserve">Patient-specific parameters were derived from </w:t>
      </w:r>
      <m:oMath>
        <m:sSub>
          <m:sSubPr>
            <m:ctrlPr>
              <w:rPr>
                <w:rFonts w:ascii="Cambria Math" w:hAnsi="Cambria Math"/>
                <w:lang w:val="en-IE"/>
              </w:rPr>
            </m:ctrlPr>
          </m:sSubPr>
          <m:e>
            <m:r>
              <w:rPr>
                <w:rFonts w:ascii="Cambria Math" w:hAnsi="Cambria Math"/>
                <w:lang w:val="en-IE"/>
              </w:rPr>
              <m:t>log</m:t>
            </m:r>
          </m:e>
          <m:sub>
            <m:r>
              <w:rPr>
                <w:rFonts w:ascii="Cambria Math" w:hAnsi="Cambria Math"/>
                <w:lang w:val="en-IE"/>
              </w:rPr>
              <m:t>2</m:t>
            </m:r>
          </m:sub>
        </m:sSub>
        <m:r>
          <m:rPr>
            <m:sty m:val="p"/>
          </m:rPr>
          <w:rPr>
            <w:rFonts w:ascii="Cambria Math" w:hAnsi="Cambria Math"/>
            <w:lang w:val="en-IE"/>
          </w:rPr>
          <m:t>(FPKM+1)</m:t>
        </m:r>
        <m:r>
          <m:rPr>
            <m:sty m:val="p"/>
          </m:rPr>
          <w:rPr>
            <w:rFonts w:ascii="Cambria Math" w:hAnsi="Cambria Math"/>
            <w:lang w:val="en-IE"/>
          </w:rPr>
          <m:t xml:space="preserve"> </m:t>
        </m:r>
      </m:oMath>
      <w:r w:rsidRPr="00DC3938">
        <w:rPr>
          <w:lang w:val="en-IE"/>
        </w:rPr>
        <w:t>expression values without fitting to survival outcomes (zero-shot approach). FPKM values were back-transformed to linear scale before pathway compression:</w:t>
      </w:r>
    </w:p>
    <w:p w14:paraId="3653A501" w14:textId="7F6F4C08" w:rsidR="00DC3938" w:rsidRDefault="00130971" w:rsidP="00DC3938">
      <w:pPr>
        <w:numPr>
          <w:ilvl w:val="0"/>
          <w:numId w:val="7"/>
        </w:numPr>
        <w:spacing w:after="120" w:line="240" w:lineRule="auto"/>
        <w:ind w:left="714" w:hanging="357"/>
        <w:rPr>
          <w:lang w:val="en-IE"/>
        </w:rPr>
      </w:pPr>
      <m:oMath>
        <m:sSub>
          <m:sSubPr>
            <m:ctrlPr>
              <w:rPr>
                <w:rFonts w:ascii="Cambria Math" w:hAnsi="Cambria Math"/>
                <w:b/>
                <w:bCs/>
                <w:i/>
                <w:lang w:val="en-IE"/>
              </w:rPr>
            </m:ctrlPr>
          </m:sSubPr>
          <m:e>
            <m:r>
              <m:rPr>
                <m:sty m:val="bi"/>
              </m:rPr>
              <w:rPr>
                <w:rFonts w:ascii="Cambria Math" w:hAnsi="Cambria Math"/>
                <w:lang w:val="en-IE"/>
              </w:rPr>
              <m:t>BRCA</m:t>
            </m:r>
          </m:e>
          <m:sub>
            <m:r>
              <m:rPr>
                <m:sty m:val="bi"/>
              </m:rPr>
              <w:rPr>
                <w:rFonts w:ascii="Cambria Math" w:hAnsi="Cambria Math"/>
                <w:lang w:val="en-IE"/>
              </w:rPr>
              <m:t>cap</m:t>
            </m:r>
          </m:sub>
        </m:sSub>
        <m:r>
          <w:rPr>
            <w:rFonts w:ascii="Cambria Math" w:hAnsi="Cambria Math"/>
            <w:lang w:val="en-IE"/>
          </w:rPr>
          <m:t>=ln(1+min(BRCA1,BRCA2)×RAD51×√(PALB2+1))</m:t>
        </m:r>
      </m:oMath>
      <w:r>
        <w:rPr>
          <w:lang w:val="en-IE"/>
        </w:rPr>
        <w:t xml:space="preserve">; </w:t>
      </w:r>
      <w:r w:rsidR="00DC3938" w:rsidRPr="00217346">
        <w:rPr>
          <w:lang w:val="en-IE"/>
        </w:rPr>
        <w:t>log1p applied to compress the heavy right tail of the triple-product distribution</w:t>
      </w:r>
    </w:p>
    <w:p w14:paraId="41EDEDD5" w14:textId="30AA9055" w:rsidR="00DC3938" w:rsidRPr="00DC3938" w:rsidRDefault="00E70A0F" w:rsidP="00DC3938">
      <w:pPr>
        <w:numPr>
          <w:ilvl w:val="0"/>
          <w:numId w:val="7"/>
        </w:numPr>
        <w:spacing w:after="120" w:line="240" w:lineRule="auto"/>
        <w:ind w:left="714" w:hanging="357"/>
        <w:rPr>
          <w:lang w:val="en-IE"/>
        </w:rPr>
      </w:pPr>
      <m:oMath>
        <m:sSub>
          <m:sSubPr>
            <m:ctrlPr>
              <w:rPr>
                <w:rFonts w:ascii="Cambria Math" w:hAnsi="Cambria Math"/>
                <w:b/>
                <w:i/>
                <w:iCs/>
                <w:color w:val="0E2841" w:themeColor="text2"/>
                <w:sz w:val="20"/>
                <w:szCs w:val="20"/>
                <w:lang w:val="en-IE"/>
              </w:rPr>
            </m:ctrlPr>
          </m:sSubPr>
          <m:e>
            <m:r>
              <m:rPr>
                <m:sty m:val="b"/>
              </m:rPr>
              <w:rPr>
                <w:rFonts w:ascii="Cambria Math" w:hAnsi="Cambria Math"/>
                <w:sz w:val="20"/>
                <w:szCs w:val="20"/>
                <w:lang w:val="en-IE"/>
              </w:rPr>
              <m:t>ATM</m:t>
            </m:r>
          </m:e>
          <m:sub>
            <m:r>
              <m:rPr>
                <m:sty m:val="b"/>
              </m:rPr>
              <w:rPr>
                <w:rFonts w:ascii="Cambria Math" w:hAnsi="Cambria Math"/>
                <w:sz w:val="20"/>
                <w:szCs w:val="20"/>
                <w:lang w:val="en-IE"/>
              </w:rPr>
              <m:t>tot</m:t>
            </m:r>
          </m:sub>
        </m:sSub>
        <m:r>
          <m:rPr>
            <m:sty m:val="bi"/>
          </m:rPr>
          <w:rPr>
            <w:rFonts w:ascii="Cambria Math" w:hAnsi="Cambria Math"/>
            <w:color w:val="0E2841" w:themeColor="text2"/>
            <w:sz w:val="20"/>
            <w:szCs w:val="20"/>
            <w:lang w:val="en-IE"/>
          </w:rPr>
          <m:t>= (ATM + ATR)/2</m:t>
        </m:r>
      </m:oMath>
      <w:r w:rsidR="00DC3938" w:rsidRPr="00DC3938">
        <w:rPr>
          <w:lang w:val="en-IE"/>
        </w:rPr>
        <w:t xml:space="preserve"> </w:t>
      </w:r>
    </w:p>
    <w:p w14:paraId="5FC9CF61" w14:textId="4699EC35" w:rsidR="00DC3938" w:rsidRPr="00DC3938" w:rsidRDefault="00E70A0F" w:rsidP="00DC3938">
      <w:pPr>
        <w:numPr>
          <w:ilvl w:val="0"/>
          <w:numId w:val="7"/>
        </w:numPr>
        <w:spacing w:after="120" w:line="240" w:lineRule="auto"/>
        <w:ind w:left="714" w:hanging="357"/>
        <w:rPr>
          <w:lang w:val="en-IE"/>
        </w:rPr>
      </w:pPr>
      <m:oMath>
        <m:sSub>
          <m:sSubPr>
            <m:ctrlPr>
              <w:rPr>
                <w:rFonts w:ascii="Cambria Math" w:hAnsi="Cambria Math"/>
                <w:b/>
                <w:i/>
                <w:iCs/>
                <w:color w:val="0E2841" w:themeColor="text2"/>
                <w:sz w:val="20"/>
                <w:szCs w:val="20"/>
                <w:lang w:val="en-IE"/>
              </w:rPr>
            </m:ctrlPr>
          </m:sSubPr>
          <m:e>
            <m:r>
              <m:rPr>
                <m:sty m:val="b"/>
              </m:rPr>
              <w:rPr>
                <w:rFonts w:ascii="Cambria Math" w:hAnsi="Cambria Math"/>
                <w:sz w:val="20"/>
                <w:szCs w:val="20"/>
                <w:lang w:val="en-IE"/>
              </w:rPr>
              <m:t>CHK</m:t>
            </m:r>
          </m:e>
          <m:sub>
            <m:r>
              <m:rPr>
                <m:sty m:val="b"/>
              </m:rPr>
              <w:rPr>
                <w:rFonts w:ascii="Cambria Math" w:hAnsi="Cambria Math"/>
                <w:sz w:val="20"/>
                <w:szCs w:val="20"/>
                <w:lang w:val="en-IE"/>
              </w:rPr>
              <m:t>tot</m:t>
            </m:r>
          </m:sub>
        </m:sSub>
        <m:r>
          <m:rPr>
            <m:sty m:val="bi"/>
          </m:rPr>
          <w:rPr>
            <w:rFonts w:ascii="Cambria Math" w:hAnsi="Cambria Math"/>
            <w:color w:val="0E2841" w:themeColor="text2"/>
            <w:sz w:val="20"/>
            <w:szCs w:val="20"/>
            <w:lang w:val="en-IE"/>
          </w:rPr>
          <m:t>= (CHK1 + CHK2)/2</m:t>
        </m:r>
      </m:oMath>
    </w:p>
    <w:p w14:paraId="5C25B59F" w14:textId="0A3AD407" w:rsidR="00DC3938" w:rsidRPr="00DC3938" w:rsidRDefault="00E70A0F" w:rsidP="00DC3938">
      <w:pPr>
        <w:numPr>
          <w:ilvl w:val="0"/>
          <w:numId w:val="7"/>
        </w:numPr>
        <w:rPr>
          <w:lang w:val="en-IE"/>
        </w:rPr>
      </w:pPr>
      <m:oMath>
        <m:sSub>
          <m:sSubPr>
            <m:ctrlPr>
              <w:rPr>
                <w:rFonts w:ascii="Cambria Math" w:hAnsi="Cambria Math"/>
                <w:b/>
                <w:i/>
                <w:iCs/>
                <w:color w:val="0E2841" w:themeColor="text2"/>
                <w:sz w:val="20"/>
                <w:szCs w:val="20"/>
                <w:lang w:val="en-IE"/>
              </w:rPr>
            </m:ctrlPr>
          </m:sSubPr>
          <m:e>
            <m:r>
              <m:rPr>
                <m:sty m:val="b"/>
              </m:rPr>
              <w:rPr>
                <w:rFonts w:ascii="Cambria Math" w:hAnsi="Cambria Math"/>
                <w:sz w:val="20"/>
                <w:szCs w:val="20"/>
                <w:lang w:val="en-IE"/>
              </w:rPr>
              <m:t>BCL2</m:t>
            </m:r>
          </m:e>
          <m:sub>
            <m:r>
              <m:rPr>
                <m:sty m:val="b"/>
              </m:rPr>
              <w:rPr>
                <w:rFonts w:ascii="Cambria Math" w:hAnsi="Cambria Math"/>
                <w:sz w:val="20"/>
                <w:szCs w:val="20"/>
                <w:lang w:val="en-IE"/>
              </w:rPr>
              <m:t>ratio</m:t>
            </m:r>
          </m:sub>
        </m:sSub>
        <m:r>
          <m:rPr>
            <m:sty m:val="bi"/>
          </m:rPr>
          <w:rPr>
            <w:rFonts w:ascii="Cambria Math" w:hAnsi="Cambria Math"/>
            <w:color w:val="0E2841" w:themeColor="text2"/>
            <w:sz w:val="20"/>
            <w:szCs w:val="20"/>
            <w:lang w:val="en-IE"/>
          </w:rPr>
          <m:t>=</m:t>
        </m:r>
        <m:r>
          <m:rPr>
            <m:sty m:val="p"/>
          </m:rPr>
          <w:rPr>
            <w:rFonts w:ascii="Cambria Math" w:hAnsi="Cambria Math"/>
            <w:lang w:val="en-IE"/>
          </w:rPr>
          <m:t>(BCL2 + BCL2L1) / (BAX + BAD + 10</m:t>
        </m:r>
        <m:r>
          <m:rPr>
            <m:sty m:val="p"/>
          </m:rPr>
          <w:rPr>
            <w:rFonts w:ascii="Cambria Math" w:hAnsi="Cambria Math" w:cs="Cambria Math"/>
            <w:lang w:val="en-IE"/>
          </w:rPr>
          <m:t>⁻</m:t>
        </m:r>
        <m:r>
          <m:rPr>
            <m:sty m:val="p"/>
          </m:rPr>
          <w:rPr>
            <w:rFonts w:ascii="Cambria Math" w:hAnsi="Cambria Math"/>
            <w:lang w:val="en-IE"/>
          </w:rPr>
          <m:t>⁶)</m:t>
        </m:r>
      </m:oMath>
      <w:r w:rsidR="00DC3938" w:rsidRPr="00DC3938">
        <w:rPr>
          <w:lang w:val="en-IE"/>
        </w:rPr>
        <w:t xml:space="preserve"> </w:t>
      </w:r>
    </w:p>
    <w:p w14:paraId="220A3FF1" w14:textId="77777777" w:rsidR="00DC3938" w:rsidRDefault="00DC3938" w:rsidP="00DC3938">
      <w:pPr>
        <w:rPr>
          <w:rFonts w:ascii="Times New Roman" w:hAnsi="Times New Roman" w:cs="Times New Roman"/>
        </w:rPr>
      </w:pPr>
      <w:r>
        <w:t>Each parameter was then normalised to the cohort median so that a median patient has parameter value ≈ 1.0.</w:t>
      </w:r>
    </w:p>
    <w:p w14:paraId="7E43C568" w14:textId="61201C40" w:rsidR="00DC3938" w:rsidRDefault="00DC3938" w:rsidP="00DC3938">
      <w:r>
        <w:t xml:space="preserve">Initial conditions were derived analytically from the zero-damage steady state: </w:t>
      </w:r>
      <m:oMath>
        <m:sSub>
          <m:sSubPr>
            <m:ctrlPr>
              <w:rPr>
                <w:rFonts w:ascii="Cambria Math" w:hAnsi="Cambria Math"/>
                <w:bCs/>
                <w:i/>
                <w:iCs/>
                <w:color w:val="0E2841" w:themeColor="text2"/>
                <w:sz w:val="20"/>
                <w:szCs w:val="20"/>
                <w:lang w:val="en-IE"/>
              </w:rPr>
            </m:ctrlPr>
          </m:sSubPr>
          <m:e>
            <m:sSub>
              <m:sSubPr>
                <m:ctrlPr>
                  <w:rPr>
                    <w:rFonts w:ascii="Cambria Math" w:hAnsi="Cambria Math"/>
                    <w:bCs/>
                    <w:sz w:val="20"/>
                    <w:szCs w:val="20"/>
                    <w:lang w:val="en-IE"/>
                  </w:rPr>
                </m:ctrlPr>
              </m:sSubPr>
              <m:e>
                <m:r>
                  <w:rPr>
                    <w:rFonts w:ascii="Cambria Math" w:hAnsi="Cambria Math"/>
                    <w:sz w:val="20"/>
                    <w:szCs w:val="20"/>
                    <w:lang w:val="en-IE"/>
                  </w:rPr>
                  <m:t>R</m:t>
                </m:r>
              </m:e>
              <m:sub>
                <m:r>
                  <w:rPr>
                    <w:rFonts w:ascii="Cambria Math" w:hAnsi="Cambria Math"/>
                    <w:sz w:val="20"/>
                    <w:szCs w:val="20"/>
                    <w:lang w:val="en-IE"/>
                  </w:rPr>
                  <m:t>0</m:t>
                </m:r>
              </m:sub>
            </m:sSub>
            <m:r>
              <m:rPr>
                <m:sty m:val="p"/>
              </m:rPr>
              <w:rPr>
                <w:rFonts w:ascii="Cambria Math" w:hAnsi="Cambria Math"/>
                <w:sz w:val="20"/>
                <w:szCs w:val="20"/>
                <w:lang w:val="en-IE"/>
              </w:rPr>
              <m:t xml:space="preserve"> = </m:t>
            </m:r>
            <m:r>
              <m:rPr>
                <m:sty m:val="p"/>
              </m:rPr>
              <w:rPr>
                <w:rFonts w:ascii="Cambria Math" w:hAnsi="Cambria Math"/>
                <w:sz w:val="20"/>
                <w:szCs w:val="20"/>
                <w:lang w:val="en-IE"/>
              </w:rPr>
              <m:t>BRCA</m:t>
            </m:r>
          </m:e>
          <m:sub>
            <m:r>
              <m:rPr>
                <m:sty m:val="p"/>
              </m:rPr>
              <w:rPr>
                <w:rFonts w:ascii="Cambria Math" w:hAnsi="Cambria Math"/>
                <w:sz w:val="20"/>
                <w:szCs w:val="20"/>
                <w:lang w:val="en-IE"/>
              </w:rPr>
              <m:t>cap</m:t>
            </m:r>
          </m:sub>
        </m:sSub>
      </m:oMath>
      <w:r>
        <w:t xml:space="preserve">, </w:t>
      </w:r>
      <m:oMath>
        <m:sSub>
          <m:sSubPr>
            <m:ctrlPr>
              <w:rPr>
                <w:rFonts w:ascii="Cambria Math" w:hAnsi="Cambria Math"/>
                <w:i/>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oMath>
      <w:r>
        <w:t>. The choice</w:t>
      </w:r>
      <w:r w:rsidR="00E70A0F">
        <w:t xml:space="preserve"> </w:t>
      </w:r>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m:t>
            </m:r>
          </m:sub>
        </m:sSub>
      </m:oMath>
      <w:r>
        <w:t xml:space="preserve"> ensures this steady state holds exactly. Each patient was simulated over 120 hours (5 days) at 0.5 h resolution using the LSODA solver (</w:t>
      </w:r>
      <w:r w:rsidRPr="00E84A39">
        <w:rPr>
          <w:rStyle w:val="CodeChar"/>
        </w:rPr>
        <w:t>scipy.integrate.solve_ivp</w:t>
      </w:r>
      <w:r>
        <w:t>, rtol = 10</w:t>
      </w:r>
      <w:r>
        <w:rPr>
          <w:rFonts w:ascii="Cambria Math" w:hAnsi="Cambria Math" w:cs="Cambria Math"/>
        </w:rPr>
        <w:t>⁻</w:t>
      </w:r>
      <w:r>
        <w:t>⁶, atol = 10</w:t>
      </w:r>
      <w:r>
        <w:rPr>
          <w:rFonts w:ascii="Cambria Math" w:hAnsi="Cambria Math" w:cs="Cambria Math"/>
        </w:rPr>
        <w:t>⁻</w:t>
      </w:r>
      <w:r>
        <w:t>⁹). Patients whose integration failed to converge were retained in the raw output file (ode_scores.csv) for transparency but excluded from all survival analyses.</w:t>
      </w:r>
    </w:p>
    <w:p w14:paraId="08F92437" w14:textId="5CEFB7B3" w:rsidR="00DC3938" w:rsidRDefault="00DC3938" w:rsidP="00DC3938">
      <w:r>
        <w:t>The primary ODE output was</w:t>
      </w:r>
      <w:r w:rsidR="00B93071">
        <w:t xml:space="preserve">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w:r>
        <w:t xml:space="preserve"> </w:t>
      </w:r>
      <w:r w:rsidR="00E84A39">
        <w:t>(i.e.</w:t>
      </w:r>
      <w:r>
        <w:t xml:space="preserve"> the area under the X(t) curve computed by the trapezoidal rule</w:t>
      </w:r>
      <w:r w:rsidR="00E84A39">
        <w:t>)</w:t>
      </w:r>
      <w:r>
        <w:t xml:space="preserve"> representing cumulative apoptotic commitment. Higher</w:t>
      </w:r>
      <w:r w:rsidR="00B93071">
        <w:t xml:space="preserve">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w:r>
        <w:t xml:space="preserve"> indicates greater apoptotic burden in response to platinum, predicting better chemosensitivity and expected association with longer overall survival (HR &lt; 1). Three secondary scores were also extracted: </w:t>
      </w:r>
      <m:oMath>
        <m:sSub>
          <m:sSubPr>
            <m:ctrlPr>
              <w:rPr>
                <w:rFonts w:ascii="Cambria Math" w:hAnsi="Cambria Math"/>
                <w:i/>
              </w:rPr>
            </m:ctrlPr>
          </m:sSubPr>
          <m:e>
            <m:r>
              <w:rPr>
                <w:rFonts w:ascii="Cambria Math" w:hAnsi="Cambria Math"/>
              </w:rPr>
              <m:t>X</m:t>
            </m:r>
          </m:e>
          <m:sub>
            <m:r>
              <w:rPr>
                <w:rFonts w:ascii="Cambria Math" w:hAnsi="Cambria Math"/>
              </w:rPr>
              <m:t>peak</m:t>
            </m:r>
          </m:sub>
        </m:sSub>
      </m:oMath>
      <w:r w:rsidR="00E70A0F">
        <w:rPr>
          <w:rFonts w:eastAsiaTheme="minorEastAsia"/>
        </w:rPr>
        <w:t xml:space="preserve"> </w:t>
      </w:r>
      <w:r>
        <w:t>(maximum apoptotic signal),</w:t>
      </w:r>
      <w:r w:rsidR="006F2AE3">
        <w:t xml:space="preserve"> </w:t>
      </w: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006F2AE3">
        <w:rPr>
          <w:rFonts w:eastAsiaTheme="minorEastAsia"/>
          <w:lang w:val="en-IE"/>
        </w:rPr>
        <w:t xml:space="preserve"> </w:t>
      </w:r>
      <w:r>
        <w:t xml:space="preserve">(time damage remained above 10% of its peak), and </w:t>
      </w:r>
      <m:oMath>
        <m:sSub>
          <m:sSubPr>
            <m:ctrlPr>
              <w:rPr>
                <w:rFonts w:ascii="Cambria Math" w:hAnsi="Cambria Math"/>
                <w:lang w:val="en-IE"/>
              </w:rPr>
            </m:ctrlPr>
          </m:sSubPr>
          <m:e>
            <m:r>
              <w:rPr>
                <w:rFonts w:ascii="Cambria Math" w:hAnsi="Cambria Math"/>
                <w:lang w:val="en-IE"/>
              </w:rPr>
              <m:t>D</m:t>
            </m:r>
          </m:e>
          <m:sub>
            <m:r>
              <m:rPr>
                <m:nor/>
              </m:rPr>
              <w:rPr>
                <w:rFonts w:ascii="Cambria Math"/>
                <w:lang w:val="en-IE"/>
              </w:rPr>
              <m:t>resid</m:t>
            </m:r>
          </m:sub>
        </m:sSub>
      </m:oMath>
      <w:r w:rsidR="00130971">
        <w:t xml:space="preserve"> </w:t>
      </w:r>
      <w:r>
        <w:t>(residual damage at t = 120 h). All four scores were log1p-transformed before entry into Cox models.</w:t>
      </w:r>
    </w:p>
    <w:p w14:paraId="08CCAA2D" w14:textId="49F117E3" w:rsidR="00E84A39" w:rsidRPr="00E84A39" w:rsidRDefault="00E84A39" w:rsidP="00E84A39">
      <w:pPr>
        <w:pStyle w:val="Heading2"/>
      </w:pPr>
      <w:r w:rsidRPr="00E84A39">
        <w:t xml:space="preserve">2.3 Survival </w:t>
      </w:r>
      <w:r w:rsidR="00C60F78">
        <w:t>a</w:t>
      </w:r>
      <w:r w:rsidRPr="00E84A39">
        <w:t>nalysis</w:t>
      </w:r>
    </w:p>
    <w:p w14:paraId="2EA92B48" w14:textId="08AA8FF7" w:rsidR="00E84A39" w:rsidRPr="00E84A39" w:rsidRDefault="00E84A39" w:rsidP="00E84A39">
      <w:pPr>
        <w:rPr>
          <w:lang w:val="en-IE"/>
        </w:rPr>
      </w:pPr>
      <w:r w:rsidRPr="0084240E">
        <w:rPr>
          <w:b/>
          <w:bCs/>
          <w:lang w:val="en-IE"/>
        </w:rPr>
        <w:t>Primary KM analysis:</w:t>
      </w:r>
      <w:r w:rsidRPr="00E84A39">
        <w:rPr>
          <w:lang w:val="en-IE"/>
        </w:rPr>
        <w:t xml:space="preserve"> Patients were stratified into three groups by pre-specified tertiles of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w:r w:rsidRPr="00E84A39">
        <w:rPr>
          <w:lang w:val="en-IE"/>
        </w:rPr>
        <w:t xml:space="preserve"> (T1: ≤ 33rd percentile; T2: 33rd–67th; T3: ≥ 67th). The omnibus log-rank p-value from this three-group test is valid for inference because the grouping is defined prior to examining outcomes. Where tertile boundaries were identical (insufficient score spread for three groups, observed for</w:t>
      </w:r>
      <w:r w:rsidR="006F2AE3">
        <w:rPr>
          <w:lang w:val="en-IE"/>
        </w:rPr>
        <w:t xml:space="preserve"> </w:t>
      </w: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Pr="00E84A39">
        <w:rPr>
          <w:lang w:val="en-IE"/>
        </w:rPr>
        <w:t>), the analysis fell back to a pre-specified median binary split; this is documented and the fallback p-value remains valid.</w:t>
      </w:r>
    </w:p>
    <w:p w14:paraId="2AEE4612" w14:textId="77777777" w:rsidR="00E84A39" w:rsidRPr="00E84A39" w:rsidRDefault="00E84A39" w:rsidP="00E84A39">
      <w:pPr>
        <w:rPr>
          <w:lang w:val="en-IE"/>
        </w:rPr>
      </w:pPr>
      <w:r w:rsidRPr="0084240E">
        <w:rPr>
          <w:b/>
          <w:bCs/>
          <w:lang w:val="en-IE"/>
        </w:rPr>
        <w:t>Exploratory threshold scan</w:t>
      </w:r>
      <w:r w:rsidRPr="00E84A39">
        <w:rPr>
          <w:lang w:val="en-IE"/>
        </w:rPr>
        <w:t>: All binary cutpoints were scanned to identify the split minimising the log-rank p-value. As selecting a cutpoint by minimising the log-rank p invalidates that p-value for inference, these results are reported as exploratory only.</w:t>
      </w:r>
    </w:p>
    <w:p w14:paraId="1202DD02" w14:textId="21246669" w:rsidR="00E84A39" w:rsidRPr="00E84A39" w:rsidRDefault="00E84A39" w:rsidP="00E84A39">
      <w:pPr>
        <w:rPr>
          <w:lang w:val="en-IE"/>
        </w:rPr>
      </w:pPr>
      <w:r w:rsidRPr="0084240E">
        <w:rPr>
          <w:b/>
          <w:bCs/>
          <w:lang w:val="en-IE"/>
        </w:rPr>
        <w:lastRenderedPageBreak/>
        <w:t>Cox</w:t>
      </w:r>
      <w:r w:rsidR="00C57406">
        <w:rPr>
          <w:b/>
          <w:bCs/>
          <w:lang w:val="en-IE"/>
        </w:rPr>
        <w:t>PH</w:t>
      </w:r>
      <w:r w:rsidRPr="0084240E">
        <w:rPr>
          <w:b/>
          <w:bCs/>
          <w:lang w:val="en-IE"/>
        </w:rPr>
        <w:t xml:space="preserve"> modelling</w:t>
      </w:r>
      <w:r w:rsidRPr="00E84A39">
        <w:rPr>
          <w:lang w:val="en-IE"/>
        </w:rPr>
        <w:t xml:space="preserve">: Univariate Cox models were fitted for each log-transformed ODE score. A multivariate model additionally adjusted for BRCA_MUTANT status. The proportional hazards assumption was checked for each model using Schoenfeld residuals via </w:t>
      </w:r>
      <w:r w:rsidRPr="0076042E">
        <w:rPr>
          <w:rStyle w:val="CodeChar"/>
          <w:lang w:val="en-IE"/>
        </w:rPr>
        <w:t>lifelines'</w:t>
      </w:r>
      <w:r w:rsidRPr="00E84A39">
        <w:rPr>
          <w:lang w:val="en-IE"/>
        </w:rPr>
        <w:t xml:space="preserve"> </w:t>
      </w:r>
      <w:r w:rsidRPr="0084240E">
        <w:rPr>
          <w:rStyle w:val="CodeChar"/>
        </w:rPr>
        <w:t>check_assumptions()</w:t>
      </w:r>
      <w:r w:rsidRPr="00E84A39">
        <w:rPr>
          <w:lang w:val="en-IE"/>
        </w:rPr>
        <w:t xml:space="preserve"> at p &lt; 0.05.</w:t>
      </w:r>
    </w:p>
    <w:p w14:paraId="12E55F9C" w14:textId="77777777" w:rsidR="00E84A39" w:rsidRPr="00E84A39" w:rsidRDefault="00E84A39" w:rsidP="00E84A39">
      <w:pPr>
        <w:rPr>
          <w:lang w:val="en-IE"/>
        </w:rPr>
      </w:pPr>
      <w:r w:rsidRPr="00E84A39">
        <w:rPr>
          <w:lang w:val="en-IE"/>
        </w:rPr>
        <w:t>Discrimination was assessed using Harrell's concordance index (C-index), which measures the probability that a randomly selected patient with a shorter survival time receives a higher predicted risk score. C-index = 0.5 indicates no discrimination; C-index = 1.0 indicates perfect discrimination.</w:t>
      </w:r>
    </w:p>
    <w:p w14:paraId="04919AE6" w14:textId="2CEEE9AE" w:rsidR="00E84A39" w:rsidRPr="0084240E" w:rsidRDefault="00E84A39" w:rsidP="0084240E">
      <w:pPr>
        <w:pStyle w:val="Heading2"/>
      </w:pPr>
      <w:r w:rsidRPr="0084240E">
        <w:t xml:space="preserve">2.4 </w:t>
      </w:r>
      <w:r w:rsidR="00F14917">
        <w:t xml:space="preserve">ML </w:t>
      </w:r>
      <w:r w:rsidR="00C60F78">
        <w:t>b</w:t>
      </w:r>
      <w:r w:rsidRPr="0084240E">
        <w:t>enchmark</w:t>
      </w:r>
    </w:p>
    <w:p w14:paraId="60F01802" w14:textId="29114803" w:rsidR="00E84A39" w:rsidRPr="00E84A39" w:rsidRDefault="00742E51" w:rsidP="0084240E">
      <w:pPr>
        <w:rPr>
          <w:lang w:val="en-IE"/>
        </w:rPr>
      </w:pPr>
      <w:r>
        <w:rPr>
          <w:lang w:val="en-IE"/>
        </w:rPr>
        <w:t xml:space="preserve">Four </w:t>
      </w:r>
      <w:r w:rsidR="00E84A39" w:rsidRPr="00E84A39">
        <w:rPr>
          <w:lang w:val="en-IE"/>
        </w:rPr>
        <w:t xml:space="preserve">additional arms were benchmarked against the ODE C-index to assess whether the </w:t>
      </w:r>
      <w:r w:rsidR="00E32F5E">
        <w:rPr>
          <w:lang w:val="en-IE"/>
        </w:rPr>
        <w:t>MM</w:t>
      </w:r>
      <w:r w:rsidR="00E84A39" w:rsidRPr="00E84A39">
        <w:rPr>
          <w:lang w:val="en-IE"/>
        </w:rPr>
        <w:t xml:space="preserve"> provides competitive discrimination:</w:t>
      </w:r>
    </w:p>
    <w:p w14:paraId="75D5F63D" w14:textId="7F74DC15" w:rsidR="00E84A39" w:rsidRPr="00E84A39" w:rsidRDefault="00E84A39" w:rsidP="0084240E">
      <w:pPr>
        <w:rPr>
          <w:lang w:val="en-IE"/>
        </w:rPr>
      </w:pPr>
      <w:r w:rsidRPr="0084240E">
        <w:rPr>
          <w:b/>
          <w:bCs/>
          <w:lang w:val="en-IE"/>
        </w:rPr>
        <w:t>Cox LASSO (14-gene)</w:t>
      </w:r>
      <w:r w:rsidRPr="00E84A39">
        <w:rPr>
          <w:lang w:val="en-IE"/>
        </w:rPr>
        <w:t xml:space="preserve">: </w:t>
      </w:r>
      <w:r w:rsidRPr="00742E51">
        <w:rPr>
          <w:rStyle w:val="CodeChar"/>
        </w:rPr>
        <w:t>CoxnetSurvivalAnalysis</w:t>
      </w:r>
      <w:r w:rsidRPr="00E84A39">
        <w:rPr>
          <w:lang w:val="en-IE"/>
        </w:rPr>
        <w:t xml:space="preserve"> (</w:t>
      </w:r>
      <w:r w:rsidRPr="00742E51">
        <w:rPr>
          <w:rStyle w:val="CodeChar"/>
        </w:rPr>
        <w:t>scikit-survival</w:t>
      </w:r>
      <w:r w:rsidRPr="00E84A39">
        <w:rPr>
          <w:lang w:val="en-IE"/>
        </w:rPr>
        <w:t>, L1 penalty) fitted on</w:t>
      </w:r>
      <w:r w:rsidR="0076042E">
        <w:rPr>
          <w:lang w:val="en-IE"/>
        </w:rPr>
        <w:t xml:space="preserve"> </w:t>
      </w:r>
      <m:oMath>
        <m:sSub>
          <m:sSubPr>
            <m:ctrlPr>
              <w:rPr>
                <w:rFonts w:ascii="Cambria Math" w:hAnsi="Cambria Math"/>
                <w:lang w:val="en-IE"/>
              </w:rPr>
            </m:ctrlPr>
          </m:sSubPr>
          <m:e>
            <m:r>
              <w:rPr>
                <w:rFonts w:ascii="Cambria Math" w:hAnsi="Cambria Math"/>
                <w:lang w:val="en-IE"/>
              </w:rPr>
              <m:t>log</m:t>
            </m:r>
          </m:e>
          <m:sub>
            <m:r>
              <w:rPr>
                <w:rFonts w:ascii="Cambria Math" w:hAnsi="Cambria Math"/>
                <w:lang w:val="en-IE"/>
              </w:rPr>
              <m:t>2</m:t>
            </m:r>
          </m:sub>
        </m:sSub>
        <m:r>
          <m:rPr>
            <m:sty m:val="p"/>
          </m:rPr>
          <w:rPr>
            <w:rFonts w:ascii="Cambria Math" w:hAnsi="Cambria Math"/>
            <w:lang w:val="en-IE"/>
          </w:rPr>
          <m:t>(FPKM+1)</m:t>
        </m:r>
        <m:r>
          <m:rPr>
            <m:sty m:val="p"/>
          </m:rPr>
          <w:rPr>
            <w:rFonts w:ascii="Cambria Math" w:hAnsi="Cambria Math"/>
            <w:lang w:val="en-IE"/>
          </w:rPr>
          <m:t xml:space="preserve"> </m:t>
        </m:r>
      </m:oMath>
      <w:r w:rsidRPr="00E84A39">
        <w:rPr>
          <w:lang w:val="en-IE"/>
        </w:rPr>
        <w:t xml:space="preserve">expression of the same 14 genes used in the ODE. Regularisation strength α was selected by 3-fold inner cross-validation within each outer training fold to prevent data leakage; the outer test fold was never used during hyperparameter search. The candidate grid was α </w:t>
      </w:r>
      <w:r w:rsidRPr="00E84A39">
        <w:rPr>
          <w:rFonts w:ascii="Cambria Math" w:hAnsi="Cambria Math" w:cs="Cambria Math"/>
          <w:lang w:val="en-IE"/>
        </w:rPr>
        <w:t>∈</w:t>
      </w:r>
      <w:r w:rsidRPr="00E84A39">
        <w:rPr>
          <w:lang w:val="en-IE"/>
        </w:rPr>
        <w:t xml:space="preserve"> {0.01, 0.05, 0.1, 0.5, 1.0}.</w:t>
      </w:r>
    </w:p>
    <w:p w14:paraId="2C54897B" w14:textId="77777777" w:rsidR="00E84A39" w:rsidRPr="00E84A39" w:rsidRDefault="00E84A39" w:rsidP="0084240E">
      <w:pPr>
        <w:rPr>
          <w:lang w:val="en-IE"/>
        </w:rPr>
      </w:pPr>
      <w:r w:rsidRPr="00742E51">
        <w:rPr>
          <w:b/>
          <w:bCs/>
          <w:lang w:val="en-IE"/>
        </w:rPr>
        <w:t>RSF (14-gene)</w:t>
      </w:r>
      <w:r w:rsidRPr="00E84A39">
        <w:rPr>
          <w:lang w:val="en-IE"/>
        </w:rPr>
        <w:t xml:space="preserve">: Random Survival Forest (200 trees, min_samples_leaf = 25, max_features = 0.5, </w:t>
      </w:r>
      <w:r w:rsidRPr="00742E51">
        <w:rPr>
          <w:rStyle w:val="CodeChar"/>
        </w:rPr>
        <w:t>scikit-survival</w:t>
      </w:r>
      <w:r w:rsidRPr="00E84A39">
        <w:rPr>
          <w:lang w:val="en-IE"/>
        </w:rPr>
        <w:t>) on the same 14-gene feature set.</w:t>
      </w:r>
    </w:p>
    <w:p w14:paraId="422B0F52" w14:textId="77777777" w:rsidR="00E84A39" w:rsidRPr="00E84A39" w:rsidRDefault="00E84A39" w:rsidP="0084240E">
      <w:pPr>
        <w:rPr>
          <w:lang w:val="en-IE"/>
        </w:rPr>
      </w:pPr>
      <w:r w:rsidRPr="00742E51">
        <w:rPr>
          <w:b/>
          <w:bCs/>
          <w:lang w:val="en-IE"/>
        </w:rPr>
        <w:t>Cox LASSO (all-genes)</w:t>
      </w:r>
      <w:r w:rsidRPr="00E84A39">
        <w:rPr>
          <w:lang w:val="en-IE"/>
        </w:rPr>
        <w:t xml:space="preserve">: Same architecture as above applied to the full FPKM transcriptome (27,066 genes after excluding genes with &gt; 20% missing values and near-zero variance). Features were </w:t>
      </w:r>
      <w:r w:rsidRPr="0076042E">
        <w:rPr>
          <w:rStyle w:val="CodeChar"/>
          <w:lang w:val="en-IE"/>
        </w:rPr>
        <w:t>StandardScaled</w:t>
      </w:r>
      <w:r w:rsidRPr="00E84A39">
        <w:rPr>
          <w:lang w:val="en-IE"/>
        </w:rPr>
        <w:t>. Given p &gt;&gt; n, α was constrained to a higher grid {1.0, 2.0, 5.0, 10.0, 20.0} to prevent numerical overflow in the coordinate-descent solver. This arm tests whether genome-wide search without biological prior structure outperforms the curated 14-gene ODE input.</w:t>
      </w:r>
    </w:p>
    <w:p w14:paraId="08F79C40" w14:textId="77777777" w:rsidR="00E84A39" w:rsidRPr="00E84A39" w:rsidRDefault="00E84A39" w:rsidP="0084240E">
      <w:pPr>
        <w:rPr>
          <w:lang w:val="en-IE"/>
        </w:rPr>
      </w:pPr>
      <w:r w:rsidRPr="0083557B">
        <w:rPr>
          <w:b/>
          <w:bCs/>
          <w:lang w:val="en-IE"/>
        </w:rPr>
        <w:t>RSF (all-genes)</w:t>
      </w:r>
      <w:r w:rsidRPr="00E84A39">
        <w:rPr>
          <w:lang w:val="en-IE"/>
        </w:rPr>
        <w:t>: RSF on the full transcriptome with max_features = "sqrt" to limit tree correlation and computation at high feature dimensionality.</w:t>
      </w:r>
    </w:p>
    <w:p w14:paraId="61BEBC06" w14:textId="145AC233" w:rsidR="00E84A39" w:rsidRDefault="00E84A39" w:rsidP="00623025">
      <w:pPr>
        <w:rPr>
          <w:lang w:val="en-IE"/>
        </w:rPr>
      </w:pPr>
      <w:r w:rsidRPr="00E84A39">
        <w:rPr>
          <w:lang w:val="en-IE"/>
        </w:rPr>
        <w:lastRenderedPageBreak/>
        <w:t xml:space="preserve">All ML models were evaluated by 5-fold stratified cross-validation (random_state = 42). Out-of-fold (OOF) predictions were assembled for each patient across folds and used for bootstrap </w:t>
      </w:r>
      <w:r w:rsidR="00DD3A0C">
        <w:rPr>
          <w:lang w:val="en-IE"/>
        </w:rPr>
        <w:t>CI</w:t>
      </w:r>
      <w:r w:rsidRPr="00E84A39">
        <w:rPr>
          <w:lang w:val="en-IE"/>
        </w:rPr>
        <w:t xml:space="preserve"> estimation. The ODE, being a zero-shot predictor with no training step, was bootstrapped directly on the full cohort. Bootstrap CIs used 1000 resamples (percentile method, 2.5th–97.5th percentiles).</w:t>
      </w:r>
    </w:p>
    <w:p w14:paraId="2E203A51" w14:textId="77777777" w:rsidR="00623025" w:rsidRDefault="00623025">
      <w:pPr>
        <w:spacing w:after="160" w:line="259" w:lineRule="auto"/>
        <w:rPr>
          <w:rFonts w:eastAsiaTheme="majorEastAsia"/>
          <w:b/>
          <w:bCs/>
          <w:spacing w:val="-10"/>
          <w:kern w:val="28"/>
          <w:sz w:val="32"/>
          <w:szCs w:val="32"/>
        </w:rPr>
      </w:pPr>
      <w:r>
        <w:br w:type="page"/>
      </w:r>
    </w:p>
    <w:p w14:paraId="0C60F460" w14:textId="59946CD6" w:rsidR="00B23B7D" w:rsidRDefault="00B23B7D" w:rsidP="00B23B7D">
      <w:pPr>
        <w:pStyle w:val="Heading1"/>
      </w:pPr>
      <w:r>
        <w:lastRenderedPageBreak/>
        <w:t>3. Results</w:t>
      </w:r>
    </w:p>
    <w:p w14:paraId="6C3B0A87" w14:textId="106C3307" w:rsidR="00623025" w:rsidRDefault="00623025" w:rsidP="00623025">
      <w:pPr>
        <w:pStyle w:val="Heading2"/>
      </w:pPr>
      <w:r>
        <w:t xml:space="preserve">3.1 Cohort </w:t>
      </w:r>
      <w:r w:rsidR="00AF146C">
        <w:t>c</w:t>
      </w:r>
      <w:r>
        <w:t>haracteristics</w:t>
      </w:r>
    </w:p>
    <w:p w14:paraId="4506AAB5" w14:textId="77777777" w:rsidR="00623025" w:rsidRDefault="00623025" w:rsidP="00623025">
      <w:r w:rsidRPr="00623025">
        <w:rPr>
          <w:b/>
          <w:bCs/>
        </w:rPr>
        <w:t>Overall survival.</w:t>
      </w:r>
      <w:r w:rsidRPr="00623025">
        <w:t> Of 420 patients, 262 (62.4%) experienced the primary endpoint (death) during follow-up, and 158 (37.6%) were censored alive. Median overall survival was </w:t>
      </w:r>
      <w:r w:rsidRPr="00623025">
        <w:rPr>
          <w:b/>
          <w:bCs/>
        </w:rPr>
        <w:t>44.5 months</w:t>
      </w:r>
      <w:r w:rsidRPr="00623025">
        <w:t> (approximately 3.7 years). The follow-up distribution is right-skewed: most events occur within the first 75 months, with a small number of patients followed beyond 150 months, consistent with the long natural history of platinum-sensitive HGSOC.</w:t>
      </w:r>
    </w:p>
    <w:p w14:paraId="3DC10F6E" w14:textId="77777777" w:rsidR="00623025" w:rsidRDefault="00623025" w:rsidP="00623025"/>
    <w:p w14:paraId="6403E42C" w14:textId="77777777" w:rsidR="000E6E57" w:rsidRDefault="00623025" w:rsidP="004A4FCC">
      <w:pPr>
        <w:keepNext/>
        <w:spacing w:after="0" w:line="240" w:lineRule="auto"/>
      </w:pPr>
      <w:r>
        <w:rPr>
          <w:noProof/>
        </w:rPr>
        <w:drawing>
          <wp:inline distT="0" distB="0" distL="0" distR="0" wp14:anchorId="36927411" wp14:editId="66F24F65">
            <wp:extent cx="5726430" cy="3516630"/>
            <wp:effectExtent l="0" t="0" r="7620" b="7620"/>
            <wp:docPr id="909566624" name="Picture 2" descr="The image presents a summary of the clinical cohort data for a study, including patient count, attrition, follow-up distribution, event rate, and survival statistics, with specific focus on BRCA1/2 mutation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66624" name="Picture 2" descr="The image presents a summary of the clinical cohort data for a study, including patient count, attrition, follow-up distribution, event rate, and survival statistics, with specific focus on BRCA1/2 mutation statu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6430" cy="3516630"/>
                    </a:xfrm>
                    <a:prstGeom prst="rect">
                      <a:avLst/>
                    </a:prstGeom>
                    <a:noFill/>
                    <a:ln>
                      <a:noFill/>
                    </a:ln>
                  </pic:spPr>
                </pic:pic>
              </a:graphicData>
            </a:graphic>
          </wp:inline>
        </w:drawing>
      </w:r>
    </w:p>
    <w:p w14:paraId="3279C953" w14:textId="3878E650" w:rsidR="00623025" w:rsidRPr="000E6E57" w:rsidRDefault="000E6E57" w:rsidP="00C714A4">
      <w:pPr>
        <w:pStyle w:val="Caption"/>
        <w:spacing w:after="0"/>
        <w:jc w:val="center"/>
        <w:rPr>
          <w:b/>
          <w:bCs/>
          <w:sz w:val="20"/>
          <w:szCs w:val="20"/>
        </w:rPr>
      </w:pPr>
      <w:r w:rsidRPr="000E6E57">
        <w:rPr>
          <w:b/>
          <w:bCs/>
        </w:rPr>
        <w:t xml:space="preserve">Figure </w:t>
      </w:r>
      <w:r w:rsidRPr="000E6E57">
        <w:rPr>
          <w:b/>
          <w:bCs/>
        </w:rPr>
        <w:fldChar w:fldCharType="begin"/>
      </w:r>
      <w:r w:rsidRPr="000E6E57">
        <w:rPr>
          <w:b/>
          <w:bCs/>
        </w:rPr>
        <w:instrText xml:space="preserve"> SEQ Figure \* ARABIC </w:instrText>
      </w:r>
      <w:r w:rsidRPr="000E6E57">
        <w:rPr>
          <w:b/>
          <w:bCs/>
        </w:rPr>
        <w:fldChar w:fldCharType="separate"/>
      </w:r>
      <w:r w:rsidR="002E3C47">
        <w:rPr>
          <w:b/>
          <w:bCs/>
          <w:noProof/>
        </w:rPr>
        <w:t>2</w:t>
      </w:r>
      <w:r w:rsidRPr="000E6E57">
        <w:rPr>
          <w:b/>
          <w:bCs/>
        </w:rPr>
        <w:fldChar w:fldCharType="end"/>
      </w:r>
      <w:r w:rsidRPr="000E6E57">
        <w:rPr>
          <w:b/>
          <w:bCs/>
        </w:rPr>
        <w:t>. Clinical cohort summary for the HGSOC TCGA dataset (n = 420).</w:t>
      </w:r>
    </w:p>
    <w:p w14:paraId="4B448C48" w14:textId="311CEEB5" w:rsidR="000E6E57" w:rsidRDefault="00623025" w:rsidP="004A4FCC">
      <w:pPr>
        <w:pStyle w:val="FigureCaption"/>
      </w:pPr>
      <w:r w:rsidRPr="000E6E57">
        <w:t>Top-left: patient attrition from raw download to final merged cohort.</w:t>
      </w:r>
      <w:r w:rsidRPr="000E6E57">
        <w:br/>
        <w:t>Top-centre: follow-up time distribution stratified by vital status.</w:t>
      </w:r>
      <w:r w:rsidRPr="000E6E57">
        <w:br/>
        <w:t>Top-right: overall event rate (deceased vs. living/censored).</w:t>
      </w:r>
      <w:r w:rsidRPr="000E6E57">
        <w:br/>
        <w:t xml:space="preserve">Bottom-left: </w:t>
      </w:r>
      <w:r w:rsidR="00307EEA">
        <w:t>KM</w:t>
      </w:r>
      <w:r w:rsidRPr="000E6E57">
        <w:t xml:space="preserve"> curve for the full cohort with median OS marked.</w:t>
      </w:r>
      <w:r w:rsidRPr="000E6E57">
        <w:br/>
        <w:t>Bottom-centre: BRCA1/2 germline mutation prevalence (bottom-right panel hidden for layout symmetry).</w:t>
      </w:r>
    </w:p>
    <w:p w14:paraId="61BBF20A" w14:textId="77777777" w:rsidR="004A4FCC" w:rsidRPr="004A4FCC" w:rsidRDefault="004A4FCC" w:rsidP="004A4FCC">
      <w:pPr>
        <w:pStyle w:val="FigureCaption"/>
      </w:pPr>
    </w:p>
    <w:p w14:paraId="5A600155" w14:textId="77777777" w:rsidR="004A4FCC" w:rsidRDefault="004A4FCC" w:rsidP="004A4FCC">
      <w:r w:rsidRPr="00623025">
        <w:rPr>
          <w:b/>
          <w:bCs/>
        </w:rPr>
        <w:t>BRCA1/2 mutation status</w:t>
      </w:r>
      <w:r w:rsidRPr="00623025">
        <w:t xml:space="preserve">.  BRCA1/2 mutations were identified in 17 patients (4.0%), with the remaining 403 patients (96.0%) classified as wild type. This mutation rate is lower than the 15–20% typically reported in clinical HGSOC series, likely reflecting the </w:t>
      </w:r>
      <w:r w:rsidRPr="00623025">
        <w:lastRenderedPageBreak/>
        <w:t>known ascertainment bias in the TCGA cohort towards sporadic cases and the use of somatic (rather than germline) sequencing panels for a proportion of samples.</w:t>
      </w:r>
    </w:p>
    <w:p w14:paraId="4672D0CC" w14:textId="0F0C1686" w:rsidR="00623025" w:rsidRDefault="00623025" w:rsidP="00623025">
      <w:r w:rsidRPr="00623025">
        <w:rPr>
          <w:b/>
          <w:bCs/>
        </w:rPr>
        <w:t>Endpoint choice</w:t>
      </w:r>
      <w:r w:rsidRPr="00623025">
        <w:t>. Overall survival was selected in preference to progression-free survival because it carries a larger event count in this dataset, minimises the ambiguity of radiological progression calls, and is the standard primary endpoint in HGSOC clinical trials. The high event rate (62.4%) provides adequate statistical power for both Cox</w:t>
      </w:r>
      <w:r w:rsidR="00C57406">
        <w:t xml:space="preserve">PH </w:t>
      </w:r>
      <w:r w:rsidRPr="00623025">
        <w:t xml:space="preserve">modelling and </w:t>
      </w:r>
      <w:r w:rsidR="00E949D8">
        <w:t>KM</w:t>
      </w:r>
      <w:r w:rsidRPr="00623025">
        <w:t xml:space="preserve"> stratification.</w:t>
      </w:r>
    </w:p>
    <w:p w14:paraId="2AB1618B" w14:textId="14B7AE55" w:rsidR="00F31C93" w:rsidRDefault="00F31C93" w:rsidP="00F31C93">
      <w:pPr>
        <w:pStyle w:val="Heading2"/>
      </w:pPr>
      <w:r>
        <w:t xml:space="preserve">3.2 ODE </w:t>
      </w:r>
      <w:r w:rsidR="00AF146C">
        <w:t>va</w:t>
      </w:r>
      <w:r>
        <w:t>lidation</w:t>
      </w:r>
    </w:p>
    <w:p w14:paraId="01A8EE48" w14:textId="4FD5D93F" w:rsidR="00F31C93" w:rsidRDefault="00F31C93" w:rsidP="00623025">
      <w:r w:rsidRPr="00F31C93">
        <w:t xml:space="preserve">Two representative patients (BRCA-mutant vs BRCA-wildtype) showed biologically plausible trajectories: the BRCA-mutant patient produced higher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w:r w:rsidRPr="00F31C93">
        <w:t xml:space="preserve"> (greater apoptotic commitment), consistent with known platinum sensitivity.</w:t>
      </w:r>
    </w:p>
    <w:p w14:paraId="4F2BC003" w14:textId="77777777" w:rsidR="004A4FCC" w:rsidRDefault="004A4FCC" w:rsidP="004A4FCC">
      <w:pPr>
        <w:pStyle w:val="Heading2"/>
      </w:pPr>
      <w:r>
        <w:t>3.3 ODE score distributions</w:t>
      </w:r>
    </w:p>
    <w:p w14:paraId="5C72018A" w14:textId="77777777" w:rsidR="004A4FCC" w:rsidRDefault="004A4FCC" w:rsidP="004A4FCC">
      <w:r w:rsidRPr="002D7A2D">
        <w:t>To validate the biological plausibility of the model outputs at the population level, we analy</w:t>
      </w:r>
      <w:r>
        <w:t>s</w:t>
      </w:r>
      <w:r w:rsidRPr="002D7A2D">
        <w:t>ed the distributions of the four ODE-derived scores across the entire cohort (</w:t>
      </w:r>
      <w:r>
        <w:t>n = 420</w:t>
      </w:r>
      <w:r w:rsidRPr="002D7A2D">
        <w:t>) and stratified them by BRCA mutation status (wild type,</w:t>
      </w:r>
      <w:r>
        <w:t xml:space="preserve"> n = 403</w:t>
      </w:r>
      <w:r w:rsidRPr="002D7A2D">
        <w:t> vs. mutant, </w:t>
      </w:r>
      <w:r>
        <w:t>n = 17</w:t>
      </w:r>
      <w:r w:rsidRPr="002D7A2D">
        <w:t>).</w:t>
      </w:r>
    </w:p>
    <w:p w14:paraId="1CB1EBCB" w14:textId="77777777" w:rsidR="004A4FCC" w:rsidRDefault="004A4FCC" w:rsidP="004A4FCC">
      <w:pPr>
        <w:pStyle w:val="Heading3"/>
      </w:pPr>
      <w:r w:rsidRPr="00C72DD3">
        <w:t xml:space="preserve">3.3.1 Apoptotic </w:t>
      </w:r>
      <w:r>
        <w:t>c</w:t>
      </w:r>
      <w:r w:rsidRPr="00C72DD3">
        <w:t>ommitment (</w:t>
      </w:r>
      <m:oMath>
        <m:sSub>
          <m:sSubPr>
            <m:ctrlPr>
              <w:rPr>
                <w:rFonts w:ascii="Cambria Math" w:eastAsiaTheme="minorHAnsi" w:hAnsi="Cambria Math"/>
                <w:i/>
                <w:spacing w:val="0"/>
                <w:kern w:val="0"/>
                <w:sz w:val="22"/>
                <w:szCs w:val="22"/>
              </w:rPr>
            </m:ctrlPr>
          </m:sSubPr>
          <m:e>
            <m:r>
              <w:rPr>
                <w:rFonts w:ascii="Cambria Math" w:hAnsi="Cambria Math"/>
              </w:rPr>
              <m:t>AUC</m:t>
            </m:r>
          </m:e>
          <m:sub>
            <m:r>
              <w:rPr>
                <w:rFonts w:ascii="Cambria Math" w:hAnsi="Cambria Math"/>
              </w:rPr>
              <m:t>X</m:t>
            </m:r>
          </m:sub>
        </m:sSub>
      </m:oMath>
      <w:r w:rsidRPr="00C72DD3">
        <w:t>)</w:t>
      </w:r>
    </w:p>
    <w:p w14:paraId="70AF8A5C" w14:textId="77777777" w:rsidR="004A4FCC" w:rsidRDefault="004A4FCC" w:rsidP="004A4FCC">
      <w:pPr>
        <w:rPr>
          <w:rFonts w:ascii="Times New Roman" w:eastAsia="Times New Roman" w:hAnsi="Times New Roman" w:cs="Times New Roman"/>
          <w:bCs/>
          <w:sz w:val="24"/>
          <w:szCs w:val="24"/>
          <w:lang w:val="en-IE" w:eastAsia="en-IE"/>
          <w14:ligatures w14:val="none"/>
        </w:rPr>
      </w:pPr>
      <w:r w:rsidRPr="00C72DD3">
        <w:rPr>
          <w:lang w:val="en-IE"/>
        </w:rPr>
        <w:t>The area under the apoptotic commitment curve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w:r w:rsidRPr="00C72DD3">
        <w:rPr>
          <w:lang w:val="en-IE"/>
        </w:rPr>
        <w:t xml:space="preserve">) is approximately log-normally distributed across the cohort (Figure </w:t>
      </w:r>
      <w:r>
        <w:rPr>
          <w:lang w:val="en-IE"/>
        </w:rPr>
        <w:t>4</w:t>
      </w:r>
      <w:r w:rsidRPr="00C72DD3">
        <w:rPr>
          <w:lang w:val="en-IE"/>
        </w:rPr>
        <w:t>A). Consistent with the known clinical sensitivity of BRCA-deficient tumo</w:t>
      </w:r>
      <w:r>
        <w:rPr>
          <w:lang w:val="en-IE"/>
        </w:rPr>
        <w:t>u</w:t>
      </w:r>
      <w:r w:rsidRPr="00C72DD3">
        <w:rPr>
          <w:lang w:val="en-IE"/>
        </w:rPr>
        <w:t>rs to DNA-damaging platinum agents, BRCA-mutant patients exhibited a significantly higher median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r>
          <w:rPr>
            <w:rFonts w:ascii="Cambria Math" w:hAnsi="Cambria Math"/>
            <w:lang w:val="en-IE"/>
          </w:rPr>
          <m:t xml:space="preserve"> </m:t>
        </m:r>
      </m:oMath>
      <w:r w:rsidRPr="00C72DD3">
        <w:rPr>
          <w:lang w:val="en-IE"/>
        </w:rPr>
        <w:t>of </w:t>
      </w:r>
      <w:r w:rsidRPr="00C72DD3">
        <w:rPr>
          <w:b/>
          <w:bCs/>
          <w:lang w:val="en-IE"/>
        </w:rPr>
        <w:t>165.00</w:t>
      </w:r>
      <w:r w:rsidRPr="00C72DD3">
        <w:rPr>
          <w:lang w:val="en-IE"/>
        </w:rPr>
        <w:t> (mean </w:t>
      </w:r>
      <w:r>
        <w:rPr>
          <w:lang w:val="en-IE"/>
        </w:rPr>
        <w:t>176.57 ± 112.77</w:t>
      </w:r>
      <w:r w:rsidRPr="00C72DD3">
        <w:rPr>
          <w:lang w:val="en-IE"/>
        </w:rPr>
        <w:t>) compared to wild-type patients with a median of </w:t>
      </w:r>
      <w:r w:rsidRPr="00C72DD3">
        <w:rPr>
          <w:b/>
          <w:bCs/>
          <w:lang w:val="en-IE"/>
        </w:rPr>
        <w:t>107.61</w:t>
      </w:r>
      <w:r w:rsidRPr="00C72DD3">
        <w:rPr>
          <w:lang w:val="en-IE"/>
        </w:rPr>
        <w:t> (mean </w:t>
      </w:r>
      <w:r w:rsidRPr="006212B7">
        <w:rPr>
          <w:lang w:val="en-IE"/>
        </w:rPr>
        <w:t>136.56</w:t>
      </w:r>
      <w:r>
        <w:rPr>
          <w:lang w:val="en-IE"/>
        </w:rPr>
        <w:t xml:space="preserve"> ± </w:t>
      </w:r>
      <w:r w:rsidRPr="006212B7">
        <w:rPr>
          <w:lang w:val="en-IE"/>
        </w:rPr>
        <w:t>107.35</w:t>
      </w:r>
      <w:r w:rsidRPr="00C72DD3">
        <w:rPr>
          <w:lang w:val="en-IE"/>
        </w:rPr>
        <w:t xml:space="preserve">), as shown in Figure </w:t>
      </w:r>
      <w:r>
        <w:rPr>
          <w:lang w:val="en-IE"/>
        </w:rPr>
        <w:t>5</w:t>
      </w:r>
      <w:r w:rsidRPr="00C72DD3">
        <w:rPr>
          <w:lang w:val="en-IE"/>
        </w:rPr>
        <w:t>A. This confirms that the zero-shot</w:t>
      </w:r>
      <w:r>
        <w:rPr>
          <w:lang w:val="en-IE"/>
        </w:rPr>
        <w:t xml:space="preserve"> MM</w:t>
      </w:r>
      <w:r w:rsidRPr="00C72DD3">
        <w:rPr>
          <w:lang w:val="en-IE"/>
        </w:rPr>
        <w:t xml:space="preserve"> successfully captures increased apoptotic drive in </w:t>
      </w:r>
      <w:r>
        <w:rPr>
          <w:lang w:val="en-IE"/>
        </w:rPr>
        <w:t>HR</w:t>
      </w:r>
      <w:r w:rsidRPr="00C72DD3">
        <w:rPr>
          <w:lang w:val="en-IE"/>
        </w:rPr>
        <w:t xml:space="preserve"> deficient tumo</w:t>
      </w:r>
      <w:r>
        <w:rPr>
          <w:lang w:val="en-IE"/>
        </w:rPr>
        <w:t>u</w:t>
      </w:r>
      <w:r w:rsidRPr="00C72DD3">
        <w:rPr>
          <w:lang w:val="en-IE"/>
        </w:rPr>
        <w:t>rs without outcome-based parameter tuning.</w:t>
      </w:r>
      <w:r w:rsidRPr="005D323B">
        <w:rPr>
          <w:rFonts w:ascii="Times New Roman" w:eastAsia="Times New Roman" w:hAnsi="Times New Roman" w:cs="Times New Roman"/>
          <w:bCs/>
          <w:sz w:val="24"/>
          <w:szCs w:val="24"/>
          <w:lang w:val="en-IE" w:eastAsia="en-IE"/>
          <w14:ligatures w14:val="none"/>
        </w:rPr>
        <w:t xml:space="preserve"> </w:t>
      </w:r>
    </w:p>
    <w:p w14:paraId="05D49F7A" w14:textId="77777777" w:rsidR="00C714A4" w:rsidRDefault="00912876" w:rsidP="004A4FCC">
      <w:pPr>
        <w:keepNext/>
        <w:spacing w:after="0" w:line="240" w:lineRule="auto"/>
      </w:pPr>
      <w:r>
        <w:rPr>
          <w:noProof/>
        </w:rPr>
        <w:lastRenderedPageBreak/>
        <w:drawing>
          <wp:inline distT="0" distB="0" distL="0" distR="0" wp14:anchorId="526B74A0" wp14:editId="529B7250">
            <wp:extent cx="5715000" cy="1202055"/>
            <wp:effectExtent l="0" t="0" r="0" b="0"/>
            <wp:docPr id="1742831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1202055"/>
                    </a:xfrm>
                    <a:prstGeom prst="rect">
                      <a:avLst/>
                    </a:prstGeom>
                    <a:noFill/>
                    <a:ln>
                      <a:noFill/>
                    </a:ln>
                  </pic:spPr>
                </pic:pic>
              </a:graphicData>
            </a:graphic>
          </wp:inline>
        </w:drawing>
      </w:r>
    </w:p>
    <w:p w14:paraId="73405321" w14:textId="3E13DD75" w:rsidR="00912876" w:rsidRPr="00C714A4" w:rsidRDefault="00C714A4" w:rsidP="00C714A4">
      <w:pPr>
        <w:pStyle w:val="Caption"/>
        <w:spacing w:after="0"/>
        <w:jc w:val="center"/>
        <w:rPr>
          <w:b/>
          <w:bCs/>
        </w:rPr>
      </w:pPr>
      <w:r w:rsidRPr="00C714A4">
        <w:rPr>
          <w:b/>
          <w:bCs/>
        </w:rPr>
        <w:t xml:space="preserve">Figure </w:t>
      </w:r>
      <w:r w:rsidRPr="00C714A4">
        <w:rPr>
          <w:b/>
          <w:bCs/>
        </w:rPr>
        <w:fldChar w:fldCharType="begin"/>
      </w:r>
      <w:r w:rsidRPr="00C714A4">
        <w:rPr>
          <w:b/>
          <w:bCs/>
        </w:rPr>
        <w:instrText xml:space="preserve"> SEQ Figure \* ARABIC </w:instrText>
      </w:r>
      <w:r w:rsidRPr="00C714A4">
        <w:rPr>
          <w:b/>
          <w:bCs/>
        </w:rPr>
        <w:fldChar w:fldCharType="separate"/>
      </w:r>
      <w:r w:rsidR="002E3C47">
        <w:rPr>
          <w:b/>
          <w:bCs/>
          <w:noProof/>
        </w:rPr>
        <w:t>3</w:t>
      </w:r>
      <w:r w:rsidRPr="00C714A4">
        <w:rPr>
          <w:b/>
          <w:bCs/>
        </w:rPr>
        <w:fldChar w:fldCharType="end"/>
      </w:r>
      <w:r w:rsidRPr="00C714A4">
        <w:rPr>
          <w:b/>
          <w:bCs/>
        </w:rPr>
        <w:t>. Mechanistic trajectories of HR-DDR ODE model state variables for representative patients.</w:t>
      </w:r>
    </w:p>
    <w:p w14:paraId="3F031371" w14:textId="4C936BA4" w:rsidR="00F31C93" w:rsidRPr="00C714A4" w:rsidRDefault="00F31C93" w:rsidP="007923A4">
      <w:pPr>
        <w:pStyle w:val="FigureCaption"/>
      </w:pPr>
      <w:r w:rsidRPr="00C714A4">
        <w:t>Simulation profiles of state variables over 120 hours following a transient carboplatin damage perturbation (</w:t>
      </w:r>
      <w:r w:rsidR="00912876" w:rsidRPr="00C714A4">
        <w:t>D</w:t>
      </w:r>
      <w:r w:rsidR="00912876" w:rsidRPr="00C714A4">
        <w:rPr>
          <w:vertAlign w:val="subscript"/>
        </w:rPr>
        <w:t>0</w:t>
      </w:r>
      <w:r w:rsidR="00912876" w:rsidRPr="00C714A4">
        <w:t xml:space="preserve"> = 1.0</w:t>
      </w:r>
      <w:r w:rsidRPr="00C714A4">
        <w:t>, half-life</w:t>
      </w:r>
      <w:r w:rsidR="00912876" w:rsidRPr="00C714A4">
        <w:t xml:space="preserve"> τ</w:t>
      </w:r>
      <w:r w:rsidR="00912876" w:rsidRPr="00C714A4">
        <w:rPr>
          <w:sz w:val="18"/>
          <w:szCs w:val="18"/>
        </w:rPr>
        <w:t>drug</w:t>
      </w:r>
      <w:r w:rsidR="00912876" w:rsidRPr="00C714A4">
        <w:t xml:space="preserve">= 6 </w:t>
      </w:r>
      <w:r w:rsidRPr="00C714A4">
        <w:t>h). Low-BRCA patient (red, TCGA-29-1762, </w:t>
      </w:r>
      <m:oMath>
        <m:sSub>
          <m:sSubPr>
            <m:ctrlPr>
              <w:rPr>
                <w:rFonts w:ascii="Cambria Math" w:hAnsi="Cambria Math"/>
                <w:bCs/>
                <w:lang w:val="en-IE"/>
              </w:rPr>
            </m:ctrlPr>
          </m:sSubPr>
          <m:e>
            <m:r>
              <w:rPr>
                <w:rFonts w:ascii="Cambria Math" w:hAnsi="Cambria Math"/>
                <w:lang w:val="en-IE"/>
              </w:rPr>
              <m:t>BRCA</m:t>
            </m:r>
          </m:e>
          <m:sub>
            <m:r>
              <w:rPr>
                <w:rFonts w:ascii="Cambria Math" w:hAnsi="Cambria Math"/>
                <w:lang w:val="en-IE"/>
              </w:rPr>
              <m:t>cap</m:t>
            </m:r>
          </m:sub>
        </m:sSub>
        <m:r>
          <m:rPr>
            <m:sty m:val="p"/>
          </m:rPr>
          <w:rPr>
            <w:rFonts w:ascii="Cambria Math" w:hAnsi="Cambria Math"/>
            <w:lang w:val="en-IE"/>
          </w:rPr>
          <m:t xml:space="preserve"> = 0.603</m:t>
        </m:r>
      </m:oMath>
      <w:r w:rsidRPr="00C714A4">
        <w:t xml:space="preserve">) represents </w:t>
      </w:r>
      <w:r w:rsidR="00F63462" w:rsidRPr="00C714A4">
        <w:t>HR</w:t>
      </w:r>
      <w:r w:rsidRPr="00C714A4">
        <w:t xml:space="preserve"> deficiency, while High-BRCA patient (blue, TCGA-59-A5PD,</w:t>
      </w:r>
      <w:r w:rsidR="002C0BB3" w:rsidRPr="00C714A4">
        <w:t xml:space="preserve"> </w:t>
      </w:r>
      <m:oMath>
        <m:sSub>
          <m:sSubPr>
            <m:ctrlPr>
              <w:rPr>
                <w:rFonts w:ascii="Cambria Math" w:hAnsi="Cambria Math"/>
                <w:bCs/>
                <w:lang w:val="en-IE"/>
              </w:rPr>
            </m:ctrlPr>
          </m:sSubPr>
          <m:e>
            <m:r>
              <w:rPr>
                <w:rFonts w:ascii="Cambria Math" w:hAnsi="Cambria Math"/>
                <w:lang w:val="en-IE"/>
              </w:rPr>
              <m:t>BRCA</m:t>
            </m:r>
          </m:e>
          <m:sub>
            <m:r>
              <w:rPr>
                <w:rFonts w:ascii="Cambria Math" w:hAnsi="Cambria Math"/>
                <w:lang w:val="en-IE"/>
              </w:rPr>
              <m:t>cap</m:t>
            </m:r>
          </m:sub>
        </m:sSub>
        <m:r>
          <w:rPr>
            <w:rFonts w:ascii="Cambria Math" w:hAnsi="Cambria Math"/>
            <w:lang w:val="en-IE"/>
          </w:rPr>
          <m:t>=</m:t>
        </m:r>
        <m:r>
          <w:rPr>
            <w:rFonts w:ascii="Cambria Math" w:hAnsi="Cambria Math"/>
            <w:lang w:val="en-IE"/>
          </w:rPr>
          <m:t xml:space="preserve"> 2.369</m:t>
        </m:r>
      </m:oMath>
      <w:r w:rsidRPr="00C714A4">
        <w:t xml:space="preserve">) represents </w:t>
      </w:r>
      <w:r w:rsidR="000B7BAD" w:rsidRPr="00C714A4">
        <w:t xml:space="preserve">HR </w:t>
      </w:r>
      <w:r w:rsidRPr="00C714A4">
        <w:t>proficiency.</w:t>
      </w:r>
      <w:r w:rsidR="00D00CCA" w:rsidRPr="00C714A4">
        <w:t xml:space="preserve"> </w:t>
      </w:r>
      <w:r w:rsidRPr="00C714A4">
        <w:t>From left to right:</w:t>
      </w:r>
    </w:p>
    <w:p w14:paraId="740DB7D4" w14:textId="77777777" w:rsidR="00F31C93" w:rsidRPr="00C714A4" w:rsidRDefault="00F31C93" w:rsidP="007923A4">
      <w:pPr>
        <w:pStyle w:val="FigureCaption"/>
      </w:pPr>
      <w:r w:rsidRPr="00E70A0F">
        <w:rPr>
          <w:b/>
          <w:bCs/>
        </w:rPr>
        <w:t>D (DNA Damage):</w:t>
      </w:r>
      <w:r w:rsidRPr="00C714A4">
        <w:t xml:space="preserve"> Spikes rapidly following drug entry. In the Low-BRCA patient, damage resolves more slowly due to reliance on slower/error-prone non-homologous end joining (NHEJ) repair. In the High-BRCA patient, damage is rapidly resolved.</w:t>
      </w:r>
    </w:p>
    <w:p w14:paraId="4D5241CA" w14:textId="77777777" w:rsidR="00F31C93" w:rsidRPr="00C714A4" w:rsidRDefault="00F31C93" w:rsidP="007923A4">
      <w:pPr>
        <w:pStyle w:val="FigureCaption"/>
      </w:pPr>
      <w:r w:rsidRPr="00E70A0F">
        <w:rPr>
          <w:b/>
          <w:bCs/>
        </w:rPr>
        <w:t>A (ATM/ATR activation):</w:t>
      </w:r>
      <w:r w:rsidRPr="00C714A4">
        <w:t xml:space="preserve"> Sensed damage signal tracks with DNA damage load, showing sustained activation in the Low-BRCA patient.</w:t>
      </w:r>
    </w:p>
    <w:p w14:paraId="67B2D34C" w14:textId="585C7EA2" w:rsidR="00F31C93" w:rsidRPr="00C714A4" w:rsidRDefault="00F31C93" w:rsidP="007923A4">
      <w:pPr>
        <w:pStyle w:val="FigureCaption"/>
      </w:pPr>
      <w:r w:rsidRPr="00E70A0F">
        <w:rPr>
          <w:b/>
          <w:bCs/>
        </w:rPr>
        <w:t xml:space="preserve">C (CHK </w:t>
      </w:r>
      <w:r w:rsidR="006900A6" w:rsidRPr="00E70A0F">
        <w:rPr>
          <w:b/>
          <w:bCs/>
        </w:rPr>
        <w:t>signalling</w:t>
      </w:r>
      <w:r w:rsidRPr="00E70A0F">
        <w:rPr>
          <w:b/>
          <w:bCs/>
        </w:rPr>
        <w:t>):</w:t>
      </w:r>
      <w:r w:rsidRPr="00C714A4">
        <w:t xml:space="preserve"> Downstream kinase </w:t>
      </w:r>
      <w:r w:rsidR="006900A6" w:rsidRPr="00C714A4">
        <w:t>signalling</w:t>
      </w:r>
      <w:r w:rsidRPr="00C714A4">
        <w:t xml:space="preserve"> cascade activated by ATM/ATR shows a corresponding high-amplitude, prolonged plateaus in the Low-BRCA patient.</w:t>
      </w:r>
    </w:p>
    <w:p w14:paraId="5261008C" w14:textId="050A60BD" w:rsidR="00F31C93" w:rsidRPr="00C714A4" w:rsidRDefault="00F31C93" w:rsidP="007923A4">
      <w:pPr>
        <w:pStyle w:val="FigureCaption"/>
      </w:pPr>
      <w:r w:rsidRPr="00E70A0F">
        <w:rPr>
          <w:b/>
          <w:bCs/>
        </w:rPr>
        <w:t>R (HR repair complex):</w:t>
      </w:r>
      <w:r w:rsidRPr="00C714A4">
        <w:t xml:space="preserve"> Repair complex abundance starts at the zero-damage analytical steady state (</w:t>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bCs/>
                <w:lang w:val="en-IE"/>
              </w:rPr>
            </m:ctrlPr>
          </m:sSubPr>
          <m:e>
            <m:r>
              <w:rPr>
                <w:rFonts w:ascii="Cambria Math" w:hAnsi="Cambria Math"/>
                <w:lang w:val="en-IE"/>
              </w:rPr>
              <m:t>BRCA</m:t>
            </m:r>
          </m:e>
          <m:sub>
            <m:r>
              <w:rPr>
                <w:rFonts w:ascii="Cambria Math" w:hAnsi="Cambria Math"/>
                <w:lang w:val="en-IE"/>
              </w:rPr>
              <m:t>cap</m:t>
            </m:r>
          </m:sub>
        </m:sSub>
      </m:oMath>
      <w:r w:rsidRPr="00C714A4">
        <w:t>) and undergoes depletion driven by checkpoint-mediated consumption. The Low-BRCA patient exhibits severe depletion and delayed recovery.</w:t>
      </w:r>
    </w:p>
    <w:p w14:paraId="66D32FB6" w14:textId="6D8CFECF" w:rsidR="00C714A4" w:rsidRDefault="00F31C93" w:rsidP="004A4FCC">
      <w:pPr>
        <w:pStyle w:val="FigureCaption"/>
      </w:pPr>
      <w:r w:rsidRPr="00E70A0F">
        <w:rPr>
          <w:b/>
          <w:bCs/>
        </w:rPr>
        <w:t>X (Apoptosis):</w:t>
      </w:r>
      <w:r w:rsidRPr="00C714A4">
        <w:t xml:space="preserve"> Apoptotic commitment accumulates under sustained checkpoint </w:t>
      </w:r>
      <w:r w:rsidR="006900A6" w:rsidRPr="00C714A4">
        <w:t>signalling</w:t>
      </w:r>
      <w:r w:rsidRPr="00C714A4">
        <w:t>. The Low-BRCA patient shows high apoptotic d</w:t>
      </w:r>
      <w:r w:rsidRPr="00B93071">
        <w:t>rive (</w:t>
      </w:r>
      <m:oMath>
        <m:sSub>
          <m:sSubPr>
            <m:ctrlPr>
              <w:rPr>
                <w:rFonts w:ascii="Cambria Math" w:hAnsi="Cambria Math"/>
                <w:color w:val="auto"/>
                <w:sz w:val="22"/>
                <w:szCs w:val="22"/>
                <w:lang w:val="en-IE"/>
              </w:rPr>
            </m:ctrlPr>
          </m:sSubPr>
          <m:e>
            <m:r>
              <w:rPr>
                <w:rFonts w:ascii="Cambria Math" w:hAnsi="Cambria Math"/>
                <w:lang w:val="en-IE"/>
              </w:rPr>
              <m:t>AUC</m:t>
            </m:r>
          </m:e>
          <m:sub>
            <m:r>
              <w:rPr>
                <w:rFonts w:ascii="Cambria Math" w:hAnsi="Cambria Math"/>
                <w:lang w:val="en-IE"/>
              </w:rPr>
              <m:t>X</m:t>
            </m:r>
          </m:sub>
        </m:sSub>
        <m:r>
          <w:rPr>
            <w:rFonts w:ascii="Cambria Math" w:hAnsi="Cambria Math"/>
            <w:color w:val="auto"/>
            <w:sz w:val="22"/>
            <w:szCs w:val="22"/>
            <w:lang w:val="en-IE"/>
          </w:rPr>
          <m:t xml:space="preserve"> = 443.710</m:t>
        </m:r>
      </m:oMath>
      <w:r w:rsidRPr="00B93071">
        <w:t xml:space="preserve">), </w:t>
      </w:r>
      <w:r w:rsidR="00C9783F">
        <w:t xml:space="preserve">indicating </w:t>
      </w:r>
      <w:r w:rsidRPr="00C714A4">
        <w:t>high platinum sensitivity, whereas the High-BRCA patient suppresses apoptosis</w:t>
      </w:r>
      <w:r w:rsidRPr="006866FD">
        <w:t xml:space="preserve"> (</w:t>
      </w:r>
      <m:oMath>
        <m:sSub>
          <m:sSubPr>
            <m:ctrlPr>
              <w:rPr>
                <w:rFonts w:ascii="Cambria Math" w:hAnsi="Cambria Math"/>
                <w:color w:val="auto"/>
                <w:sz w:val="22"/>
                <w:szCs w:val="22"/>
                <w:lang w:val="en-IE"/>
              </w:rPr>
            </m:ctrlPr>
          </m:sSubPr>
          <m:e>
            <m:r>
              <w:rPr>
                <w:rFonts w:ascii="Cambria Math" w:hAnsi="Cambria Math"/>
                <w:lang w:val="en-IE"/>
              </w:rPr>
              <m:t>AUC</m:t>
            </m:r>
          </m:e>
          <m:sub>
            <m:r>
              <w:rPr>
                <w:rFonts w:ascii="Cambria Math" w:hAnsi="Cambria Math"/>
                <w:lang w:val="en-IE"/>
              </w:rPr>
              <m:t>X</m:t>
            </m:r>
          </m:sub>
        </m:sSub>
        <m:r>
          <w:rPr>
            <w:rFonts w:ascii="Cambria Math" w:hAnsi="Cambria Math"/>
            <w:color w:val="auto"/>
            <w:sz w:val="22"/>
            <w:szCs w:val="22"/>
            <w:lang w:val="en-IE"/>
          </w:rPr>
          <m:t xml:space="preserve"> = 111.880</m:t>
        </m:r>
      </m:oMath>
      <w:r w:rsidR="006866FD" w:rsidRPr="006866FD">
        <w:t>)</w:t>
      </w:r>
      <w:r w:rsidR="006866FD">
        <w:t xml:space="preserve"> </w:t>
      </w:r>
      <w:r w:rsidRPr="00C714A4">
        <w:t>via rapid DNA repair and lower checkpoint activation.</w:t>
      </w:r>
    </w:p>
    <w:p w14:paraId="1D00C38C" w14:textId="77777777" w:rsidR="004A4FCC" w:rsidRDefault="004A4FCC" w:rsidP="004A4FCC">
      <w:pPr>
        <w:pStyle w:val="FigureCaption"/>
      </w:pPr>
    </w:p>
    <w:p w14:paraId="609524A8" w14:textId="0DA908F5" w:rsidR="005D323B" w:rsidRPr="005D323B" w:rsidRDefault="005D323B" w:rsidP="005D323B">
      <w:pPr>
        <w:pStyle w:val="Heading3"/>
      </w:pPr>
      <w:r w:rsidRPr="005D323B">
        <w:rPr>
          <w:rFonts w:eastAsia="Times New Roman"/>
          <w:lang w:eastAsia="en-IE"/>
          <w14:ligatures w14:val="none"/>
        </w:rPr>
        <w:t xml:space="preserve">3.3.2 </w:t>
      </w:r>
      <w:r w:rsidRPr="005D323B">
        <w:t xml:space="preserve">Peak </w:t>
      </w:r>
      <w:r w:rsidR="004A4F29">
        <w:t>a</w:t>
      </w:r>
      <w:r w:rsidRPr="005D323B">
        <w:t xml:space="preserve">poptotic </w:t>
      </w:r>
      <w:r w:rsidR="004A4F29">
        <w:t>s</w:t>
      </w:r>
      <w:r w:rsidRPr="005D323B">
        <w:t>ignal (</w:t>
      </w:r>
      <m:oMath>
        <m:sSub>
          <m:sSubPr>
            <m:ctrlPr>
              <w:rPr>
                <w:rFonts w:ascii="Cambria Math" w:eastAsiaTheme="minorHAnsi" w:hAnsi="Cambria Math"/>
                <w:i/>
                <w:spacing w:val="0"/>
                <w:kern w:val="0"/>
                <w:sz w:val="22"/>
                <w:szCs w:val="22"/>
                <w:lang w:val="en-GB"/>
              </w:rPr>
            </m:ctrlPr>
          </m:sSubPr>
          <m:e>
            <m:r>
              <w:rPr>
                <w:rFonts w:ascii="Cambria Math" w:hAnsi="Cambria Math"/>
              </w:rPr>
              <m:t>X</m:t>
            </m:r>
          </m:e>
          <m:sub>
            <m:r>
              <w:rPr>
                <w:rFonts w:ascii="Cambria Math" w:hAnsi="Cambria Math"/>
              </w:rPr>
              <m:t>peak</m:t>
            </m:r>
          </m:sub>
        </m:sSub>
      </m:oMath>
      <w:r w:rsidRPr="005D323B">
        <w:t>)</w:t>
      </w:r>
    </w:p>
    <w:p w14:paraId="54AC2FA0" w14:textId="79391298" w:rsidR="005D323B" w:rsidRDefault="005D323B" w:rsidP="005D323B">
      <w:pPr>
        <w:rPr>
          <w:lang w:val="en-IE"/>
        </w:rPr>
      </w:pPr>
      <w:r w:rsidRPr="005D323B">
        <w:rPr>
          <w:lang w:val="en-IE"/>
        </w:rPr>
        <w:t>The peak level of the apoptotic commitment signal (</w:t>
      </w:r>
      <m:oMath>
        <m:sSub>
          <m:sSubPr>
            <m:ctrlPr>
              <w:rPr>
                <w:rFonts w:ascii="Cambria Math" w:hAnsi="Cambria Math"/>
                <w:i/>
              </w:rPr>
            </m:ctrlPr>
          </m:sSubPr>
          <m:e>
            <m:r>
              <w:rPr>
                <w:rFonts w:ascii="Cambria Math" w:hAnsi="Cambria Math"/>
              </w:rPr>
              <m:t>X</m:t>
            </m:r>
          </m:e>
          <m:sub>
            <m:r>
              <w:rPr>
                <w:rFonts w:ascii="Cambria Math" w:hAnsi="Cambria Math"/>
              </w:rPr>
              <m:t>peak</m:t>
            </m:r>
          </m:sub>
        </m:sSub>
      </m:oMath>
      <w:r w:rsidRPr="005D323B">
        <w:rPr>
          <w:lang w:val="en-IE"/>
        </w:rPr>
        <w:t>) mirrors the trends seen with</w:t>
      </w:r>
      <w:r w:rsidR="00BF048F">
        <w:rPr>
          <w:lang w:val="en-IE"/>
        </w:rPr>
        <w:t xml:space="preserve">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w:r w:rsidRPr="005D323B">
        <w:rPr>
          <w:lang w:val="en-IE"/>
        </w:rPr>
        <w:t xml:space="preserve">. It is approximately log-normally distributed (Figure </w:t>
      </w:r>
      <w:r>
        <w:rPr>
          <w:lang w:val="en-IE"/>
        </w:rPr>
        <w:t>4</w:t>
      </w:r>
      <w:r w:rsidRPr="005D323B">
        <w:rPr>
          <w:lang w:val="en-IE"/>
        </w:rPr>
        <w:t xml:space="preserve">B) and is elevated in the BRCA-mutant group. BRCA-mutant patients reached a higher median peak apoptotic signal of </w:t>
      </w:r>
      <w:r w:rsidRPr="005D323B">
        <w:rPr>
          <w:b/>
          <w:bCs/>
          <w:lang w:val="en-IE"/>
        </w:rPr>
        <w:t>5.85</w:t>
      </w:r>
      <w:r w:rsidRPr="005D323B">
        <w:rPr>
          <w:lang w:val="en-IE"/>
        </w:rPr>
        <w:t xml:space="preserve"> (mean 6.11 ± 3.56) compared to </w:t>
      </w:r>
      <w:r w:rsidRPr="005D323B">
        <w:rPr>
          <w:b/>
          <w:bCs/>
          <w:lang w:val="en-IE"/>
        </w:rPr>
        <w:t>3.88</w:t>
      </w:r>
      <w:r w:rsidRPr="005D323B">
        <w:rPr>
          <w:lang w:val="en-IE"/>
        </w:rPr>
        <w:t xml:space="preserve"> in wild-type patients (mean 4.88 ± 3.49)</w:t>
      </w:r>
      <w:r w:rsidR="00FA6A54">
        <w:rPr>
          <w:lang w:val="en-IE"/>
        </w:rPr>
        <w:t xml:space="preserve"> as shown in Figure 5B</w:t>
      </w:r>
      <w:r w:rsidRPr="005D323B">
        <w:rPr>
          <w:lang w:val="en-IE"/>
        </w:rPr>
        <w:t>. This suggests that HR-deficient cells not only undergo greater overall apoptosis but also achieve a higher maximum amplitude of apoptotic signal</w:t>
      </w:r>
      <w:r>
        <w:rPr>
          <w:lang w:val="en-IE"/>
        </w:rPr>
        <w:t>l</w:t>
      </w:r>
      <w:r w:rsidRPr="005D323B">
        <w:rPr>
          <w:lang w:val="en-IE"/>
        </w:rPr>
        <w:t>ing.</w:t>
      </w:r>
    </w:p>
    <w:p w14:paraId="5B31A646" w14:textId="4EADA3ED" w:rsidR="004A4F29" w:rsidRPr="004A4F29" w:rsidRDefault="004A4F29" w:rsidP="004A4F29">
      <w:pPr>
        <w:pStyle w:val="Heading3"/>
      </w:pPr>
      <w:r>
        <w:t>3.3</w:t>
      </w:r>
      <w:r w:rsidRPr="004A4F29">
        <w:t xml:space="preserve">.3 Time to DNA </w:t>
      </w:r>
      <w:r>
        <w:t>r</w:t>
      </w:r>
      <w:r w:rsidRPr="004A4F29">
        <w:t>epair (</w:t>
      </w:r>
      <m:oMath>
        <m:sSub>
          <m:sSubPr>
            <m:ctrlPr>
              <w:rPr>
                <w:rFonts w:ascii="Cambria Math" w:hAnsi="Cambria Math"/>
              </w:rPr>
            </m:ctrlPr>
          </m:sSubPr>
          <m:e>
            <m:r>
              <w:rPr>
                <w:rFonts w:ascii="Cambria Math" w:hAnsi="Cambria Math"/>
              </w:rPr>
              <m:t>T</m:t>
            </m:r>
          </m:e>
          <m:sub>
            <m:r>
              <m:rPr>
                <m:nor/>
              </m:rPr>
              <m:t>repair</m:t>
            </m:r>
          </m:sub>
        </m:sSub>
      </m:oMath>
      <w:r w:rsidRPr="004A4F29">
        <w:t>)</w:t>
      </w:r>
    </w:p>
    <w:p w14:paraId="1AC4C39E" w14:textId="5814933A" w:rsidR="004A4F29" w:rsidRDefault="004A4F29" w:rsidP="004A4F29">
      <w:pPr>
        <w:rPr>
          <w:lang w:val="en-IE"/>
        </w:rPr>
      </w:pPr>
      <w:r w:rsidRPr="004A4F29">
        <w:rPr>
          <w:lang w:val="en-IE"/>
        </w:rPr>
        <w:t>Time to resolve DNA damage (</w:t>
      </w: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Pr="004A4F29">
        <w:rPr>
          <w:lang w:val="en-IE"/>
        </w:rPr>
        <w:t xml:space="preserve">) is a discrete variable representing the hour at which DNA damage falls below the repair threshold (Figure </w:t>
      </w:r>
      <w:r>
        <w:rPr>
          <w:lang w:val="en-IE"/>
        </w:rPr>
        <w:t>4</w:t>
      </w:r>
      <w:r w:rsidRPr="004A4F29">
        <w:rPr>
          <w:lang w:val="en-IE"/>
        </w:rPr>
        <w:t xml:space="preserve">C). The cohort-wide distribution is tightly grouped around a median of 61.0 hours. Interestingly, BRCA-mutant patients exhibit a slightly longer median repair time of </w:t>
      </w:r>
      <w:r w:rsidRPr="004A4F29">
        <w:rPr>
          <w:b/>
          <w:bCs/>
          <w:lang w:val="en-IE"/>
        </w:rPr>
        <w:t>63.00 hours</w:t>
      </w:r>
      <w:r w:rsidRPr="004A4F29">
        <w:rPr>
          <w:lang w:val="en-IE"/>
        </w:rPr>
        <w:t xml:space="preserve"> (mean 62.12 </w:t>
      </w:r>
      <w:r w:rsidRPr="004A4F29">
        <w:rPr>
          <w:lang w:val="en-IE"/>
        </w:rPr>
        <w:lastRenderedPageBreak/>
        <w:t xml:space="preserve">± 3.74 h) compared to </w:t>
      </w:r>
      <w:r w:rsidRPr="004A4F29">
        <w:rPr>
          <w:b/>
          <w:bCs/>
          <w:lang w:val="en-IE"/>
        </w:rPr>
        <w:t>61.00 hours</w:t>
      </w:r>
      <w:r w:rsidRPr="004A4F29">
        <w:rPr>
          <w:lang w:val="en-IE"/>
        </w:rPr>
        <w:t xml:space="preserve"> for wild-type patients (mean 60.99 ± 3.74 h), as shown in Figure </w:t>
      </w:r>
      <w:r w:rsidR="00FA6A54">
        <w:rPr>
          <w:lang w:val="en-IE"/>
        </w:rPr>
        <w:t>5</w:t>
      </w:r>
      <w:r w:rsidRPr="004A4F29">
        <w:rPr>
          <w:lang w:val="en-IE"/>
        </w:rPr>
        <w:t xml:space="preserve">C. This slower resolution of damage is a hallmark of </w:t>
      </w:r>
      <w:r w:rsidR="00547996">
        <w:rPr>
          <w:lang w:val="en-IE"/>
        </w:rPr>
        <w:t xml:space="preserve">HR </w:t>
      </w:r>
      <w:r w:rsidRPr="004A4F29">
        <w:rPr>
          <w:lang w:val="en-IE"/>
        </w:rPr>
        <w:t>deficiency, where cells must rely on slower or error-prone alternative repair mechanisms.</w:t>
      </w:r>
    </w:p>
    <w:p w14:paraId="67AC971D" w14:textId="29BBFAD6" w:rsidR="00547996" w:rsidRPr="00547996" w:rsidRDefault="005F4057" w:rsidP="00547996">
      <w:pPr>
        <w:pStyle w:val="Heading3"/>
      </w:pPr>
      <w:r>
        <w:t>3.3.4</w:t>
      </w:r>
      <w:r w:rsidR="00547996" w:rsidRPr="00547996">
        <w:t xml:space="preserve"> Residual DNA </w:t>
      </w:r>
      <w:r w:rsidR="00547996">
        <w:t>d</w:t>
      </w:r>
      <w:r w:rsidR="00547996" w:rsidRPr="00547996">
        <w:t>amage (</w:t>
      </w:r>
      <m:oMath>
        <m:sSub>
          <m:sSubPr>
            <m:ctrlPr>
              <w:rPr>
                <w:rFonts w:ascii="Cambria Math" w:hAnsi="Cambria Math"/>
              </w:rPr>
            </m:ctrlPr>
          </m:sSubPr>
          <m:e>
            <m:r>
              <w:rPr>
                <w:rFonts w:ascii="Cambria Math" w:hAnsi="Cambria Math"/>
              </w:rPr>
              <m:t>D</m:t>
            </m:r>
          </m:e>
          <m:sub>
            <m:r>
              <m:rPr>
                <m:nor/>
              </m:rPr>
              <w:rPr>
                <w:rFonts w:ascii="Cambria Math"/>
              </w:rPr>
              <m:t>resid</m:t>
            </m:r>
          </m:sub>
        </m:sSub>
      </m:oMath>
      <w:r w:rsidR="00547996" w:rsidRPr="00547996">
        <w:t>)</w:t>
      </w:r>
    </w:p>
    <w:p w14:paraId="632E207B" w14:textId="743050D6" w:rsidR="00547996" w:rsidRDefault="00547996" w:rsidP="00547996">
      <w:pPr>
        <w:rPr>
          <w:lang w:val="en-IE"/>
        </w:rPr>
      </w:pPr>
      <w:r w:rsidRPr="00547996">
        <w:rPr>
          <w:lang w:val="en-IE"/>
        </w:rPr>
        <w:t>The residual DNA damage load (</w:t>
      </w:r>
      <m:oMath>
        <m:sSub>
          <m:sSubPr>
            <m:ctrlPr>
              <w:rPr>
                <w:rFonts w:ascii="Cambria Math" w:hAnsi="Cambria Math"/>
                <w:lang w:val="en-IE"/>
              </w:rPr>
            </m:ctrlPr>
          </m:sSubPr>
          <m:e>
            <m:r>
              <w:rPr>
                <w:rFonts w:ascii="Cambria Math" w:hAnsi="Cambria Math"/>
                <w:lang w:val="en-IE"/>
              </w:rPr>
              <m:t>D</m:t>
            </m:r>
          </m:e>
          <m:sub>
            <m:r>
              <m:rPr>
                <m:nor/>
              </m:rPr>
              <w:rPr>
                <w:rFonts w:ascii="Cambria Math"/>
                <w:lang w:val="en-IE"/>
              </w:rPr>
              <m:t>resid</m:t>
            </m:r>
          </m:sub>
        </m:sSub>
      </m:oMath>
      <w:r w:rsidRPr="00547996">
        <w:rPr>
          <w:lang w:val="en-IE"/>
        </w:rPr>
        <w:t>) at 120 hours represents the damage that could not be resolved by the end of the simulation. For nearly all patients, the residual damage was extremely small (in the range of 10</w:t>
      </w:r>
      <w:r w:rsidRPr="00547996">
        <w:rPr>
          <w:rFonts w:ascii="Cambria Math" w:hAnsi="Cambria Math" w:cs="Cambria Math"/>
          <w:lang w:val="en-IE"/>
        </w:rPr>
        <w:t>⁻</w:t>
      </w:r>
      <w:r w:rsidRPr="00547996">
        <w:rPr>
          <w:lang w:val="en-IE"/>
        </w:rPr>
        <w:t xml:space="preserve">⁹), indicating that the damage was largely resolved (Figure </w:t>
      </w:r>
      <w:r w:rsidR="00A16D03">
        <w:rPr>
          <w:lang w:val="en-IE"/>
        </w:rPr>
        <w:t>4</w:t>
      </w:r>
      <w:r w:rsidRPr="00547996">
        <w:rPr>
          <w:lang w:val="en-IE"/>
        </w:rPr>
        <w:t>D). BRCA-mutant patients had a slightly higher median residual</w:t>
      </w:r>
    </w:p>
    <w:p w14:paraId="5F5643DC" w14:textId="77777777" w:rsidR="00C714A4" w:rsidRDefault="00D03A72" w:rsidP="004A4FCC">
      <w:pPr>
        <w:keepNext/>
        <w:spacing w:after="0" w:line="240" w:lineRule="auto"/>
      </w:pPr>
      <w:r>
        <w:rPr>
          <w:noProof/>
          <w:lang w:val="en-IE"/>
        </w:rPr>
        <w:drawing>
          <wp:inline distT="0" distB="0" distL="0" distR="0" wp14:anchorId="5A0BD4E3" wp14:editId="1BB00C8D">
            <wp:extent cx="5730240" cy="4564380"/>
            <wp:effectExtent l="0" t="0" r="3810" b="7620"/>
            <wp:docPr id="1113398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4564380"/>
                    </a:xfrm>
                    <a:prstGeom prst="rect">
                      <a:avLst/>
                    </a:prstGeom>
                    <a:noFill/>
                    <a:ln>
                      <a:noFill/>
                    </a:ln>
                  </pic:spPr>
                </pic:pic>
              </a:graphicData>
            </a:graphic>
          </wp:inline>
        </w:drawing>
      </w:r>
    </w:p>
    <w:p w14:paraId="744BF76C" w14:textId="11F8041F" w:rsidR="00A16D03" w:rsidRPr="00C714A4" w:rsidRDefault="00C714A4" w:rsidP="006C4E50">
      <w:pPr>
        <w:pStyle w:val="Caption"/>
        <w:spacing w:after="0"/>
        <w:jc w:val="center"/>
        <w:rPr>
          <w:b/>
          <w:bCs/>
          <w:sz w:val="20"/>
          <w:szCs w:val="20"/>
          <w:lang w:val="en-IE"/>
        </w:rPr>
      </w:pPr>
      <w:r w:rsidRPr="00C714A4">
        <w:rPr>
          <w:b/>
          <w:bCs/>
          <w:sz w:val="20"/>
          <w:szCs w:val="20"/>
        </w:rPr>
        <w:t xml:space="preserve">Figure </w:t>
      </w:r>
      <w:r w:rsidRPr="00C714A4">
        <w:rPr>
          <w:b/>
          <w:bCs/>
          <w:sz w:val="20"/>
          <w:szCs w:val="20"/>
        </w:rPr>
        <w:fldChar w:fldCharType="begin"/>
      </w:r>
      <w:r w:rsidRPr="00C714A4">
        <w:rPr>
          <w:b/>
          <w:bCs/>
          <w:sz w:val="20"/>
          <w:szCs w:val="20"/>
        </w:rPr>
        <w:instrText xml:space="preserve"> SEQ Figure \* ARABIC </w:instrText>
      </w:r>
      <w:r w:rsidRPr="00C714A4">
        <w:rPr>
          <w:b/>
          <w:bCs/>
          <w:sz w:val="20"/>
          <w:szCs w:val="20"/>
        </w:rPr>
        <w:fldChar w:fldCharType="separate"/>
      </w:r>
      <w:r w:rsidR="002E3C47">
        <w:rPr>
          <w:b/>
          <w:bCs/>
          <w:noProof/>
          <w:sz w:val="20"/>
          <w:szCs w:val="20"/>
        </w:rPr>
        <w:t>4</w:t>
      </w:r>
      <w:r w:rsidRPr="00C714A4">
        <w:rPr>
          <w:b/>
          <w:bCs/>
          <w:sz w:val="20"/>
          <w:szCs w:val="20"/>
        </w:rPr>
        <w:fldChar w:fldCharType="end"/>
      </w:r>
      <w:r w:rsidRPr="00C714A4">
        <w:rPr>
          <w:b/>
          <w:bCs/>
          <w:sz w:val="20"/>
          <w:szCs w:val="20"/>
        </w:rPr>
        <w:t>. Cohort-wide distribution of ODE scores.</w:t>
      </w:r>
    </w:p>
    <w:p w14:paraId="59BF1888" w14:textId="4FF455A8" w:rsidR="00FA6A54" w:rsidRPr="006C4E50" w:rsidRDefault="00FA6A54" w:rsidP="007923A4">
      <w:pPr>
        <w:pStyle w:val="FigureCaption"/>
      </w:pPr>
      <w:r w:rsidRPr="006C4E50">
        <w:t xml:space="preserve">2×2 grid of histograms showing the population distributions of (A) </w:t>
      </w:r>
      <w:r w:rsidR="00186B45">
        <w:t>a</w:t>
      </w:r>
      <w:r w:rsidRPr="006C4E50">
        <w:t>poptotic commitment (</w:t>
      </w:r>
      <m:oMath>
        <m:sSub>
          <m:sSubPr>
            <m:ctrlPr>
              <w:rPr>
                <w:rFonts w:ascii="Cambria Math" w:hAnsi="Cambria Math"/>
                <w:iCs w:val="0"/>
                <w:color w:val="auto"/>
                <w:sz w:val="22"/>
                <w:szCs w:val="22"/>
                <w:lang w:val="en-IE"/>
              </w:rPr>
            </m:ctrlPr>
          </m:sSubPr>
          <m:e>
            <m:r>
              <w:rPr>
                <w:rFonts w:ascii="Cambria Math" w:hAnsi="Cambria Math"/>
                <w:lang w:val="en-IE"/>
              </w:rPr>
              <m:t>AUC</m:t>
            </m:r>
          </m:e>
          <m:sub>
            <m:r>
              <w:rPr>
                <w:rFonts w:ascii="Cambria Math" w:hAnsi="Cambria Math"/>
                <w:lang w:val="en-IE"/>
              </w:rPr>
              <m:t>X</m:t>
            </m:r>
          </m:sub>
        </m:sSub>
      </m:oMath>
      <w:r w:rsidRPr="006C4E50">
        <w:t xml:space="preserve">), (B) </w:t>
      </w:r>
      <w:r w:rsidR="00186B45">
        <w:t>p</w:t>
      </w:r>
      <w:r w:rsidRPr="006C4E50">
        <w:t>eak apoptotic signal (</w:t>
      </w:r>
      <m:oMath>
        <m:sSub>
          <m:sSubPr>
            <m:ctrlPr>
              <w:rPr>
                <w:rFonts w:ascii="Cambria Math" w:hAnsi="Cambria Math"/>
                <w:iCs w:val="0"/>
                <w:color w:val="auto"/>
                <w:sz w:val="22"/>
                <w:szCs w:val="22"/>
              </w:rPr>
            </m:ctrlPr>
          </m:sSubPr>
          <m:e>
            <m:r>
              <w:rPr>
                <w:rFonts w:ascii="Cambria Math" w:hAnsi="Cambria Math"/>
              </w:rPr>
              <m:t>X</m:t>
            </m:r>
          </m:e>
          <m:sub>
            <m:r>
              <m:rPr>
                <m:sty m:val="p"/>
              </m:rPr>
              <w:rPr>
                <w:rFonts w:ascii="Cambria Math" w:hAnsi="Cambria Math"/>
              </w:rPr>
              <m:t>peak</m:t>
            </m:r>
          </m:sub>
        </m:sSub>
      </m:oMath>
      <w:r w:rsidRPr="006C4E50">
        <w:t xml:space="preserve">), (C) </w:t>
      </w:r>
      <w:r w:rsidR="00186B45">
        <w:t>t</w:t>
      </w:r>
      <w:r w:rsidRPr="006C4E50">
        <w:t>ime to DNA repair (</w:t>
      </w: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Pr="006C4E50">
        <w:t xml:space="preserve">), and (D) </w:t>
      </w:r>
      <w:r w:rsidR="00186B45">
        <w:t>r</w:t>
      </w:r>
      <w:r w:rsidRPr="006C4E50">
        <w:t>esidual DNA damage (</w:t>
      </w:r>
      <m:oMath>
        <m:sSub>
          <m:sSubPr>
            <m:ctrlPr>
              <w:rPr>
                <w:rFonts w:ascii="Cambria Math" w:hAnsi="Cambria Math"/>
                <w:lang w:val="en-IE"/>
              </w:rPr>
            </m:ctrlPr>
          </m:sSubPr>
          <m:e>
            <m:r>
              <w:rPr>
                <w:rFonts w:ascii="Cambria Math" w:hAnsi="Cambria Math"/>
                <w:lang w:val="en-IE"/>
              </w:rPr>
              <m:t>D</m:t>
            </m:r>
          </m:e>
          <m:sub>
            <m:r>
              <m:rPr>
                <m:nor/>
              </m:rPr>
              <w:rPr>
                <w:rFonts w:ascii="Cambria Math"/>
                <w:lang w:val="en-IE"/>
              </w:rPr>
              <m:t>resid</m:t>
            </m:r>
          </m:sub>
        </m:sSub>
      </m:oMath>
      <w:r w:rsidRPr="006C4E50">
        <w:t>), with pre-specified tertile boundaries (dashed lines) and optimal exploratory cutoffs (dotted lines) marked.</w:t>
      </w:r>
    </w:p>
    <w:p w14:paraId="0D002604" w14:textId="77777777" w:rsidR="00FA6A54" w:rsidRPr="006C4E50" w:rsidRDefault="00FA6A54" w:rsidP="00547996">
      <w:pPr>
        <w:rPr>
          <w:lang w:val="en-IE"/>
        </w:rPr>
      </w:pPr>
    </w:p>
    <w:p w14:paraId="454CE505" w14:textId="77777777" w:rsidR="006C4E50" w:rsidRDefault="00D03A72" w:rsidP="004A4FCC">
      <w:pPr>
        <w:keepNext/>
        <w:spacing w:after="0" w:line="240" w:lineRule="auto"/>
      </w:pPr>
      <w:r>
        <w:rPr>
          <w:noProof/>
          <w:lang w:val="en-IE"/>
        </w:rPr>
        <w:lastRenderedPageBreak/>
        <w:drawing>
          <wp:inline distT="0" distB="0" distL="0" distR="0" wp14:anchorId="2D501C63" wp14:editId="0ACAA887">
            <wp:extent cx="5730240" cy="4564380"/>
            <wp:effectExtent l="0" t="0" r="3810" b="7620"/>
            <wp:docPr id="1040312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4564380"/>
                    </a:xfrm>
                    <a:prstGeom prst="rect">
                      <a:avLst/>
                    </a:prstGeom>
                    <a:noFill/>
                    <a:ln>
                      <a:noFill/>
                    </a:ln>
                  </pic:spPr>
                </pic:pic>
              </a:graphicData>
            </a:graphic>
          </wp:inline>
        </w:drawing>
      </w:r>
    </w:p>
    <w:p w14:paraId="431BC0FC" w14:textId="0EB09693" w:rsidR="00D03A72" w:rsidRPr="006C4E50" w:rsidRDefault="006C4E50" w:rsidP="006C4E50">
      <w:pPr>
        <w:pStyle w:val="Caption"/>
        <w:spacing w:after="0"/>
        <w:jc w:val="center"/>
        <w:rPr>
          <w:b/>
          <w:bCs/>
          <w:sz w:val="20"/>
          <w:szCs w:val="20"/>
          <w:lang w:val="en-IE"/>
        </w:rPr>
      </w:pPr>
      <w:r w:rsidRPr="006C4E50">
        <w:rPr>
          <w:b/>
          <w:bCs/>
          <w:sz w:val="20"/>
          <w:szCs w:val="20"/>
        </w:rPr>
        <w:t xml:space="preserve">Figure </w:t>
      </w:r>
      <w:r w:rsidRPr="006C4E50">
        <w:rPr>
          <w:b/>
          <w:bCs/>
          <w:sz w:val="20"/>
          <w:szCs w:val="20"/>
        </w:rPr>
        <w:fldChar w:fldCharType="begin"/>
      </w:r>
      <w:r w:rsidRPr="006C4E50">
        <w:rPr>
          <w:b/>
          <w:bCs/>
          <w:sz w:val="20"/>
          <w:szCs w:val="20"/>
        </w:rPr>
        <w:instrText xml:space="preserve"> SEQ Figure \* ARABIC </w:instrText>
      </w:r>
      <w:r w:rsidRPr="006C4E50">
        <w:rPr>
          <w:b/>
          <w:bCs/>
          <w:sz w:val="20"/>
          <w:szCs w:val="20"/>
        </w:rPr>
        <w:fldChar w:fldCharType="separate"/>
      </w:r>
      <w:r w:rsidR="002E3C47">
        <w:rPr>
          <w:b/>
          <w:bCs/>
          <w:noProof/>
          <w:sz w:val="20"/>
          <w:szCs w:val="20"/>
        </w:rPr>
        <w:t>5</w:t>
      </w:r>
      <w:r w:rsidRPr="006C4E50">
        <w:rPr>
          <w:b/>
          <w:bCs/>
          <w:sz w:val="20"/>
          <w:szCs w:val="20"/>
        </w:rPr>
        <w:fldChar w:fldCharType="end"/>
      </w:r>
      <w:r w:rsidRPr="006C4E50">
        <w:rPr>
          <w:b/>
          <w:bCs/>
          <w:sz w:val="20"/>
          <w:szCs w:val="20"/>
        </w:rPr>
        <w:t>. Distribution of ODE scores stratified by BRCA mutation status.</w:t>
      </w:r>
    </w:p>
    <w:p w14:paraId="14882B35" w14:textId="35F082E6" w:rsidR="006C4E50" w:rsidRDefault="00A16D03" w:rsidP="004A4FCC">
      <w:pPr>
        <w:pStyle w:val="FigureCaption"/>
      </w:pPr>
      <w:r w:rsidRPr="006C4E50">
        <w:t xml:space="preserve">2×2 grid of box plots showing (A) </w:t>
      </w:r>
      <w:r w:rsidR="00186B45">
        <w:t>a</w:t>
      </w:r>
      <w:r w:rsidRPr="006C4E50">
        <w:t>poptotic commitment (</w:t>
      </w:r>
      <m:oMath>
        <m:sSub>
          <m:sSubPr>
            <m:ctrlPr>
              <w:rPr>
                <w:rFonts w:ascii="Cambria Math" w:hAnsi="Cambria Math"/>
                <w:iCs w:val="0"/>
                <w:color w:val="auto"/>
                <w:sz w:val="22"/>
                <w:szCs w:val="22"/>
                <w:lang w:val="en-IE"/>
              </w:rPr>
            </m:ctrlPr>
          </m:sSubPr>
          <m:e>
            <m:r>
              <w:rPr>
                <w:rFonts w:ascii="Cambria Math" w:hAnsi="Cambria Math"/>
                <w:lang w:val="en-IE"/>
              </w:rPr>
              <m:t>AUC</m:t>
            </m:r>
          </m:e>
          <m:sub>
            <m:r>
              <w:rPr>
                <w:rFonts w:ascii="Cambria Math" w:hAnsi="Cambria Math"/>
                <w:lang w:val="en-IE"/>
              </w:rPr>
              <m:t>X</m:t>
            </m:r>
          </m:sub>
        </m:sSub>
      </m:oMath>
      <w:r w:rsidRPr="006C4E50">
        <w:t xml:space="preserve">), (B) </w:t>
      </w:r>
      <w:r w:rsidR="00186B45">
        <w:t>p</w:t>
      </w:r>
      <w:r w:rsidRPr="006C4E50">
        <w:t>eak apoptotic signal (</w:t>
      </w:r>
      <m:oMath>
        <m:sSub>
          <m:sSubPr>
            <m:ctrlPr>
              <w:rPr>
                <w:rFonts w:ascii="Cambria Math" w:hAnsi="Cambria Math"/>
                <w:iCs w:val="0"/>
                <w:color w:val="auto"/>
                <w:sz w:val="22"/>
                <w:szCs w:val="22"/>
              </w:rPr>
            </m:ctrlPr>
          </m:sSubPr>
          <m:e>
            <m:r>
              <w:rPr>
                <w:rFonts w:ascii="Cambria Math" w:hAnsi="Cambria Math"/>
              </w:rPr>
              <m:t>X</m:t>
            </m:r>
          </m:e>
          <m:sub>
            <m:r>
              <m:rPr>
                <m:sty m:val="p"/>
              </m:rPr>
              <w:rPr>
                <w:rFonts w:ascii="Cambria Math" w:hAnsi="Cambria Math"/>
              </w:rPr>
              <m:t>peak</m:t>
            </m:r>
          </m:sub>
        </m:sSub>
      </m:oMath>
      <w:r w:rsidRPr="006C4E50">
        <w:t xml:space="preserve">), (C) </w:t>
      </w:r>
      <w:r w:rsidR="00186B45">
        <w:t>t</w:t>
      </w:r>
      <w:r w:rsidRPr="006C4E50">
        <w:t>ime to DNA repair (</w:t>
      </w: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Pr="006C4E50">
        <w:t xml:space="preserve">), and (D) </w:t>
      </w:r>
      <w:r w:rsidR="00186B45">
        <w:t>r</w:t>
      </w:r>
      <w:r w:rsidRPr="006C4E50">
        <w:t>esidual DNA damage (</w:t>
      </w:r>
      <m:oMath>
        <m:sSub>
          <m:sSubPr>
            <m:ctrlPr>
              <w:rPr>
                <w:rFonts w:ascii="Cambria Math" w:hAnsi="Cambria Math"/>
                <w:lang w:val="en-IE"/>
              </w:rPr>
            </m:ctrlPr>
          </m:sSubPr>
          <m:e>
            <m:r>
              <m:rPr>
                <m:sty m:val="p"/>
              </m:rPr>
              <w:rPr>
                <w:rFonts w:ascii="Cambria Math" w:hAnsi="Cambria Math"/>
                <w:lang w:val="en-IE"/>
              </w:rPr>
              <m:t>D</m:t>
            </m:r>
          </m:e>
          <m:sub>
            <m:r>
              <m:rPr>
                <m:nor/>
              </m:rPr>
              <w:rPr>
                <w:rFonts w:ascii="Cambria Math"/>
                <w:lang w:val="en-IE"/>
              </w:rPr>
              <m:t>resid</m:t>
            </m:r>
          </m:sub>
        </m:sSub>
      </m:oMath>
      <w:r w:rsidRPr="006C4E50">
        <w:t>) in BRCA wild-type (blue, n = 403) vs. BRCA-mutant (red, n = 17) patients. Mutants exhibit elevated apoptotic commitment (A, B), longer repair times (C), and slightly higher residual damage (D).</w:t>
      </w:r>
    </w:p>
    <w:p w14:paraId="64FDCE8C" w14:textId="77777777" w:rsidR="004A4FCC" w:rsidRPr="004A4FCC" w:rsidRDefault="004A4FCC" w:rsidP="004A4FCC">
      <w:pPr>
        <w:pStyle w:val="FigureCaption"/>
      </w:pPr>
    </w:p>
    <w:p w14:paraId="3E3AC813" w14:textId="701A5DBC" w:rsidR="004A4FCC" w:rsidRDefault="004A4FCC" w:rsidP="009E7BD0">
      <w:pPr>
        <w:rPr>
          <w:lang w:val="en-IE"/>
        </w:rPr>
      </w:pPr>
      <w:r w:rsidRPr="00547996">
        <w:rPr>
          <w:lang w:val="en-IE"/>
        </w:rPr>
        <w:t xml:space="preserve">damage of </w:t>
      </w:r>
      <w:r w:rsidRPr="00A16D03">
        <w:rPr>
          <w:b/>
          <w:bCs/>
          <w:lang w:val="en-IE"/>
        </w:rPr>
        <w:t>7.75 × 10</w:t>
      </w:r>
      <w:r w:rsidRPr="00A16D03">
        <w:rPr>
          <w:rFonts w:ascii="Cambria Math" w:hAnsi="Cambria Math" w:cs="Cambria Math"/>
          <w:b/>
          <w:bCs/>
          <w:lang w:val="en-IE"/>
        </w:rPr>
        <w:t>⁻</w:t>
      </w:r>
      <w:r w:rsidRPr="00A16D03">
        <w:rPr>
          <w:b/>
          <w:bCs/>
          <w:lang w:val="en-IE"/>
        </w:rPr>
        <w:t>⁹</w:t>
      </w:r>
      <w:r w:rsidRPr="00547996">
        <w:rPr>
          <w:lang w:val="en-IE"/>
        </w:rPr>
        <w:t xml:space="preserve"> (mean 8.06 × 10</w:t>
      </w:r>
      <w:r w:rsidRPr="00547996">
        <w:rPr>
          <w:rFonts w:ascii="Cambria Math" w:hAnsi="Cambria Math" w:cs="Cambria Math"/>
          <w:lang w:val="en-IE"/>
        </w:rPr>
        <w:t>⁻</w:t>
      </w:r>
      <w:r w:rsidRPr="00547996">
        <w:rPr>
          <w:lang w:val="en-IE"/>
        </w:rPr>
        <w:t xml:space="preserve">⁹) compared to </w:t>
      </w:r>
      <w:r w:rsidRPr="00A16D03">
        <w:rPr>
          <w:b/>
          <w:bCs/>
          <w:lang w:val="en-IE"/>
        </w:rPr>
        <w:t>7.28 × 10</w:t>
      </w:r>
      <w:r w:rsidRPr="00A16D03">
        <w:rPr>
          <w:rFonts w:ascii="Cambria Math" w:hAnsi="Cambria Math" w:cs="Cambria Math"/>
          <w:b/>
          <w:bCs/>
          <w:lang w:val="en-IE"/>
        </w:rPr>
        <w:t>⁻</w:t>
      </w:r>
      <w:r w:rsidRPr="00A16D03">
        <w:rPr>
          <w:b/>
          <w:bCs/>
          <w:lang w:val="en-IE"/>
        </w:rPr>
        <w:t>⁹</w:t>
      </w:r>
      <w:r w:rsidRPr="00547996">
        <w:rPr>
          <w:lang w:val="en-IE"/>
        </w:rPr>
        <w:t xml:space="preserve"> in wild-type patients (mean 7.73 × 10</w:t>
      </w:r>
      <w:r w:rsidRPr="00547996">
        <w:rPr>
          <w:rFonts w:ascii="Cambria Math" w:hAnsi="Cambria Math" w:cs="Cambria Math"/>
          <w:lang w:val="en-IE"/>
        </w:rPr>
        <w:t>⁻</w:t>
      </w:r>
      <w:r w:rsidRPr="00547996">
        <w:rPr>
          <w:lang w:val="en-IE"/>
        </w:rPr>
        <w:t xml:space="preserve">⁹), as shown in Figure </w:t>
      </w:r>
      <w:r>
        <w:rPr>
          <w:lang w:val="en-IE"/>
        </w:rPr>
        <w:t>5</w:t>
      </w:r>
      <w:r w:rsidRPr="00547996">
        <w:rPr>
          <w:lang w:val="en-IE"/>
        </w:rPr>
        <w:t xml:space="preserve">D. Although the absolute difference is minimal, it reflects the slower and less efficient </w:t>
      </w:r>
      <w:r>
        <w:rPr>
          <w:lang w:val="en-IE"/>
        </w:rPr>
        <w:t>DSB</w:t>
      </w:r>
      <w:r w:rsidRPr="00547996">
        <w:rPr>
          <w:lang w:val="en-IE"/>
        </w:rPr>
        <w:t xml:space="preserve"> repair in the mutant group.</w:t>
      </w:r>
    </w:p>
    <w:p w14:paraId="1215B897" w14:textId="75F5D179" w:rsidR="004961FA" w:rsidRDefault="004961FA" w:rsidP="00321648">
      <w:pPr>
        <w:pStyle w:val="Heading2"/>
        <w:rPr>
          <w:lang w:val="en-IE"/>
        </w:rPr>
      </w:pPr>
      <w:r>
        <w:rPr>
          <w:lang w:val="en-IE"/>
        </w:rPr>
        <w:t xml:space="preserve">3.4 </w:t>
      </w:r>
      <w:r w:rsidRPr="004961FA">
        <w:rPr>
          <w:lang w:val="en-IE"/>
        </w:rPr>
        <w:t xml:space="preserve">Univariate Cox </w:t>
      </w:r>
      <w:r>
        <w:rPr>
          <w:lang w:val="en-IE"/>
        </w:rPr>
        <w:t>r</w:t>
      </w:r>
      <w:r w:rsidRPr="004961FA">
        <w:rPr>
          <w:lang w:val="en-IE"/>
        </w:rPr>
        <w:t>egression</w:t>
      </w:r>
    </w:p>
    <w:p w14:paraId="1511D65A" w14:textId="77777777" w:rsidR="004A4FCC" w:rsidRDefault="004A4FCC" w:rsidP="004A4FCC">
      <w:pPr>
        <w:rPr>
          <w:lang w:val="en-IE"/>
        </w:rPr>
      </w:pPr>
      <w:r w:rsidRPr="004961FA">
        <w:rPr>
          <w:lang w:val="en-IE"/>
        </w:rPr>
        <w:t xml:space="preserve">To stabilize the regression models and make the hazard ratios directly comparable, the log-transformed scores were Z-score standardized (scaled to mean = 0, standard deviation = 1) across the cohort. Consequently, the Hazard Ratios in </w:t>
      </w:r>
      <w:r>
        <w:rPr>
          <w:lang w:val="en-IE"/>
        </w:rPr>
        <w:t>T</w:t>
      </w:r>
      <w:r w:rsidRPr="004961FA">
        <w:rPr>
          <w:lang w:val="en-IE"/>
        </w:rPr>
        <w:t xml:space="preserve">able </w:t>
      </w:r>
      <w:r>
        <w:rPr>
          <w:lang w:val="en-IE"/>
        </w:rPr>
        <w:t xml:space="preserve">2 </w:t>
      </w:r>
      <w:r w:rsidRPr="004961FA">
        <w:rPr>
          <w:lang w:val="en-IE"/>
        </w:rPr>
        <w:t xml:space="preserve">represent the change in patient hazard </w:t>
      </w:r>
      <w:r w:rsidRPr="004961FA">
        <w:rPr>
          <w:b/>
          <w:bCs/>
          <w:lang w:val="en-IE"/>
        </w:rPr>
        <w:t>per standard deviation increase</w:t>
      </w:r>
      <w:r w:rsidRPr="004961FA">
        <w:rPr>
          <w:lang w:val="en-IE"/>
        </w:rPr>
        <w:t xml:space="preserve"> of each score.</w:t>
      </w:r>
    </w:p>
    <w:p w14:paraId="073D0123" w14:textId="77777777" w:rsidR="004A4FCC" w:rsidRPr="004961FA" w:rsidRDefault="004A4FCC" w:rsidP="004A4FCC">
      <w:pPr>
        <w:rPr>
          <w:lang w:val="en-IE"/>
        </w:rPr>
      </w:pPr>
      <w:r w:rsidRPr="004961FA">
        <w:rPr>
          <w:lang w:val="en-IE"/>
        </w:rPr>
        <w:t>The standardized results show a clear and consistent biological signal:</w:t>
      </w:r>
    </w:p>
    <w:p w14:paraId="198A81BC" w14:textId="62529DC0" w:rsidR="00321648" w:rsidRPr="00321648" w:rsidRDefault="00321648" w:rsidP="00F63164">
      <w:pPr>
        <w:pStyle w:val="Caption"/>
        <w:keepNext/>
        <w:jc w:val="center"/>
        <w:rPr>
          <w:sz w:val="20"/>
          <w:szCs w:val="20"/>
        </w:rPr>
      </w:pPr>
      <w:r w:rsidRPr="00321648">
        <w:rPr>
          <w:b/>
          <w:bCs/>
          <w:sz w:val="20"/>
          <w:szCs w:val="20"/>
        </w:rPr>
        <w:lastRenderedPageBreak/>
        <w:t xml:space="preserve">Table </w:t>
      </w:r>
      <w:r w:rsidRPr="00321648">
        <w:rPr>
          <w:b/>
          <w:bCs/>
          <w:sz w:val="20"/>
          <w:szCs w:val="20"/>
        </w:rPr>
        <w:fldChar w:fldCharType="begin"/>
      </w:r>
      <w:r w:rsidRPr="00321648">
        <w:rPr>
          <w:b/>
          <w:bCs/>
          <w:sz w:val="20"/>
          <w:szCs w:val="20"/>
        </w:rPr>
        <w:instrText xml:space="preserve"> SEQ Table \* ARABIC </w:instrText>
      </w:r>
      <w:r w:rsidRPr="00321648">
        <w:rPr>
          <w:b/>
          <w:bCs/>
          <w:sz w:val="20"/>
          <w:szCs w:val="20"/>
        </w:rPr>
        <w:fldChar w:fldCharType="separate"/>
      </w:r>
      <w:r w:rsidRPr="00321648">
        <w:rPr>
          <w:b/>
          <w:bCs/>
          <w:noProof/>
          <w:sz w:val="20"/>
          <w:szCs w:val="20"/>
        </w:rPr>
        <w:t>2</w:t>
      </w:r>
      <w:r w:rsidRPr="00321648">
        <w:rPr>
          <w:b/>
          <w:bCs/>
          <w:sz w:val="20"/>
          <w:szCs w:val="20"/>
        </w:rPr>
        <w:fldChar w:fldCharType="end"/>
      </w:r>
      <w:r w:rsidRPr="00321648">
        <w:rPr>
          <w:b/>
          <w:bCs/>
          <w:sz w:val="20"/>
          <w:szCs w:val="20"/>
        </w:rPr>
        <w:t>. Univariate Cox</w:t>
      </w:r>
      <w:r w:rsidR="002A567C">
        <w:rPr>
          <w:b/>
          <w:bCs/>
          <w:sz w:val="20"/>
          <w:szCs w:val="20"/>
        </w:rPr>
        <w:t>PH</w:t>
      </w:r>
      <w:r w:rsidRPr="00321648">
        <w:rPr>
          <w:b/>
          <w:bCs/>
          <w:sz w:val="20"/>
          <w:szCs w:val="20"/>
        </w:rPr>
        <w:t xml:space="preserve"> results for the four ODE-derived survival scores.</w:t>
      </w:r>
      <w:r w:rsidRPr="00321648">
        <w:rPr>
          <w:sz w:val="20"/>
          <w:szCs w:val="20"/>
        </w:rPr>
        <w:t xml:space="preserve"> </w:t>
      </w:r>
      <w:r>
        <w:rPr>
          <w:sz w:val="20"/>
          <w:szCs w:val="20"/>
        </w:rPr>
        <w:br/>
      </w:r>
      <w:r w:rsidRPr="00321648">
        <w:rPr>
          <w:sz w:val="20"/>
          <w:szCs w:val="20"/>
        </w:rPr>
        <w:t>Hazard</w:t>
      </w:r>
      <w:r>
        <w:rPr>
          <w:sz w:val="20"/>
          <w:szCs w:val="20"/>
        </w:rPr>
        <w:t xml:space="preserve"> </w:t>
      </w:r>
      <w:r w:rsidRPr="00321648">
        <w:rPr>
          <w:sz w:val="20"/>
          <w:szCs w:val="20"/>
        </w:rPr>
        <w:t xml:space="preserve">ratios (HR) are reported per standard-deviation increase in the log-transformed score; </w:t>
      </w:r>
      <m:oMath>
        <m:sSub>
          <m:sSubPr>
            <m:ctrlPr>
              <w:rPr>
                <w:rFonts w:ascii="Cambria Math" w:hAnsi="Cambria Math"/>
                <w:color w:val="auto"/>
                <w:sz w:val="20"/>
                <w:szCs w:val="20"/>
                <w:lang w:val="en-IE"/>
              </w:rPr>
            </m:ctrlPr>
          </m:sSubPr>
          <m:e>
            <m:r>
              <w:rPr>
                <w:rFonts w:ascii="Cambria Math" w:hAnsi="Cambria Math"/>
                <w:sz w:val="20"/>
                <w:szCs w:val="20"/>
                <w:lang w:val="en-IE"/>
              </w:rPr>
              <m:t>AUC</m:t>
            </m:r>
          </m:e>
          <m:sub>
            <m:r>
              <w:rPr>
                <w:rFonts w:ascii="Cambria Math" w:hAnsi="Cambria Math"/>
                <w:sz w:val="20"/>
                <w:szCs w:val="20"/>
                <w:lang w:val="en-IE"/>
              </w:rPr>
              <m:t>X</m:t>
            </m:r>
          </m:sub>
        </m:sSub>
      </m:oMath>
      <w:r w:rsidRPr="00321648">
        <w:rPr>
          <w:sz w:val="20"/>
          <w:szCs w:val="20"/>
        </w:rPr>
        <w:t xml:space="preserve"> and X_peak both show HR &lt; 1 with p = 0.015, consistent with the expected direction (higher apoptotic commitment predicting longer overall survival). </w:t>
      </w:r>
      <m:oMath>
        <m:sSub>
          <m:sSubPr>
            <m:ctrlPr>
              <w:rPr>
                <w:rFonts w:ascii="Cambria Math" w:hAnsi="Cambria Math"/>
                <w:sz w:val="20"/>
                <w:szCs w:val="20"/>
                <w:lang w:val="en-IE"/>
              </w:rPr>
            </m:ctrlPr>
          </m:sSubPr>
          <m:e>
            <m:r>
              <w:rPr>
                <w:rFonts w:ascii="Cambria Math" w:hAnsi="Cambria Math"/>
                <w:sz w:val="20"/>
                <w:szCs w:val="20"/>
                <w:lang w:val="en-IE"/>
              </w:rPr>
              <m:t>T</m:t>
            </m:r>
          </m:e>
          <m:sub>
            <m:r>
              <m:rPr>
                <m:nor/>
              </m:rPr>
              <w:rPr>
                <w:sz w:val="20"/>
                <w:szCs w:val="20"/>
                <w:lang w:val="en-IE"/>
              </w:rPr>
              <m:t>repair</m:t>
            </m:r>
          </m:sub>
        </m:sSub>
      </m:oMath>
      <w:r w:rsidR="00F63164">
        <w:rPr>
          <w:sz w:val="20"/>
          <w:szCs w:val="20"/>
        </w:rPr>
        <w:t xml:space="preserve"> </w:t>
      </w:r>
      <w:r w:rsidRPr="00321648">
        <w:rPr>
          <w:sz w:val="20"/>
          <w:szCs w:val="20"/>
        </w:rPr>
        <w:t xml:space="preserve">shows a directionally unexpected HR &lt; 1 despite its hypothesised HR &gt; 1 relationship, reflecting the structural flaw described in Section 5 (the absolute 0.9×R_ss threshold scales with </w:t>
      </w:r>
      <m:oMath>
        <m:sSub>
          <m:sSubPr>
            <m:ctrlPr>
              <w:rPr>
                <w:rFonts w:ascii="Cambria Math" w:hAnsi="Cambria Math"/>
                <w:bCs/>
                <w:sz w:val="20"/>
                <w:szCs w:val="20"/>
                <w:lang w:val="en-IE"/>
              </w:rPr>
            </m:ctrlPr>
          </m:sSubPr>
          <m:e>
            <m:r>
              <w:rPr>
                <w:rFonts w:ascii="Cambria Math" w:hAnsi="Cambria Math"/>
                <w:sz w:val="20"/>
                <w:szCs w:val="20"/>
                <w:lang w:val="en-IE"/>
              </w:rPr>
              <m:t>BRCA</m:t>
            </m:r>
          </m:e>
          <m:sub>
            <m:r>
              <w:rPr>
                <w:rFonts w:ascii="Cambria Math" w:hAnsi="Cambria Math"/>
                <w:sz w:val="20"/>
                <w:szCs w:val="20"/>
                <w:lang w:val="en-IE"/>
              </w:rPr>
              <m:t>cap</m:t>
            </m:r>
          </m:sub>
        </m:sSub>
      </m:oMath>
      <w:r w:rsidR="00217346">
        <w:rPr>
          <w:sz w:val="20"/>
          <w:szCs w:val="20"/>
        </w:rPr>
        <w:t xml:space="preserve"> </w:t>
      </w:r>
      <w:r w:rsidRPr="00321648">
        <w:rPr>
          <w:sz w:val="20"/>
          <w:szCs w:val="20"/>
        </w:rPr>
        <w:t xml:space="preserve">, paradoxically lengthening </w:t>
      </w:r>
      <m:oMath>
        <m:sSub>
          <m:sSubPr>
            <m:ctrlPr>
              <w:rPr>
                <w:rFonts w:ascii="Cambria Math" w:hAnsi="Cambria Math"/>
                <w:sz w:val="20"/>
                <w:szCs w:val="20"/>
                <w:lang w:val="en-IE"/>
              </w:rPr>
            </m:ctrlPr>
          </m:sSubPr>
          <m:e>
            <m:r>
              <w:rPr>
                <w:rFonts w:ascii="Cambria Math" w:hAnsi="Cambria Math"/>
                <w:sz w:val="20"/>
                <w:szCs w:val="20"/>
                <w:lang w:val="en-IE"/>
              </w:rPr>
              <m:t>T</m:t>
            </m:r>
          </m:e>
          <m:sub>
            <m:r>
              <m:rPr>
                <m:nor/>
              </m:rPr>
              <w:rPr>
                <w:sz w:val="20"/>
                <w:szCs w:val="20"/>
                <w:lang w:val="en-IE"/>
              </w:rPr>
              <m:t>repair</m:t>
            </m:r>
          </m:sub>
        </m:sSub>
      </m:oMath>
      <w:r w:rsidRPr="00321648">
        <w:rPr>
          <w:sz w:val="20"/>
          <w:szCs w:val="20"/>
        </w:rPr>
        <w:t xml:space="preserve"> in high-capacity patients). </w:t>
      </w:r>
      <m:oMath>
        <m:sSub>
          <m:sSubPr>
            <m:ctrlPr>
              <w:rPr>
                <w:rFonts w:ascii="Cambria Math" w:hAnsi="Cambria Math"/>
                <w:lang w:val="en-IE"/>
              </w:rPr>
            </m:ctrlPr>
          </m:sSubPr>
          <m:e>
            <m:r>
              <m:rPr>
                <m:sty m:val="p"/>
              </m:rPr>
              <w:rPr>
                <w:rFonts w:ascii="Cambria Math" w:hAnsi="Cambria Math"/>
                <w:lang w:val="en-IE"/>
              </w:rPr>
              <m:t>D</m:t>
            </m:r>
          </m:e>
          <m:sub>
            <m:r>
              <m:rPr>
                <m:nor/>
              </m:rPr>
              <w:rPr>
                <w:rFonts w:ascii="Cambria Math"/>
                <w:lang w:val="en-IE"/>
              </w:rPr>
              <m:t>resid</m:t>
            </m:r>
          </m:sub>
        </m:sSub>
      </m:oMath>
      <w:r w:rsidRPr="00321648">
        <w:rPr>
          <w:sz w:val="20"/>
          <w:szCs w:val="20"/>
        </w:rPr>
        <w:t>is uninformative (p = 0.801) due to near-complete degeneracy by t = 120h, where NHEJ-mediated clearance drives residual damage to numerical zero across all patients regardless of BRCA status.</w:t>
      </w:r>
    </w:p>
    <w:tbl>
      <w:tblPr>
        <w:tblW w:w="5000" w:type="pct"/>
        <w:tblCellMar>
          <w:top w:w="15" w:type="dxa"/>
          <w:left w:w="15" w:type="dxa"/>
          <w:bottom w:w="15" w:type="dxa"/>
          <w:right w:w="15" w:type="dxa"/>
        </w:tblCellMar>
        <w:tblLook w:val="04A0" w:firstRow="1" w:lastRow="0" w:firstColumn="1" w:lastColumn="0" w:noHBand="0" w:noVBand="1"/>
      </w:tblPr>
      <w:tblGrid>
        <w:gridCol w:w="1943"/>
        <w:gridCol w:w="1320"/>
        <w:gridCol w:w="2572"/>
        <w:gridCol w:w="1700"/>
        <w:gridCol w:w="1485"/>
      </w:tblGrid>
      <w:tr w:rsidR="004961FA" w:rsidRPr="004961FA" w14:paraId="6E20FFBF" w14:textId="77777777" w:rsidTr="004961FA">
        <w:trPr>
          <w:tblHeader/>
        </w:trPr>
        <w:tc>
          <w:tcPr>
            <w:tcW w:w="0" w:type="auto"/>
            <w:tcBorders>
              <w:top w:val="single" w:sz="2" w:space="0" w:color="E6E6E6"/>
              <w:left w:val="single" w:sz="2" w:space="0" w:color="E6E6E6"/>
              <w:bottom w:val="single" w:sz="4" w:space="0" w:color="auto"/>
              <w:right w:val="single" w:sz="4" w:space="0" w:color="E6E6E6"/>
            </w:tcBorders>
            <w:tcMar>
              <w:top w:w="60" w:type="dxa"/>
              <w:left w:w="0" w:type="dxa"/>
              <w:bottom w:w="60" w:type="dxa"/>
              <w:right w:w="150" w:type="dxa"/>
            </w:tcMar>
            <w:hideMark/>
          </w:tcPr>
          <w:p w14:paraId="66573519" w14:textId="77777777" w:rsidR="004961FA" w:rsidRPr="004961FA" w:rsidRDefault="004961FA" w:rsidP="004961FA">
            <w:pPr>
              <w:spacing w:after="0" w:line="240" w:lineRule="auto"/>
              <w:rPr>
                <w:b/>
                <w:bCs/>
                <w:lang w:val="en-IE"/>
              </w:rPr>
            </w:pPr>
            <w:r w:rsidRPr="004961FA">
              <w:rPr>
                <w:b/>
                <w:bCs/>
                <w:lang w:val="en-IE"/>
              </w:rPr>
              <w:t>ODE Score</w:t>
            </w:r>
          </w:p>
        </w:tc>
        <w:tc>
          <w:tcPr>
            <w:tcW w:w="0" w:type="auto"/>
            <w:tcBorders>
              <w:top w:val="single" w:sz="2" w:space="0" w:color="E6E6E6"/>
              <w:left w:val="single" w:sz="4" w:space="0" w:color="E6E6E6"/>
              <w:bottom w:val="single" w:sz="4" w:space="0" w:color="auto"/>
              <w:right w:val="single" w:sz="4" w:space="0" w:color="E6E6E6"/>
            </w:tcBorders>
            <w:tcMar>
              <w:top w:w="60" w:type="dxa"/>
              <w:left w:w="150" w:type="dxa"/>
              <w:bottom w:w="60" w:type="dxa"/>
              <w:right w:w="150" w:type="dxa"/>
            </w:tcMar>
            <w:hideMark/>
          </w:tcPr>
          <w:p w14:paraId="3A9CDB6C" w14:textId="77777777" w:rsidR="004961FA" w:rsidRPr="004961FA" w:rsidRDefault="004961FA" w:rsidP="004961FA">
            <w:pPr>
              <w:spacing w:after="0" w:line="240" w:lineRule="auto"/>
              <w:rPr>
                <w:b/>
                <w:bCs/>
                <w:lang w:val="en-IE"/>
              </w:rPr>
            </w:pPr>
            <w:r w:rsidRPr="004961FA">
              <w:rPr>
                <w:b/>
                <w:bCs/>
                <w:lang w:val="en-IE"/>
              </w:rPr>
              <w:t>HR</w:t>
            </w:r>
          </w:p>
        </w:tc>
        <w:tc>
          <w:tcPr>
            <w:tcW w:w="0" w:type="auto"/>
            <w:tcBorders>
              <w:top w:val="single" w:sz="2" w:space="0" w:color="E6E6E6"/>
              <w:left w:val="single" w:sz="4" w:space="0" w:color="E6E6E6"/>
              <w:bottom w:val="single" w:sz="4" w:space="0" w:color="auto"/>
              <w:right w:val="single" w:sz="4" w:space="0" w:color="E6E6E6"/>
            </w:tcBorders>
            <w:tcMar>
              <w:top w:w="60" w:type="dxa"/>
              <w:left w:w="150" w:type="dxa"/>
              <w:bottom w:w="60" w:type="dxa"/>
              <w:right w:w="150" w:type="dxa"/>
            </w:tcMar>
            <w:hideMark/>
          </w:tcPr>
          <w:p w14:paraId="2E9A81D2" w14:textId="77777777" w:rsidR="004961FA" w:rsidRPr="004961FA" w:rsidRDefault="004961FA" w:rsidP="004961FA">
            <w:pPr>
              <w:spacing w:after="0" w:line="240" w:lineRule="auto"/>
              <w:rPr>
                <w:b/>
                <w:bCs/>
                <w:lang w:val="en-IE"/>
              </w:rPr>
            </w:pPr>
            <w:r w:rsidRPr="004961FA">
              <w:rPr>
                <w:b/>
                <w:bCs/>
                <w:lang w:val="en-IE"/>
              </w:rPr>
              <w:t>95% CI</w:t>
            </w:r>
          </w:p>
        </w:tc>
        <w:tc>
          <w:tcPr>
            <w:tcW w:w="0" w:type="auto"/>
            <w:tcBorders>
              <w:top w:val="single" w:sz="2" w:space="0" w:color="E6E6E6"/>
              <w:left w:val="single" w:sz="4" w:space="0" w:color="E6E6E6"/>
              <w:bottom w:val="single" w:sz="4" w:space="0" w:color="auto"/>
              <w:right w:val="single" w:sz="4" w:space="0" w:color="E6E6E6"/>
            </w:tcBorders>
            <w:tcMar>
              <w:top w:w="60" w:type="dxa"/>
              <w:left w:w="150" w:type="dxa"/>
              <w:bottom w:w="60" w:type="dxa"/>
              <w:right w:w="150" w:type="dxa"/>
            </w:tcMar>
            <w:hideMark/>
          </w:tcPr>
          <w:p w14:paraId="787328FB" w14:textId="77777777" w:rsidR="004961FA" w:rsidRPr="004961FA" w:rsidRDefault="004961FA" w:rsidP="004961FA">
            <w:pPr>
              <w:spacing w:after="0" w:line="240" w:lineRule="auto"/>
              <w:rPr>
                <w:b/>
                <w:bCs/>
                <w:lang w:val="en-IE"/>
              </w:rPr>
            </w:pPr>
            <w:r w:rsidRPr="004961FA">
              <w:rPr>
                <w:b/>
                <w:bCs/>
                <w:lang w:val="en-IE"/>
              </w:rPr>
              <w:t>p-value</w:t>
            </w:r>
          </w:p>
        </w:tc>
        <w:tc>
          <w:tcPr>
            <w:tcW w:w="0" w:type="auto"/>
            <w:tcBorders>
              <w:top w:val="single" w:sz="2" w:space="0" w:color="E6E6E6"/>
              <w:left w:val="single" w:sz="4" w:space="0" w:color="E6E6E6"/>
              <w:bottom w:val="single" w:sz="4" w:space="0" w:color="auto"/>
              <w:right w:val="single" w:sz="2" w:space="0" w:color="E6E6E6"/>
            </w:tcBorders>
            <w:tcMar>
              <w:top w:w="60" w:type="dxa"/>
              <w:left w:w="150" w:type="dxa"/>
              <w:bottom w:w="60" w:type="dxa"/>
              <w:right w:w="0" w:type="dxa"/>
            </w:tcMar>
            <w:hideMark/>
          </w:tcPr>
          <w:p w14:paraId="74F82143" w14:textId="77777777" w:rsidR="004961FA" w:rsidRPr="004961FA" w:rsidRDefault="004961FA" w:rsidP="004961FA">
            <w:pPr>
              <w:spacing w:after="0" w:line="240" w:lineRule="auto"/>
              <w:rPr>
                <w:b/>
                <w:bCs/>
                <w:lang w:val="en-IE"/>
              </w:rPr>
            </w:pPr>
            <w:r w:rsidRPr="004961FA">
              <w:rPr>
                <w:b/>
                <w:bCs/>
                <w:lang w:val="en-IE"/>
              </w:rPr>
              <w:t>C-index</w:t>
            </w:r>
          </w:p>
        </w:tc>
      </w:tr>
      <w:tr w:rsidR="004961FA" w:rsidRPr="004961FA" w14:paraId="7F6EBB76" w14:textId="77777777" w:rsidTr="004961FA">
        <w:tc>
          <w:tcPr>
            <w:tcW w:w="0" w:type="auto"/>
            <w:tcBorders>
              <w:top w:val="single" w:sz="4" w:space="0" w:color="auto"/>
              <w:left w:val="single" w:sz="2" w:space="0" w:color="E6E6E6"/>
              <w:bottom w:val="single" w:sz="4" w:space="0" w:color="E6E6E6"/>
              <w:right w:val="single" w:sz="4" w:space="0" w:color="E6E6E6"/>
            </w:tcBorders>
            <w:tcMar>
              <w:top w:w="60" w:type="dxa"/>
              <w:left w:w="0" w:type="dxa"/>
              <w:bottom w:w="60" w:type="dxa"/>
              <w:right w:w="150" w:type="dxa"/>
            </w:tcMar>
            <w:hideMark/>
          </w:tcPr>
          <w:p w14:paraId="03003EB2" w14:textId="1A27D2A1" w:rsidR="004961FA" w:rsidRPr="004961FA" w:rsidRDefault="007D1DA2" w:rsidP="004961FA">
            <w:pPr>
              <w:spacing w:after="0" w:line="240" w:lineRule="auto"/>
              <w:rPr>
                <w:lang w:val="en-IE"/>
              </w:rPr>
            </w:pPr>
            <m:oMathPara>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m:oMathPara>
          </w:p>
        </w:tc>
        <w:tc>
          <w:tcPr>
            <w:tcW w:w="0" w:type="auto"/>
            <w:tcBorders>
              <w:top w:val="single" w:sz="4" w:space="0" w:color="auto"/>
              <w:left w:val="single" w:sz="4" w:space="0" w:color="E6E6E6"/>
              <w:bottom w:val="single" w:sz="4" w:space="0" w:color="E6E6E6"/>
              <w:right w:val="single" w:sz="4" w:space="0" w:color="E6E6E6"/>
            </w:tcBorders>
            <w:tcMar>
              <w:top w:w="60" w:type="dxa"/>
              <w:left w:w="150" w:type="dxa"/>
              <w:bottom w:w="60" w:type="dxa"/>
              <w:right w:w="150" w:type="dxa"/>
            </w:tcMar>
            <w:hideMark/>
          </w:tcPr>
          <w:p w14:paraId="3B71F354" w14:textId="77777777" w:rsidR="004961FA" w:rsidRPr="004961FA" w:rsidRDefault="004961FA" w:rsidP="004961FA">
            <w:pPr>
              <w:spacing w:after="0" w:line="240" w:lineRule="auto"/>
              <w:rPr>
                <w:lang w:val="en-IE"/>
              </w:rPr>
            </w:pPr>
            <w:r w:rsidRPr="004961FA">
              <w:rPr>
                <w:lang w:val="en-IE"/>
              </w:rPr>
              <w:t>0.856</w:t>
            </w:r>
          </w:p>
        </w:tc>
        <w:tc>
          <w:tcPr>
            <w:tcW w:w="0" w:type="auto"/>
            <w:tcBorders>
              <w:top w:val="single" w:sz="4" w:space="0" w:color="auto"/>
              <w:left w:val="single" w:sz="4" w:space="0" w:color="E6E6E6"/>
              <w:bottom w:val="single" w:sz="4" w:space="0" w:color="E6E6E6"/>
              <w:right w:val="single" w:sz="4" w:space="0" w:color="E6E6E6"/>
            </w:tcBorders>
            <w:tcMar>
              <w:top w:w="60" w:type="dxa"/>
              <w:left w:w="150" w:type="dxa"/>
              <w:bottom w:w="60" w:type="dxa"/>
              <w:right w:w="150" w:type="dxa"/>
            </w:tcMar>
            <w:hideMark/>
          </w:tcPr>
          <w:p w14:paraId="1D90ADFE" w14:textId="77777777" w:rsidR="004961FA" w:rsidRPr="004961FA" w:rsidRDefault="004961FA" w:rsidP="004961FA">
            <w:pPr>
              <w:spacing w:after="0" w:line="240" w:lineRule="auto"/>
              <w:rPr>
                <w:lang w:val="en-IE"/>
              </w:rPr>
            </w:pPr>
            <w:r w:rsidRPr="004961FA">
              <w:rPr>
                <w:lang w:val="en-IE"/>
              </w:rPr>
              <w:t>[0.756, 0.970]</w:t>
            </w:r>
          </w:p>
        </w:tc>
        <w:tc>
          <w:tcPr>
            <w:tcW w:w="0" w:type="auto"/>
            <w:tcBorders>
              <w:top w:val="single" w:sz="4" w:space="0" w:color="auto"/>
              <w:left w:val="single" w:sz="4" w:space="0" w:color="E6E6E6"/>
              <w:bottom w:val="single" w:sz="4" w:space="0" w:color="E6E6E6"/>
              <w:right w:val="single" w:sz="4" w:space="0" w:color="E6E6E6"/>
            </w:tcBorders>
            <w:tcMar>
              <w:top w:w="60" w:type="dxa"/>
              <w:left w:w="150" w:type="dxa"/>
              <w:bottom w:w="60" w:type="dxa"/>
              <w:right w:w="150" w:type="dxa"/>
            </w:tcMar>
            <w:hideMark/>
          </w:tcPr>
          <w:p w14:paraId="526FB6E6" w14:textId="77777777" w:rsidR="004961FA" w:rsidRPr="004961FA" w:rsidRDefault="004961FA" w:rsidP="004961FA">
            <w:pPr>
              <w:spacing w:after="0" w:line="240" w:lineRule="auto"/>
              <w:rPr>
                <w:lang w:val="en-IE"/>
              </w:rPr>
            </w:pPr>
            <w:r w:rsidRPr="004961FA">
              <w:rPr>
                <w:b/>
                <w:bCs/>
                <w:lang w:val="en-IE"/>
              </w:rPr>
              <w:t>0.015</w:t>
            </w:r>
          </w:p>
        </w:tc>
        <w:tc>
          <w:tcPr>
            <w:tcW w:w="0" w:type="auto"/>
            <w:tcBorders>
              <w:top w:val="single" w:sz="4" w:space="0" w:color="auto"/>
              <w:left w:val="single" w:sz="4" w:space="0" w:color="E6E6E6"/>
              <w:bottom w:val="single" w:sz="4" w:space="0" w:color="E6E6E6"/>
              <w:right w:val="single" w:sz="2" w:space="0" w:color="E6E6E6"/>
            </w:tcBorders>
            <w:tcMar>
              <w:top w:w="60" w:type="dxa"/>
              <w:left w:w="150" w:type="dxa"/>
              <w:bottom w:w="60" w:type="dxa"/>
              <w:right w:w="0" w:type="dxa"/>
            </w:tcMar>
            <w:hideMark/>
          </w:tcPr>
          <w:p w14:paraId="22C8764A" w14:textId="77777777" w:rsidR="004961FA" w:rsidRPr="004961FA" w:rsidRDefault="004961FA" w:rsidP="004961FA">
            <w:pPr>
              <w:spacing w:after="0" w:line="240" w:lineRule="auto"/>
              <w:rPr>
                <w:lang w:val="en-IE"/>
              </w:rPr>
            </w:pPr>
            <w:r w:rsidRPr="004961FA">
              <w:rPr>
                <w:lang w:val="en-IE"/>
              </w:rPr>
              <w:t>0.533</w:t>
            </w:r>
          </w:p>
        </w:tc>
      </w:tr>
      <w:tr w:rsidR="004961FA" w:rsidRPr="004961FA" w14:paraId="6E8477FC" w14:textId="77777777">
        <w:tc>
          <w:tcPr>
            <w:tcW w:w="0" w:type="auto"/>
            <w:tcBorders>
              <w:top w:val="single" w:sz="4" w:space="0" w:color="E6E6E6"/>
              <w:left w:val="single" w:sz="2" w:space="0" w:color="E6E6E6"/>
              <w:bottom w:val="single" w:sz="4" w:space="0" w:color="E6E6E6"/>
              <w:right w:val="single" w:sz="4" w:space="0" w:color="E6E6E6"/>
            </w:tcBorders>
            <w:tcMar>
              <w:top w:w="60" w:type="dxa"/>
              <w:left w:w="0" w:type="dxa"/>
              <w:bottom w:w="60" w:type="dxa"/>
              <w:right w:w="150" w:type="dxa"/>
            </w:tcMar>
            <w:hideMark/>
          </w:tcPr>
          <w:p w14:paraId="561AA21D" w14:textId="51DD5DE3" w:rsidR="004961FA" w:rsidRPr="004961FA" w:rsidRDefault="00E70A0F" w:rsidP="004961FA">
            <w:pPr>
              <w:spacing w:after="0" w:line="240" w:lineRule="auto"/>
              <w:rPr>
                <w:lang w:val="en-IE"/>
              </w:rPr>
            </w:pPr>
            <m:oMathPara>
              <m:oMath>
                <m:sSub>
                  <m:sSubPr>
                    <m:ctrlPr>
                      <w:rPr>
                        <w:rFonts w:ascii="Cambria Math" w:hAnsi="Cambria Math"/>
                        <w:i/>
                      </w:rPr>
                    </m:ctrlPr>
                  </m:sSubPr>
                  <m:e>
                    <m:r>
                      <w:rPr>
                        <w:rFonts w:ascii="Cambria Math" w:hAnsi="Cambria Math"/>
                      </w:rPr>
                      <m:t>X</m:t>
                    </m:r>
                  </m:e>
                  <m:sub>
                    <m:r>
                      <w:rPr>
                        <w:rFonts w:ascii="Cambria Math" w:hAnsi="Cambria Math"/>
                      </w:rPr>
                      <m:t>peak</m:t>
                    </m:r>
                  </m:sub>
                </m:sSub>
              </m:oMath>
            </m:oMathPara>
          </w:p>
        </w:tc>
        <w:tc>
          <w:tcPr>
            <w:tcW w:w="0" w:type="auto"/>
            <w:tcBorders>
              <w:top w:val="single" w:sz="4" w:space="0" w:color="E6E6E6"/>
              <w:left w:val="single" w:sz="4" w:space="0" w:color="E6E6E6"/>
              <w:bottom w:val="single" w:sz="4" w:space="0" w:color="E6E6E6"/>
              <w:right w:val="single" w:sz="4" w:space="0" w:color="E6E6E6"/>
            </w:tcBorders>
            <w:tcMar>
              <w:top w:w="60" w:type="dxa"/>
              <w:left w:w="150" w:type="dxa"/>
              <w:bottom w:w="60" w:type="dxa"/>
              <w:right w:w="150" w:type="dxa"/>
            </w:tcMar>
            <w:hideMark/>
          </w:tcPr>
          <w:p w14:paraId="56CA234D" w14:textId="77777777" w:rsidR="004961FA" w:rsidRPr="004961FA" w:rsidRDefault="004961FA" w:rsidP="004961FA">
            <w:pPr>
              <w:spacing w:after="0" w:line="240" w:lineRule="auto"/>
              <w:rPr>
                <w:lang w:val="en-IE"/>
              </w:rPr>
            </w:pPr>
            <w:r w:rsidRPr="004961FA">
              <w:rPr>
                <w:lang w:val="en-IE"/>
              </w:rPr>
              <w:t>0.855</w:t>
            </w:r>
          </w:p>
        </w:tc>
        <w:tc>
          <w:tcPr>
            <w:tcW w:w="0" w:type="auto"/>
            <w:tcBorders>
              <w:top w:val="single" w:sz="4" w:space="0" w:color="E6E6E6"/>
              <w:left w:val="single" w:sz="4" w:space="0" w:color="E6E6E6"/>
              <w:bottom w:val="single" w:sz="4" w:space="0" w:color="E6E6E6"/>
              <w:right w:val="single" w:sz="4" w:space="0" w:color="E6E6E6"/>
            </w:tcBorders>
            <w:tcMar>
              <w:top w:w="60" w:type="dxa"/>
              <w:left w:w="150" w:type="dxa"/>
              <w:bottom w:w="60" w:type="dxa"/>
              <w:right w:w="150" w:type="dxa"/>
            </w:tcMar>
            <w:hideMark/>
          </w:tcPr>
          <w:p w14:paraId="23B928FA" w14:textId="77777777" w:rsidR="004961FA" w:rsidRPr="004961FA" w:rsidRDefault="004961FA" w:rsidP="004961FA">
            <w:pPr>
              <w:spacing w:after="0" w:line="240" w:lineRule="auto"/>
              <w:rPr>
                <w:lang w:val="en-IE"/>
              </w:rPr>
            </w:pPr>
            <w:r w:rsidRPr="004961FA">
              <w:rPr>
                <w:lang w:val="en-IE"/>
              </w:rPr>
              <w:t>[0.753, 0.971]</w:t>
            </w:r>
          </w:p>
        </w:tc>
        <w:tc>
          <w:tcPr>
            <w:tcW w:w="0" w:type="auto"/>
            <w:tcBorders>
              <w:top w:val="single" w:sz="4" w:space="0" w:color="E6E6E6"/>
              <w:left w:val="single" w:sz="4" w:space="0" w:color="E6E6E6"/>
              <w:bottom w:val="single" w:sz="4" w:space="0" w:color="E6E6E6"/>
              <w:right w:val="single" w:sz="4" w:space="0" w:color="E6E6E6"/>
            </w:tcBorders>
            <w:tcMar>
              <w:top w:w="60" w:type="dxa"/>
              <w:left w:w="150" w:type="dxa"/>
              <w:bottom w:w="60" w:type="dxa"/>
              <w:right w:w="150" w:type="dxa"/>
            </w:tcMar>
            <w:hideMark/>
          </w:tcPr>
          <w:p w14:paraId="1165B6CB" w14:textId="77777777" w:rsidR="004961FA" w:rsidRPr="004961FA" w:rsidRDefault="004961FA" w:rsidP="004961FA">
            <w:pPr>
              <w:spacing w:after="0" w:line="240" w:lineRule="auto"/>
              <w:rPr>
                <w:lang w:val="en-IE"/>
              </w:rPr>
            </w:pPr>
            <w:r w:rsidRPr="004961FA">
              <w:rPr>
                <w:b/>
                <w:bCs/>
                <w:lang w:val="en-IE"/>
              </w:rPr>
              <w:t>0.015</w:t>
            </w:r>
          </w:p>
        </w:tc>
        <w:tc>
          <w:tcPr>
            <w:tcW w:w="0" w:type="auto"/>
            <w:tcBorders>
              <w:top w:val="single" w:sz="4" w:space="0" w:color="E6E6E6"/>
              <w:left w:val="single" w:sz="4" w:space="0" w:color="E6E6E6"/>
              <w:bottom w:val="single" w:sz="4" w:space="0" w:color="E6E6E6"/>
              <w:right w:val="single" w:sz="2" w:space="0" w:color="E6E6E6"/>
            </w:tcBorders>
            <w:tcMar>
              <w:top w:w="60" w:type="dxa"/>
              <w:left w:w="150" w:type="dxa"/>
              <w:bottom w:w="60" w:type="dxa"/>
              <w:right w:w="0" w:type="dxa"/>
            </w:tcMar>
            <w:hideMark/>
          </w:tcPr>
          <w:p w14:paraId="06225787" w14:textId="77777777" w:rsidR="004961FA" w:rsidRPr="004961FA" w:rsidRDefault="004961FA" w:rsidP="004961FA">
            <w:pPr>
              <w:spacing w:after="0" w:line="240" w:lineRule="auto"/>
              <w:rPr>
                <w:lang w:val="en-IE"/>
              </w:rPr>
            </w:pPr>
            <w:r w:rsidRPr="004961FA">
              <w:rPr>
                <w:lang w:val="en-IE"/>
              </w:rPr>
              <w:t>0.532</w:t>
            </w:r>
          </w:p>
        </w:tc>
      </w:tr>
      <w:tr w:rsidR="004961FA" w:rsidRPr="004961FA" w14:paraId="16EE324C" w14:textId="77777777">
        <w:tc>
          <w:tcPr>
            <w:tcW w:w="0" w:type="auto"/>
            <w:tcBorders>
              <w:top w:val="single" w:sz="4" w:space="0" w:color="E6E6E6"/>
              <w:left w:val="single" w:sz="2" w:space="0" w:color="E6E6E6"/>
              <w:bottom w:val="single" w:sz="4" w:space="0" w:color="E6E6E6"/>
              <w:right w:val="single" w:sz="4" w:space="0" w:color="E6E6E6"/>
            </w:tcBorders>
            <w:tcMar>
              <w:top w:w="60" w:type="dxa"/>
              <w:left w:w="0" w:type="dxa"/>
              <w:bottom w:w="60" w:type="dxa"/>
              <w:right w:w="150" w:type="dxa"/>
            </w:tcMar>
            <w:hideMark/>
          </w:tcPr>
          <w:p w14:paraId="6AFBE340" w14:textId="36D327AB" w:rsidR="004961FA" w:rsidRPr="004961FA" w:rsidRDefault="00E70A0F" w:rsidP="004961FA">
            <w:pPr>
              <w:spacing w:after="0" w:line="240" w:lineRule="auto"/>
              <w:rPr>
                <w:lang w:val="en-IE"/>
              </w:rPr>
            </w:pPr>
            <m:oMathPara>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m:oMathPara>
          </w:p>
        </w:tc>
        <w:tc>
          <w:tcPr>
            <w:tcW w:w="0" w:type="auto"/>
            <w:tcBorders>
              <w:top w:val="single" w:sz="4" w:space="0" w:color="E6E6E6"/>
              <w:left w:val="single" w:sz="4" w:space="0" w:color="E6E6E6"/>
              <w:bottom w:val="single" w:sz="4" w:space="0" w:color="E6E6E6"/>
              <w:right w:val="single" w:sz="4" w:space="0" w:color="E6E6E6"/>
            </w:tcBorders>
            <w:tcMar>
              <w:top w:w="60" w:type="dxa"/>
              <w:left w:w="150" w:type="dxa"/>
              <w:bottom w:w="60" w:type="dxa"/>
              <w:right w:w="150" w:type="dxa"/>
            </w:tcMar>
            <w:hideMark/>
          </w:tcPr>
          <w:p w14:paraId="5C49ECE2" w14:textId="77777777" w:rsidR="004961FA" w:rsidRPr="004961FA" w:rsidRDefault="004961FA" w:rsidP="004961FA">
            <w:pPr>
              <w:spacing w:after="0" w:line="240" w:lineRule="auto"/>
              <w:rPr>
                <w:lang w:val="en-IE"/>
              </w:rPr>
            </w:pPr>
            <w:r w:rsidRPr="004961FA">
              <w:rPr>
                <w:lang w:val="en-IE"/>
              </w:rPr>
              <w:t>0.856</w:t>
            </w:r>
          </w:p>
        </w:tc>
        <w:tc>
          <w:tcPr>
            <w:tcW w:w="0" w:type="auto"/>
            <w:tcBorders>
              <w:top w:val="single" w:sz="4" w:space="0" w:color="E6E6E6"/>
              <w:left w:val="single" w:sz="4" w:space="0" w:color="E6E6E6"/>
              <w:bottom w:val="single" w:sz="4" w:space="0" w:color="E6E6E6"/>
              <w:right w:val="single" w:sz="4" w:space="0" w:color="E6E6E6"/>
            </w:tcBorders>
            <w:tcMar>
              <w:top w:w="60" w:type="dxa"/>
              <w:left w:w="150" w:type="dxa"/>
              <w:bottom w:w="60" w:type="dxa"/>
              <w:right w:w="150" w:type="dxa"/>
            </w:tcMar>
            <w:hideMark/>
          </w:tcPr>
          <w:p w14:paraId="1B1183D4" w14:textId="77777777" w:rsidR="004961FA" w:rsidRPr="004961FA" w:rsidRDefault="004961FA" w:rsidP="004961FA">
            <w:pPr>
              <w:spacing w:after="0" w:line="240" w:lineRule="auto"/>
              <w:rPr>
                <w:lang w:val="en-IE"/>
              </w:rPr>
            </w:pPr>
            <w:r w:rsidRPr="004961FA">
              <w:rPr>
                <w:lang w:val="en-IE"/>
              </w:rPr>
              <w:t>[0.756, 0.970]</w:t>
            </w:r>
          </w:p>
        </w:tc>
        <w:tc>
          <w:tcPr>
            <w:tcW w:w="0" w:type="auto"/>
            <w:tcBorders>
              <w:top w:val="single" w:sz="4" w:space="0" w:color="E6E6E6"/>
              <w:left w:val="single" w:sz="4" w:space="0" w:color="E6E6E6"/>
              <w:bottom w:val="single" w:sz="4" w:space="0" w:color="E6E6E6"/>
              <w:right w:val="single" w:sz="4" w:space="0" w:color="E6E6E6"/>
            </w:tcBorders>
            <w:tcMar>
              <w:top w:w="60" w:type="dxa"/>
              <w:left w:w="150" w:type="dxa"/>
              <w:bottom w:w="60" w:type="dxa"/>
              <w:right w:w="150" w:type="dxa"/>
            </w:tcMar>
            <w:hideMark/>
          </w:tcPr>
          <w:p w14:paraId="09FB1ACF" w14:textId="77777777" w:rsidR="004961FA" w:rsidRPr="004961FA" w:rsidRDefault="004961FA" w:rsidP="004961FA">
            <w:pPr>
              <w:spacing w:after="0" w:line="240" w:lineRule="auto"/>
              <w:rPr>
                <w:lang w:val="en-IE"/>
              </w:rPr>
            </w:pPr>
            <w:r w:rsidRPr="004961FA">
              <w:rPr>
                <w:b/>
                <w:bCs/>
                <w:lang w:val="en-IE"/>
              </w:rPr>
              <w:t>0.015</w:t>
            </w:r>
          </w:p>
        </w:tc>
        <w:tc>
          <w:tcPr>
            <w:tcW w:w="0" w:type="auto"/>
            <w:tcBorders>
              <w:top w:val="single" w:sz="4" w:space="0" w:color="E6E6E6"/>
              <w:left w:val="single" w:sz="4" w:space="0" w:color="E6E6E6"/>
              <w:bottom w:val="single" w:sz="4" w:space="0" w:color="E6E6E6"/>
              <w:right w:val="single" w:sz="2" w:space="0" w:color="E6E6E6"/>
            </w:tcBorders>
            <w:tcMar>
              <w:top w:w="60" w:type="dxa"/>
              <w:left w:w="150" w:type="dxa"/>
              <w:bottom w:w="60" w:type="dxa"/>
              <w:right w:w="0" w:type="dxa"/>
            </w:tcMar>
            <w:hideMark/>
          </w:tcPr>
          <w:p w14:paraId="014032EC" w14:textId="77777777" w:rsidR="004961FA" w:rsidRPr="004961FA" w:rsidRDefault="004961FA" w:rsidP="004961FA">
            <w:pPr>
              <w:spacing w:after="0" w:line="240" w:lineRule="auto"/>
              <w:rPr>
                <w:lang w:val="en-IE"/>
              </w:rPr>
            </w:pPr>
            <w:r w:rsidRPr="004961FA">
              <w:rPr>
                <w:lang w:val="en-IE"/>
              </w:rPr>
              <w:t>0.528</w:t>
            </w:r>
          </w:p>
        </w:tc>
      </w:tr>
      <w:tr w:rsidR="004961FA" w:rsidRPr="004961FA" w14:paraId="4566592E" w14:textId="77777777">
        <w:tc>
          <w:tcPr>
            <w:tcW w:w="0" w:type="auto"/>
            <w:tcBorders>
              <w:top w:val="single" w:sz="4" w:space="0" w:color="E6E6E6"/>
              <w:left w:val="single" w:sz="2" w:space="0" w:color="E6E6E6"/>
              <w:bottom w:val="single" w:sz="2" w:space="0" w:color="E6E6E6"/>
              <w:right w:val="single" w:sz="4" w:space="0" w:color="E6E6E6"/>
            </w:tcBorders>
            <w:tcMar>
              <w:top w:w="60" w:type="dxa"/>
              <w:left w:w="0" w:type="dxa"/>
              <w:bottom w:w="60" w:type="dxa"/>
              <w:right w:w="150" w:type="dxa"/>
            </w:tcMar>
            <w:hideMark/>
          </w:tcPr>
          <w:p w14:paraId="4B0C47AE" w14:textId="640EDC49" w:rsidR="004961FA" w:rsidRPr="004961FA" w:rsidRDefault="00130971" w:rsidP="004961FA">
            <w:pPr>
              <w:spacing w:after="0" w:line="240" w:lineRule="auto"/>
              <w:rPr>
                <w:lang w:val="en-IE"/>
              </w:rPr>
            </w:pPr>
            <m:oMathPara>
              <m:oMath>
                <m:sSub>
                  <m:sSubPr>
                    <m:ctrlPr>
                      <w:rPr>
                        <w:rFonts w:ascii="Cambria Math" w:hAnsi="Cambria Math"/>
                        <w:lang w:val="en-IE"/>
                      </w:rPr>
                    </m:ctrlPr>
                  </m:sSubPr>
                  <m:e>
                    <m:r>
                      <w:rPr>
                        <w:rFonts w:ascii="Cambria Math" w:hAnsi="Cambria Math"/>
                        <w:lang w:val="en-IE"/>
                      </w:rPr>
                      <m:t>D</m:t>
                    </m:r>
                  </m:e>
                  <m:sub>
                    <m:r>
                      <m:rPr>
                        <m:nor/>
                      </m:rPr>
                      <w:rPr>
                        <w:rFonts w:ascii="Cambria Math"/>
                        <w:lang w:val="en-IE"/>
                      </w:rPr>
                      <m:t>resid</m:t>
                    </m:r>
                  </m:sub>
                </m:sSub>
              </m:oMath>
            </m:oMathPara>
          </w:p>
        </w:tc>
        <w:tc>
          <w:tcPr>
            <w:tcW w:w="0" w:type="auto"/>
            <w:tcBorders>
              <w:top w:val="single" w:sz="4" w:space="0" w:color="E6E6E6"/>
              <w:left w:val="single" w:sz="4" w:space="0" w:color="E6E6E6"/>
              <w:bottom w:val="single" w:sz="2" w:space="0" w:color="E6E6E6"/>
              <w:right w:val="single" w:sz="4" w:space="0" w:color="E6E6E6"/>
            </w:tcBorders>
            <w:tcMar>
              <w:top w:w="60" w:type="dxa"/>
              <w:left w:w="150" w:type="dxa"/>
              <w:bottom w:w="60" w:type="dxa"/>
              <w:right w:w="150" w:type="dxa"/>
            </w:tcMar>
            <w:hideMark/>
          </w:tcPr>
          <w:p w14:paraId="3126BAC9" w14:textId="77777777" w:rsidR="004961FA" w:rsidRPr="004961FA" w:rsidRDefault="004961FA" w:rsidP="004961FA">
            <w:pPr>
              <w:spacing w:after="0" w:line="240" w:lineRule="auto"/>
              <w:rPr>
                <w:lang w:val="en-IE"/>
              </w:rPr>
            </w:pPr>
            <w:r w:rsidRPr="004961FA">
              <w:rPr>
                <w:lang w:val="en-IE"/>
              </w:rPr>
              <w:t>1.017</w:t>
            </w:r>
          </w:p>
        </w:tc>
        <w:tc>
          <w:tcPr>
            <w:tcW w:w="0" w:type="auto"/>
            <w:tcBorders>
              <w:top w:val="single" w:sz="4" w:space="0" w:color="E6E6E6"/>
              <w:left w:val="single" w:sz="4" w:space="0" w:color="E6E6E6"/>
              <w:bottom w:val="single" w:sz="2" w:space="0" w:color="E6E6E6"/>
              <w:right w:val="single" w:sz="4" w:space="0" w:color="E6E6E6"/>
            </w:tcBorders>
            <w:tcMar>
              <w:top w:w="60" w:type="dxa"/>
              <w:left w:w="150" w:type="dxa"/>
              <w:bottom w:w="60" w:type="dxa"/>
              <w:right w:w="150" w:type="dxa"/>
            </w:tcMar>
            <w:hideMark/>
          </w:tcPr>
          <w:p w14:paraId="35D887A3" w14:textId="77777777" w:rsidR="004961FA" w:rsidRPr="004961FA" w:rsidRDefault="004961FA" w:rsidP="004961FA">
            <w:pPr>
              <w:spacing w:after="0" w:line="240" w:lineRule="auto"/>
              <w:rPr>
                <w:lang w:val="en-IE"/>
              </w:rPr>
            </w:pPr>
            <w:r w:rsidRPr="004961FA">
              <w:rPr>
                <w:lang w:val="en-IE"/>
              </w:rPr>
              <w:t>[0.894, 1.156]</w:t>
            </w:r>
          </w:p>
        </w:tc>
        <w:tc>
          <w:tcPr>
            <w:tcW w:w="0" w:type="auto"/>
            <w:tcBorders>
              <w:top w:val="single" w:sz="4" w:space="0" w:color="E6E6E6"/>
              <w:left w:val="single" w:sz="4" w:space="0" w:color="E6E6E6"/>
              <w:bottom w:val="single" w:sz="2" w:space="0" w:color="E6E6E6"/>
              <w:right w:val="single" w:sz="4" w:space="0" w:color="E6E6E6"/>
            </w:tcBorders>
            <w:tcMar>
              <w:top w:w="60" w:type="dxa"/>
              <w:left w:w="150" w:type="dxa"/>
              <w:bottom w:w="60" w:type="dxa"/>
              <w:right w:w="150" w:type="dxa"/>
            </w:tcMar>
            <w:hideMark/>
          </w:tcPr>
          <w:p w14:paraId="4ED85127" w14:textId="77777777" w:rsidR="004961FA" w:rsidRPr="004961FA" w:rsidRDefault="004961FA" w:rsidP="004961FA">
            <w:pPr>
              <w:spacing w:after="0" w:line="240" w:lineRule="auto"/>
              <w:rPr>
                <w:lang w:val="en-IE"/>
              </w:rPr>
            </w:pPr>
            <w:r w:rsidRPr="004961FA">
              <w:rPr>
                <w:lang w:val="en-IE"/>
              </w:rPr>
              <w:t>0.801</w:t>
            </w:r>
          </w:p>
        </w:tc>
        <w:tc>
          <w:tcPr>
            <w:tcW w:w="0" w:type="auto"/>
            <w:tcBorders>
              <w:top w:val="single" w:sz="4" w:space="0" w:color="E6E6E6"/>
              <w:left w:val="single" w:sz="4" w:space="0" w:color="E6E6E6"/>
              <w:bottom w:val="single" w:sz="2" w:space="0" w:color="E6E6E6"/>
              <w:right w:val="single" w:sz="2" w:space="0" w:color="E6E6E6"/>
            </w:tcBorders>
            <w:tcMar>
              <w:top w:w="60" w:type="dxa"/>
              <w:left w:w="150" w:type="dxa"/>
              <w:bottom w:w="60" w:type="dxa"/>
              <w:right w:w="0" w:type="dxa"/>
            </w:tcMar>
            <w:hideMark/>
          </w:tcPr>
          <w:p w14:paraId="5BAE364F" w14:textId="77777777" w:rsidR="004961FA" w:rsidRPr="004961FA" w:rsidRDefault="004961FA" w:rsidP="004961FA">
            <w:pPr>
              <w:spacing w:after="0" w:line="240" w:lineRule="auto"/>
              <w:rPr>
                <w:lang w:val="en-IE"/>
              </w:rPr>
            </w:pPr>
            <w:r w:rsidRPr="004961FA">
              <w:rPr>
                <w:lang w:val="en-IE"/>
              </w:rPr>
              <w:t>0.482</w:t>
            </w:r>
          </w:p>
        </w:tc>
      </w:tr>
    </w:tbl>
    <w:p w14:paraId="5C017371" w14:textId="77777777" w:rsidR="004A4F29" w:rsidRPr="005D323B" w:rsidRDefault="004A4F29" w:rsidP="005D323B">
      <w:pPr>
        <w:rPr>
          <w:lang w:val="en-IE"/>
        </w:rPr>
      </w:pPr>
    </w:p>
    <w:p w14:paraId="7E18D19C" w14:textId="266E1A23" w:rsidR="004961FA" w:rsidRPr="004961FA" w:rsidRDefault="004961FA" w:rsidP="004961FA">
      <w:pPr>
        <w:numPr>
          <w:ilvl w:val="0"/>
          <w:numId w:val="9"/>
        </w:numPr>
        <w:rPr>
          <w:lang w:val="en-IE"/>
        </w:rPr>
      </w:pPr>
      <w:r w:rsidRPr="004961FA">
        <w:rPr>
          <w:b/>
          <w:bCs/>
          <w:lang w:val="en-IE"/>
        </w:rPr>
        <w:t>Apoptotic Commitment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w:r w:rsidRPr="004961FA">
        <w:rPr>
          <w:b/>
          <w:bCs/>
          <w:lang w:val="en-IE"/>
        </w:rPr>
        <w:t>) and Peak Signal (</w:t>
      </w:r>
      <m:oMath>
        <m:sSub>
          <m:sSubPr>
            <m:ctrlPr>
              <w:rPr>
                <w:rFonts w:ascii="Cambria Math" w:hAnsi="Cambria Math"/>
                <w:i/>
              </w:rPr>
            </m:ctrlPr>
          </m:sSubPr>
          <m:e>
            <m:r>
              <w:rPr>
                <w:rFonts w:ascii="Cambria Math" w:hAnsi="Cambria Math"/>
              </w:rPr>
              <m:t>X</m:t>
            </m:r>
          </m:e>
          <m:sub>
            <m:r>
              <w:rPr>
                <w:rFonts w:ascii="Cambria Math" w:hAnsi="Cambria Math"/>
              </w:rPr>
              <m:t>peak</m:t>
            </m:r>
          </m:sub>
        </m:sSub>
      </m:oMath>
      <w:r w:rsidRPr="004961FA">
        <w:rPr>
          <w:b/>
          <w:bCs/>
          <w:lang w:val="en-IE"/>
        </w:rPr>
        <w:t>):</w:t>
      </w:r>
      <w:r w:rsidRPr="004961FA">
        <w:rPr>
          <w:lang w:val="en-IE"/>
        </w:rPr>
        <w:t xml:space="preserve"> Both show a statistically significant protective effect (HR ≈ 0.856 and 0.855, p = 0.015). Higher tumo</w:t>
      </w:r>
      <w:r>
        <w:rPr>
          <w:lang w:val="en-IE"/>
        </w:rPr>
        <w:t>u</w:t>
      </w:r>
      <w:r w:rsidRPr="004961FA">
        <w:rPr>
          <w:lang w:val="en-IE"/>
        </w:rPr>
        <w:t>r cell commitment to apoptosis in response to DNA damage translates to a ~14.4% reduction in the hazard of patient death per 1-SD increase.</w:t>
      </w:r>
    </w:p>
    <w:p w14:paraId="447CDB57" w14:textId="487F1251" w:rsidR="004961FA" w:rsidRPr="004961FA" w:rsidRDefault="004961FA" w:rsidP="004961FA">
      <w:pPr>
        <w:numPr>
          <w:ilvl w:val="0"/>
          <w:numId w:val="9"/>
        </w:numPr>
        <w:rPr>
          <w:lang w:val="en-IE"/>
        </w:rPr>
      </w:pPr>
      <w:r w:rsidRPr="004961FA">
        <w:rPr>
          <w:b/>
          <w:bCs/>
          <w:lang w:val="en-IE"/>
        </w:rPr>
        <w:t>Time to DNA Repair (</w:t>
      </w: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Pr="004961FA">
        <w:rPr>
          <w:b/>
          <w:bCs/>
          <w:lang w:val="en-IE"/>
        </w:rPr>
        <w:t>):</w:t>
      </w:r>
      <w:r w:rsidRPr="004961FA">
        <w:rPr>
          <w:lang w:val="en-IE"/>
        </w:rPr>
        <w:t xml:space="preserve"> Also shows a statistically significant protective effect (HR = 0.856, p = 0.015). Biologically, a longer repair time signifies</w:t>
      </w:r>
      <w:r>
        <w:rPr>
          <w:lang w:val="en-IE"/>
        </w:rPr>
        <w:t xml:space="preserve"> HR</w:t>
      </w:r>
      <w:r w:rsidRPr="004961FA">
        <w:rPr>
          <w:lang w:val="en-IE"/>
        </w:rPr>
        <w:t xml:space="preserve"> deficiency. Tumo</w:t>
      </w:r>
      <w:r>
        <w:rPr>
          <w:lang w:val="en-IE"/>
        </w:rPr>
        <w:t>u</w:t>
      </w:r>
      <w:r w:rsidRPr="004961FA">
        <w:rPr>
          <w:lang w:val="en-IE"/>
        </w:rPr>
        <w:t>rs with HR</w:t>
      </w:r>
      <w:r>
        <w:rPr>
          <w:lang w:val="en-IE"/>
        </w:rPr>
        <w:t xml:space="preserve"> deficiency</w:t>
      </w:r>
      <w:r w:rsidRPr="004961FA">
        <w:rPr>
          <w:lang w:val="en-IE"/>
        </w:rPr>
        <w:t xml:space="preserve"> cannot resolve chemotherapy-induced </w:t>
      </w:r>
      <w:r w:rsidR="00974F82">
        <w:rPr>
          <w:lang w:val="en-IE"/>
        </w:rPr>
        <w:t>DSBs</w:t>
      </w:r>
      <w:r w:rsidRPr="004961FA">
        <w:rPr>
          <w:lang w:val="en-IE"/>
        </w:rPr>
        <w:t xml:space="preserve"> quickly, making them highly sensitive to platinum chemotherapy and leading to improved patient survival. </w:t>
      </w:r>
    </w:p>
    <w:p w14:paraId="192E420A" w14:textId="6DDE7FE4" w:rsidR="004961FA" w:rsidRPr="004961FA" w:rsidRDefault="004961FA" w:rsidP="004961FA">
      <w:pPr>
        <w:numPr>
          <w:ilvl w:val="0"/>
          <w:numId w:val="9"/>
        </w:numPr>
        <w:rPr>
          <w:lang w:val="en-IE"/>
        </w:rPr>
      </w:pPr>
      <w:r w:rsidRPr="004961FA">
        <w:rPr>
          <w:b/>
          <w:bCs/>
          <w:lang w:val="en-IE"/>
        </w:rPr>
        <w:t>Residual DNA Damage (</w:t>
      </w:r>
      <m:oMath>
        <m:sSub>
          <m:sSubPr>
            <m:ctrlPr>
              <w:rPr>
                <w:rFonts w:ascii="Cambria Math" w:hAnsi="Cambria Math"/>
                <w:lang w:val="en-IE"/>
              </w:rPr>
            </m:ctrlPr>
          </m:sSubPr>
          <m:e>
            <m:r>
              <w:rPr>
                <w:rFonts w:ascii="Cambria Math" w:hAnsi="Cambria Math"/>
                <w:lang w:val="en-IE"/>
              </w:rPr>
              <m:t>D</m:t>
            </m:r>
          </m:e>
          <m:sub>
            <m:r>
              <m:rPr>
                <m:nor/>
              </m:rPr>
              <w:rPr>
                <w:rFonts w:ascii="Cambria Math"/>
                <w:lang w:val="en-IE"/>
              </w:rPr>
              <m:t>resid</m:t>
            </m:r>
          </m:sub>
        </m:sSub>
      </m:oMath>
      <w:r w:rsidRPr="004961FA">
        <w:rPr>
          <w:b/>
          <w:bCs/>
          <w:lang w:val="en-IE"/>
        </w:rPr>
        <w:t>):</w:t>
      </w:r>
      <w:r w:rsidRPr="004961FA">
        <w:rPr>
          <w:lang w:val="en-IE"/>
        </w:rPr>
        <w:t xml:space="preserve"> </w:t>
      </w:r>
      <w:r w:rsidR="00130971">
        <w:rPr>
          <w:lang w:val="en-IE"/>
        </w:rPr>
        <w:t>In initial iterations</w:t>
      </w:r>
      <w:r w:rsidRPr="004961FA">
        <w:rPr>
          <w:lang w:val="en-IE"/>
        </w:rPr>
        <w:t xml:space="preserve">, </w:t>
      </w:r>
      <m:oMath>
        <m:sSub>
          <m:sSubPr>
            <m:ctrlPr>
              <w:rPr>
                <w:rFonts w:ascii="Cambria Math" w:hAnsi="Cambria Math"/>
                <w:lang w:val="en-IE"/>
              </w:rPr>
            </m:ctrlPr>
          </m:sSubPr>
          <m:e>
            <m:r>
              <w:rPr>
                <w:rFonts w:ascii="Cambria Math" w:hAnsi="Cambria Math"/>
                <w:lang w:val="en-IE"/>
              </w:rPr>
              <m:t>D</m:t>
            </m:r>
          </m:e>
          <m:sub>
            <m:r>
              <m:rPr>
                <m:nor/>
              </m:rPr>
              <w:rPr>
                <w:rFonts w:ascii="Cambria Math"/>
                <w:lang w:val="en-IE"/>
              </w:rPr>
              <m:t>resid</m:t>
            </m:r>
          </m:sub>
        </m:sSub>
        <m:r>
          <w:rPr>
            <w:rFonts w:ascii="Cambria Math" w:hAnsi="Cambria Math"/>
            <w:lang w:val="en-IE"/>
          </w:rPr>
          <m:t xml:space="preserve"> </m:t>
        </m:r>
      </m:oMath>
      <w:r w:rsidRPr="004961FA">
        <w:rPr>
          <w:lang w:val="en-IE"/>
        </w:rPr>
        <w:t>suffered from a degenerate model fit (HR = ∞, CI = [NaN, ∞]) because its raw values were extremely small (on the order of 10</w:t>
      </w:r>
      <w:r w:rsidRPr="004961FA">
        <w:rPr>
          <w:rFonts w:ascii="Cambria Math" w:hAnsi="Cambria Math" w:cs="Cambria Math"/>
          <w:lang w:val="en-IE"/>
        </w:rPr>
        <w:t>⁻</w:t>
      </w:r>
      <w:r w:rsidRPr="004961FA">
        <w:rPr>
          <w:lang w:val="en-IE"/>
        </w:rPr>
        <w:t xml:space="preserve">⁹), leading to near-zero variance. Z-score standardization scaled this variance to 1.0, enabling the Cox solver to converge successfully. The resulting hazard ratio of </w:t>
      </w:r>
      <w:r w:rsidRPr="004961FA">
        <w:rPr>
          <w:b/>
          <w:bCs/>
          <w:lang w:val="en-IE"/>
        </w:rPr>
        <w:t>1.017</w:t>
      </w:r>
      <w:r w:rsidRPr="004961FA">
        <w:rPr>
          <w:lang w:val="en-IE"/>
        </w:rPr>
        <w:t xml:space="preserve"> (95% CI = [0.894, 1.156], p = 0.801) confirms that residual damage has no statistically significant association with survival</w:t>
      </w:r>
      <w:r w:rsidR="00BC594B">
        <w:rPr>
          <w:lang w:val="en-IE"/>
        </w:rPr>
        <w:t>.</w:t>
      </w:r>
    </w:p>
    <w:p w14:paraId="1146A461" w14:textId="77777777" w:rsidR="00FE7BC6" w:rsidRDefault="00BC594B" w:rsidP="00A7382F">
      <w:pPr>
        <w:keepNext/>
        <w:spacing w:after="0" w:line="240" w:lineRule="auto"/>
      </w:pPr>
      <w:r>
        <w:rPr>
          <w:noProof/>
          <w:lang w:val="en-IE"/>
        </w:rPr>
        <w:lastRenderedPageBreak/>
        <w:drawing>
          <wp:inline distT="0" distB="0" distL="0" distR="0" wp14:anchorId="27E5A82C" wp14:editId="712D128F">
            <wp:extent cx="5730240" cy="4221480"/>
            <wp:effectExtent l="0" t="0" r="3810" b="7620"/>
            <wp:docPr id="74908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0240" cy="4221480"/>
                    </a:xfrm>
                    <a:prstGeom prst="rect">
                      <a:avLst/>
                    </a:prstGeom>
                    <a:noFill/>
                    <a:ln>
                      <a:noFill/>
                    </a:ln>
                  </pic:spPr>
                </pic:pic>
              </a:graphicData>
            </a:graphic>
          </wp:inline>
        </w:drawing>
      </w:r>
    </w:p>
    <w:p w14:paraId="66F97B4A" w14:textId="0F449D87" w:rsidR="00BC594B" w:rsidRPr="00FE7BC6" w:rsidRDefault="00FE7BC6" w:rsidP="00FE7BC6">
      <w:pPr>
        <w:pStyle w:val="Caption"/>
        <w:spacing w:after="0"/>
        <w:jc w:val="center"/>
        <w:rPr>
          <w:b/>
          <w:bCs/>
          <w:sz w:val="20"/>
          <w:szCs w:val="20"/>
        </w:rPr>
      </w:pPr>
      <w:r w:rsidRPr="00FE7BC6">
        <w:rPr>
          <w:b/>
          <w:bCs/>
          <w:sz w:val="20"/>
          <w:szCs w:val="20"/>
        </w:rPr>
        <w:t xml:space="preserve">Figure </w:t>
      </w:r>
      <w:r w:rsidRPr="00FE7BC6">
        <w:rPr>
          <w:b/>
          <w:bCs/>
          <w:sz w:val="20"/>
          <w:szCs w:val="20"/>
        </w:rPr>
        <w:fldChar w:fldCharType="begin"/>
      </w:r>
      <w:r w:rsidRPr="00FE7BC6">
        <w:rPr>
          <w:b/>
          <w:bCs/>
          <w:sz w:val="20"/>
          <w:szCs w:val="20"/>
        </w:rPr>
        <w:instrText xml:space="preserve"> SEQ Figure \* ARABIC </w:instrText>
      </w:r>
      <w:r w:rsidRPr="00FE7BC6">
        <w:rPr>
          <w:b/>
          <w:bCs/>
          <w:sz w:val="20"/>
          <w:szCs w:val="20"/>
        </w:rPr>
        <w:fldChar w:fldCharType="separate"/>
      </w:r>
      <w:r w:rsidR="002E3C47">
        <w:rPr>
          <w:b/>
          <w:bCs/>
          <w:noProof/>
          <w:sz w:val="20"/>
          <w:szCs w:val="20"/>
        </w:rPr>
        <w:t>6</w:t>
      </w:r>
      <w:r w:rsidRPr="00FE7BC6">
        <w:rPr>
          <w:b/>
          <w:bCs/>
          <w:sz w:val="20"/>
          <w:szCs w:val="20"/>
        </w:rPr>
        <w:fldChar w:fldCharType="end"/>
      </w:r>
      <w:r w:rsidRPr="00FE7BC6">
        <w:rPr>
          <w:b/>
          <w:bCs/>
          <w:sz w:val="20"/>
          <w:szCs w:val="20"/>
        </w:rPr>
        <w:t>. Univariate Cox</w:t>
      </w:r>
      <w:r w:rsidR="002A567C">
        <w:rPr>
          <w:b/>
          <w:bCs/>
          <w:sz w:val="20"/>
          <w:szCs w:val="20"/>
        </w:rPr>
        <w:t>PH</w:t>
      </w:r>
      <w:r w:rsidRPr="00FE7BC6">
        <w:rPr>
          <w:b/>
          <w:bCs/>
          <w:sz w:val="20"/>
          <w:szCs w:val="20"/>
        </w:rPr>
        <w:t xml:space="preserve"> forest plot.</w:t>
      </w:r>
    </w:p>
    <w:p w14:paraId="5B2576BA" w14:textId="70FC1D1C" w:rsidR="00A7382F" w:rsidRDefault="00BC594B" w:rsidP="00A7382F">
      <w:pPr>
        <w:pStyle w:val="Caption"/>
        <w:jc w:val="center"/>
        <w:rPr>
          <w:sz w:val="20"/>
          <w:szCs w:val="20"/>
        </w:rPr>
      </w:pPr>
      <w:r w:rsidRPr="00FE7BC6">
        <w:rPr>
          <w:sz w:val="20"/>
          <w:szCs w:val="20"/>
        </w:rPr>
        <w:t xml:space="preserve">Hazard ratios (with 95% </w:t>
      </w:r>
      <w:r w:rsidR="00307EEA">
        <w:rPr>
          <w:sz w:val="20"/>
          <w:szCs w:val="20"/>
        </w:rPr>
        <w:t>CIs</w:t>
      </w:r>
      <w:r w:rsidRPr="00FE7BC6">
        <w:rPr>
          <w:sz w:val="20"/>
          <w:szCs w:val="20"/>
        </w:rPr>
        <w:t>) for the standardized log-transformed versions (z-log) of the four ODE-derived scores.</w:t>
      </w:r>
      <w:r w:rsidR="00A7382F">
        <w:rPr>
          <w:sz w:val="20"/>
          <w:szCs w:val="20"/>
        </w:rPr>
        <w:br/>
      </w:r>
    </w:p>
    <w:p w14:paraId="4FFC244D" w14:textId="77777777" w:rsidR="004A4FCC" w:rsidRPr="006F2AE3" w:rsidRDefault="004A4FCC" w:rsidP="004A4FCC">
      <w:pPr>
        <w:pStyle w:val="Heading2"/>
        <w:rPr>
          <w:lang w:val="en-IE"/>
        </w:rPr>
      </w:pPr>
      <w:r>
        <w:rPr>
          <w:lang w:val="en-IE"/>
        </w:rPr>
        <w:t>3.5</w:t>
      </w:r>
      <w:r w:rsidRPr="006F2AE3">
        <w:rPr>
          <w:lang w:val="en-IE"/>
        </w:rPr>
        <w:t xml:space="preserve"> </w:t>
      </w:r>
      <w:r>
        <w:rPr>
          <w:lang w:val="en-IE"/>
        </w:rPr>
        <w:t>KM s</w:t>
      </w:r>
      <w:r w:rsidRPr="006F2AE3">
        <w:rPr>
          <w:lang w:val="en-IE"/>
        </w:rPr>
        <w:t>tratification</w:t>
      </w:r>
    </w:p>
    <w:p w14:paraId="17097544" w14:textId="77777777" w:rsidR="004A4FCC" w:rsidRPr="006F2AE3" w:rsidRDefault="004A4FCC" w:rsidP="004A4FCC">
      <w:pPr>
        <w:rPr>
          <w:lang w:val="en-IE"/>
        </w:rPr>
      </w:pPr>
      <w:r w:rsidRPr="006F2AE3">
        <w:rPr>
          <w:lang w:val="en-IE"/>
        </w:rPr>
        <w:t xml:space="preserve">To evaluate the clinical stratification potential of the ODE-derived scores, we performed </w:t>
      </w:r>
      <w:r>
        <w:rPr>
          <w:lang w:val="en-IE"/>
        </w:rPr>
        <w:t>KM</w:t>
      </w:r>
      <w:r w:rsidRPr="006F2AE3">
        <w:rPr>
          <w:lang w:val="en-IE"/>
        </w:rPr>
        <w:t xml:space="preserve"> survival analysis for all four scores. Two grouping strategies were applied to each score:</w:t>
      </w:r>
    </w:p>
    <w:p w14:paraId="60E47CA1" w14:textId="77777777" w:rsidR="004A4FCC" w:rsidRDefault="004A4FCC" w:rsidP="004A4FCC">
      <w:pPr>
        <w:pStyle w:val="ListParagraph"/>
        <w:numPr>
          <w:ilvl w:val="0"/>
          <w:numId w:val="11"/>
        </w:numPr>
        <w:rPr>
          <w:lang w:val="en-IE"/>
        </w:rPr>
      </w:pPr>
      <w:r w:rsidRPr="006F2AE3">
        <w:rPr>
          <w:b/>
          <w:bCs/>
          <w:lang w:val="en-IE"/>
        </w:rPr>
        <w:t xml:space="preserve">Primary </w:t>
      </w:r>
      <w:r>
        <w:rPr>
          <w:b/>
          <w:bCs/>
          <w:lang w:val="en-IE"/>
        </w:rPr>
        <w:t>a</w:t>
      </w:r>
      <w:r w:rsidRPr="006F2AE3">
        <w:rPr>
          <w:b/>
          <w:bCs/>
          <w:lang w:val="en-IE"/>
        </w:rPr>
        <w:t>nalysis (</w:t>
      </w:r>
      <w:r>
        <w:rPr>
          <w:b/>
          <w:bCs/>
          <w:lang w:val="en-IE"/>
        </w:rPr>
        <w:t>p</w:t>
      </w:r>
      <w:r w:rsidRPr="006F2AE3">
        <w:rPr>
          <w:b/>
          <w:bCs/>
          <w:lang w:val="en-IE"/>
        </w:rPr>
        <w:t xml:space="preserve">re-specified </w:t>
      </w:r>
      <w:r>
        <w:rPr>
          <w:b/>
          <w:bCs/>
          <w:lang w:val="en-IE"/>
        </w:rPr>
        <w:t>t</w:t>
      </w:r>
      <w:r w:rsidRPr="006F2AE3">
        <w:rPr>
          <w:b/>
          <w:bCs/>
          <w:lang w:val="en-IE"/>
        </w:rPr>
        <w:t xml:space="preserve">ertile </w:t>
      </w:r>
      <w:r>
        <w:rPr>
          <w:b/>
          <w:bCs/>
          <w:lang w:val="en-IE"/>
        </w:rPr>
        <w:t>s</w:t>
      </w:r>
      <w:r w:rsidRPr="006F2AE3">
        <w:rPr>
          <w:b/>
          <w:bCs/>
          <w:lang w:val="en-IE"/>
        </w:rPr>
        <w:t>plit):</w:t>
      </w:r>
      <w:r w:rsidRPr="006F2AE3">
        <w:rPr>
          <w:lang w:val="en-IE"/>
        </w:rPr>
        <w:t xml:space="preserve"> Patients were divided into T1 (low), T2 (mid), and T3 (high) groups using pre-specified tertile boundaries. Because the grouping is defined before examining survival outcomes, the omnibus log-rank p-value is valid for statistical inference. For scores with tied tertile boundaries (e.g. </w:t>
      </w: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Pr="006F2AE3">
        <w:rPr>
          <w:lang w:val="en-IE"/>
        </w:rPr>
        <w:t>, which takes a small number of discrete hour values), the function falls back to a pre-specified median binary split.</w:t>
      </w:r>
    </w:p>
    <w:p w14:paraId="6A0BEE31" w14:textId="77777777" w:rsidR="00BC594B" w:rsidRDefault="00BC594B" w:rsidP="007923A4">
      <w:pPr>
        <w:pStyle w:val="FigureCaption"/>
      </w:pPr>
    </w:p>
    <w:p w14:paraId="53DA4624" w14:textId="77777777" w:rsidR="006F2AE3" w:rsidRDefault="006F2AE3" w:rsidP="00A7382F">
      <w:pPr>
        <w:pStyle w:val="FigureCaption"/>
        <w:keepNext/>
      </w:pPr>
      <w:r>
        <w:rPr>
          <w:noProof/>
        </w:rPr>
        <w:lastRenderedPageBreak/>
        <w:drawing>
          <wp:inline distT="0" distB="0" distL="0" distR="0" wp14:anchorId="55D659CD" wp14:editId="2860EC7F">
            <wp:extent cx="5722620" cy="4061460"/>
            <wp:effectExtent l="0" t="0" r="0" b="0"/>
            <wp:docPr id="469804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4061460"/>
                    </a:xfrm>
                    <a:prstGeom prst="rect">
                      <a:avLst/>
                    </a:prstGeom>
                    <a:noFill/>
                    <a:ln>
                      <a:noFill/>
                    </a:ln>
                  </pic:spPr>
                </pic:pic>
              </a:graphicData>
            </a:graphic>
          </wp:inline>
        </w:drawing>
      </w:r>
    </w:p>
    <w:p w14:paraId="24EF2916" w14:textId="4F37B4D2" w:rsidR="00FE7BC6" w:rsidRPr="006F2AE3" w:rsidRDefault="006F2AE3" w:rsidP="006F2AE3">
      <w:pPr>
        <w:pStyle w:val="FigureCaptionHeading"/>
      </w:pPr>
      <w:r w:rsidRPr="006F2AE3">
        <w:t xml:space="preserve">Figure </w:t>
      </w:r>
      <w:r w:rsidRPr="006F2AE3">
        <w:fldChar w:fldCharType="begin"/>
      </w:r>
      <w:r w:rsidRPr="006F2AE3">
        <w:instrText xml:space="preserve"> SEQ Figure \* ARABIC </w:instrText>
      </w:r>
      <w:r w:rsidRPr="006F2AE3">
        <w:fldChar w:fldCharType="separate"/>
      </w:r>
      <w:r w:rsidR="002E3C47">
        <w:rPr>
          <w:noProof/>
        </w:rPr>
        <w:t>7</w:t>
      </w:r>
      <w:r w:rsidRPr="006F2AE3">
        <w:fldChar w:fldCharType="end"/>
      </w:r>
      <w:r w:rsidRPr="006F2AE3">
        <w:t>. Multivariate Cox</w:t>
      </w:r>
      <w:r w:rsidR="002A567C">
        <w:t>PH</w:t>
      </w:r>
      <w:r w:rsidRPr="006F2AE3">
        <w:t xml:space="preserve"> forest plot (adjusted for BRCA_MUTANT).</w:t>
      </w:r>
    </w:p>
    <w:p w14:paraId="11C02F08" w14:textId="6D571DF2" w:rsidR="00BC594B" w:rsidRPr="00A7382F" w:rsidRDefault="00BC594B" w:rsidP="00A7382F">
      <w:pPr>
        <w:pStyle w:val="FigureCaption"/>
      </w:pPr>
      <w:r w:rsidRPr="00FE7BC6">
        <w:t>Hazard ratios for the standardized log-transformed ODE scores (z-log) and BRCA mutation status.</w:t>
      </w:r>
      <w:r w:rsidR="00A7382F">
        <w:br/>
      </w:r>
    </w:p>
    <w:p w14:paraId="33691199" w14:textId="31087EAA" w:rsidR="006F2AE3" w:rsidRDefault="006F2AE3" w:rsidP="006F2AE3">
      <w:pPr>
        <w:pStyle w:val="ListParagraph"/>
        <w:numPr>
          <w:ilvl w:val="0"/>
          <w:numId w:val="11"/>
        </w:numPr>
        <w:rPr>
          <w:lang w:val="en-IE"/>
        </w:rPr>
      </w:pPr>
      <w:r w:rsidRPr="006F2AE3">
        <w:rPr>
          <w:b/>
          <w:bCs/>
          <w:lang w:val="en-IE"/>
        </w:rPr>
        <w:t xml:space="preserve">Exploratory </w:t>
      </w:r>
      <w:r w:rsidR="00B70A33">
        <w:rPr>
          <w:b/>
          <w:bCs/>
          <w:lang w:val="en-IE"/>
        </w:rPr>
        <w:t>a</w:t>
      </w:r>
      <w:r w:rsidRPr="006F2AE3">
        <w:rPr>
          <w:b/>
          <w:bCs/>
          <w:lang w:val="en-IE"/>
        </w:rPr>
        <w:t>nalysis (</w:t>
      </w:r>
      <w:r w:rsidR="00B70A33">
        <w:rPr>
          <w:b/>
          <w:bCs/>
          <w:lang w:val="en-IE"/>
        </w:rPr>
        <w:t>o</w:t>
      </w:r>
      <w:r w:rsidRPr="006F2AE3">
        <w:rPr>
          <w:b/>
          <w:bCs/>
          <w:lang w:val="en-IE"/>
        </w:rPr>
        <w:t xml:space="preserve">ptimal </w:t>
      </w:r>
      <w:r w:rsidR="00B70A33">
        <w:rPr>
          <w:b/>
          <w:bCs/>
          <w:lang w:val="en-IE"/>
        </w:rPr>
        <w:t>c</w:t>
      </w:r>
      <w:r w:rsidRPr="006F2AE3">
        <w:rPr>
          <w:b/>
          <w:bCs/>
          <w:lang w:val="en-IE"/>
        </w:rPr>
        <w:t xml:space="preserve">utoff </w:t>
      </w:r>
      <w:r w:rsidR="00B70A33">
        <w:rPr>
          <w:b/>
          <w:bCs/>
          <w:lang w:val="en-IE"/>
        </w:rPr>
        <w:t>s</w:t>
      </w:r>
      <w:r w:rsidRPr="006F2AE3">
        <w:rPr>
          <w:b/>
          <w:bCs/>
          <w:lang w:val="en-IE"/>
        </w:rPr>
        <w:t>can):</w:t>
      </w:r>
      <w:r w:rsidRPr="006F2AE3">
        <w:rPr>
          <w:lang w:val="en-IE"/>
        </w:rPr>
        <w:t xml:space="preserve"> All possible binary cutpoints were scanned to identify the threshold that minimises the log-rank p-value. Because this cutpoint is selected post-hoc by searching the outcome data, the resulting p-value is inflated by multiple-testing and must be interpreted as strictly exploratory.</w:t>
      </w:r>
    </w:p>
    <w:p w14:paraId="382AD758" w14:textId="5A845781" w:rsidR="007923A4" w:rsidRPr="007923A4" w:rsidRDefault="007923A4" w:rsidP="007923A4">
      <w:pPr>
        <w:pStyle w:val="Heading3"/>
      </w:pPr>
      <w:r>
        <w:t>3.5</w:t>
      </w:r>
      <w:r w:rsidRPr="007923A4">
        <w:t xml:space="preserve">.1 Primary </w:t>
      </w:r>
      <w:r w:rsidR="00AD667A">
        <w:t>a</w:t>
      </w:r>
      <w:r w:rsidRPr="007923A4">
        <w:t xml:space="preserve">nalysis </w:t>
      </w:r>
      <w:r w:rsidR="009E7BD0">
        <w:t>(</w:t>
      </w:r>
      <w:r w:rsidR="00AD667A">
        <w:t>p</w:t>
      </w:r>
      <w:r w:rsidRPr="007923A4">
        <w:t xml:space="preserve">re-specified </w:t>
      </w:r>
      <w:r w:rsidR="00AD667A">
        <w:t>t</w:t>
      </w:r>
      <w:r w:rsidRPr="007923A4">
        <w:t xml:space="preserve">ertile </w:t>
      </w:r>
      <w:r w:rsidR="00AD667A">
        <w:t>s</w:t>
      </w:r>
      <w:r w:rsidRPr="007923A4">
        <w:t>plits</w:t>
      </w:r>
      <w:r w:rsidR="009E7BD0">
        <w:t>)</w:t>
      </w:r>
    </w:p>
    <w:p w14:paraId="5E941958" w14:textId="1F8801D6" w:rsidR="007923A4" w:rsidRPr="007923A4" w:rsidRDefault="007923A4" w:rsidP="007923A4">
      <w:pPr>
        <w:rPr>
          <w:lang w:val="en-IE"/>
        </w:rPr>
      </w:pPr>
      <w:r w:rsidRPr="007923A4">
        <w:rPr>
          <w:lang w:val="en-IE"/>
        </w:rPr>
        <w:t xml:space="preserve">Figure 8 shows the primary </w:t>
      </w:r>
      <w:r w:rsidR="00E949D8">
        <w:rPr>
          <w:lang w:val="en-IE"/>
        </w:rPr>
        <w:t>KM</w:t>
      </w:r>
      <w:r w:rsidRPr="007923A4">
        <w:rPr>
          <w:lang w:val="en-IE"/>
        </w:rPr>
        <w:t xml:space="preserve"> analysis for all four ODE scores. All four scores show trends in the expected biological direction (higher apoptotic commitment and slower DNA repair associated with better survival), though none reach statistical significance with the three-group omnibus log-rank test:</w:t>
      </w:r>
    </w:p>
    <w:p w14:paraId="729D1EA8" w14:textId="3C8ADFBA" w:rsidR="007923A4" w:rsidRPr="007923A4" w:rsidRDefault="007D1DA2" w:rsidP="007923A4">
      <w:pPr>
        <w:numPr>
          <w:ilvl w:val="0"/>
          <w:numId w:val="12"/>
        </w:numPr>
        <w:spacing w:after="120" w:line="240" w:lineRule="auto"/>
        <w:ind w:left="714" w:hanging="357"/>
        <w:rPr>
          <w:lang w:val="en-IE"/>
        </w:rPr>
      </w:pPr>
      <m:oMath>
        <m:sSub>
          <m:sSubPr>
            <m:ctrlPr>
              <w:rPr>
                <w:rFonts w:ascii="Cambria Math" w:hAnsi="Cambria Math"/>
                <w:i/>
                <w:lang w:val="en-IE"/>
              </w:rPr>
            </m:ctrlPr>
          </m:sSubPr>
          <m:e>
            <m:r>
              <w:rPr>
                <w:rFonts w:ascii="Cambria Math" w:hAnsi="Cambria Math"/>
                <w:lang w:val="en-IE"/>
              </w:rPr>
              <m:t>AUC</m:t>
            </m:r>
          </m:e>
          <m:sub>
            <m:r>
              <m:rPr>
                <m:sty m:val="p"/>
              </m:rPr>
              <w:rPr>
                <w:rFonts w:ascii="Cambria Math" w:hAnsi="Cambria Math"/>
                <w:lang w:val="en-IE"/>
              </w:rPr>
              <m:t>X</m:t>
            </m:r>
          </m:sub>
        </m:sSub>
      </m:oMath>
      <w:r w:rsidR="007923A4" w:rsidRPr="007923A4">
        <w:rPr>
          <w:b/>
          <w:bCs/>
          <w:lang w:val="en-IE"/>
        </w:rPr>
        <w:t>:</w:t>
      </w:r>
      <w:r w:rsidR="007923A4" w:rsidRPr="007923A4">
        <w:rPr>
          <w:lang w:val="en-IE"/>
        </w:rPr>
        <w:t xml:space="preserve"> Median OS increases progressively from T1 (41.5 months) to T3 (48.8 months), p = 0.773.</w:t>
      </w:r>
    </w:p>
    <w:p w14:paraId="10ADFD22" w14:textId="3A444549" w:rsidR="007923A4" w:rsidRPr="007923A4" w:rsidRDefault="007923A4" w:rsidP="007923A4">
      <w:pPr>
        <w:numPr>
          <w:ilvl w:val="0"/>
          <w:numId w:val="12"/>
        </w:numPr>
        <w:spacing w:after="120" w:line="240" w:lineRule="auto"/>
        <w:ind w:left="714" w:hanging="357"/>
        <w:rPr>
          <w:lang w:val="en-IE"/>
        </w:rPr>
      </w:pPr>
      <m:oMath>
        <m:sSub>
          <m:sSubPr>
            <m:ctrlPr>
              <w:rPr>
                <w:rFonts w:ascii="Cambria Math" w:hAnsi="Cambria Math"/>
                <w:lang w:val="en-IE"/>
              </w:rPr>
            </m:ctrlPr>
          </m:sSubPr>
          <m:e>
            <m:r>
              <w:rPr>
                <w:rFonts w:ascii="Cambria Math" w:hAnsi="Cambria Math"/>
                <w:lang w:val="en-IE"/>
              </w:rPr>
              <m:t>X</m:t>
            </m:r>
          </m:e>
          <m:sub>
            <m:r>
              <m:rPr>
                <m:nor/>
              </m:rPr>
              <w:rPr>
                <w:lang w:val="en-IE"/>
              </w:rPr>
              <m:t>peak</m:t>
            </m:r>
          </m:sub>
        </m:sSub>
      </m:oMath>
      <w:r w:rsidRPr="007923A4">
        <w:rPr>
          <w:b/>
          <w:bCs/>
          <w:lang w:val="en-IE"/>
        </w:rPr>
        <w:t>:</w:t>
      </w:r>
      <w:r w:rsidRPr="007923A4">
        <w:rPr>
          <w:lang w:val="en-IE"/>
        </w:rPr>
        <w:t xml:space="preserve"> Similar progressive increase from T1 (43.7 months) to T3 (48.3 months), p = 0.822.</w:t>
      </w:r>
    </w:p>
    <w:p w14:paraId="7DD4BC9E" w14:textId="1DF556B2" w:rsidR="007923A4" w:rsidRPr="007923A4" w:rsidRDefault="007923A4" w:rsidP="007923A4">
      <w:pPr>
        <w:numPr>
          <w:ilvl w:val="0"/>
          <w:numId w:val="12"/>
        </w:numPr>
        <w:spacing w:after="120" w:line="240" w:lineRule="auto"/>
        <w:ind w:left="714" w:hanging="357"/>
        <w:rPr>
          <w:lang w:val="en-IE"/>
        </w:rPr>
      </w:pP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Pr="007923A4">
        <w:rPr>
          <w:b/>
          <w:bCs/>
          <w:lang w:val="en-IE"/>
        </w:rPr>
        <w:t>:</w:t>
      </w:r>
      <w:r w:rsidRPr="007923A4">
        <w:rPr>
          <w:lang w:val="en-IE"/>
        </w:rPr>
        <w:t xml:space="preserve"> Longer repair times trend toward better survival, p = 0.523. Falls back to a median binary split due to tied tertile boundaries.</w:t>
      </w:r>
    </w:p>
    <w:p w14:paraId="6554ED3C" w14:textId="25C662D0" w:rsidR="007923A4" w:rsidRPr="007923A4" w:rsidRDefault="007923A4" w:rsidP="007923A4">
      <w:pPr>
        <w:numPr>
          <w:ilvl w:val="0"/>
          <w:numId w:val="12"/>
        </w:numPr>
        <w:spacing w:line="240" w:lineRule="auto"/>
        <w:ind w:left="714" w:hanging="357"/>
        <w:rPr>
          <w:lang w:val="en-IE"/>
        </w:rPr>
      </w:pPr>
      <m:oMath>
        <m:sSub>
          <m:sSubPr>
            <m:ctrlPr>
              <w:rPr>
                <w:rFonts w:ascii="Cambria Math" w:hAnsi="Cambria Math"/>
                <w:lang w:val="en-IE"/>
              </w:rPr>
            </m:ctrlPr>
          </m:sSubPr>
          <m:e>
            <m:r>
              <w:rPr>
                <w:rFonts w:ascii="Cambria Math" w:hAnsi="Cambria Math"/>
                <w:lang w:val="en-IE"/>
              </w:rPr>
              <m:t>D</m:t>
            </m:r>
          </m:e>
          <m:sub>
            <m:r>
              <m:rPr>
                <m:nor/>
              </m:rPr>
              <w:rPr>
                <w:lang w:val="en-IE"/>
              </w:rPr>
              <m:t>resid</m:t>
            </m:r>
          </m:sub>
        </m:sSub>
      </m:oMath>
      <w:r w:rsidRPr="007923A4">
        <w:rPr>
          <w:b/>
          <w:bCs/>
          <w:lang w:val="en-IE"/>
        </w:rPr>
        <w:t>:</w:t>
      </w:r>
      <w:r w:rsidRPr="007923A4">
        <w:rPr>
          <w:lang w:val="en-IE"/>
        </w:rPr>
        <w:t xml:space="preserve"> Modest directional trend, p = 0.169.</w:t>
      </w:r>
    </w:p>
    <w:p w14:paraId="061E101C" w14:textId="77777777" w:rsidR="007923A4" w:rsidRPr="007923A4" w:rsidRDefault="007923A4" w:rsidP="007923A4">
      <w:pPr>
        <w:rPr>
          <w:lang w:val="en-IE"/>
        </w:rPr>
      </w:pPr>
      <w:r w:rsidRPr="007923A4">
        <w:rPr>
          <w:lang w:val="en-IE"/>
        </w:rPr>
        <w:t>The lack of significance in the tertile analysis is expected: the three-group omnibus test has lower power than a binary split, and the ODE scores capture continuous, graded variation in pathway activity rather than discrete risk categories.</w:t>
      </w:r>
    </w:p>
    <w:p w14:paraId="09CEF0F1" w14:textId="77777777" w:rsidR="004A4FCC" w:rsidRPr="009E7BD0" w:rsidRDefault="004A4FCC" w:rsidP="004A4FCC">
      <w:pPr>
        <w:pStyle w:val="Heading3"/>
      </w:pPr>
      <w:r>
        <w:t xml:space="preserve">3.5.2 </w:t>
      </w:r>
      <w:r w:rsidRPr="009E7BD0">
        <w:t xml:space="preserve">Exploratory </w:t>
      </w:r>
      <w:r>
        <w:t>an</w:t>
      </w:r>
      <w:r w:rsidRPr="009E7BD0">
        <w:t xml:space="preserve">alysis </w:t>
      </w:r>
      <w:r>
        <w:t>(o</w:t>
      </w:r>
      <w:r w:rsidRPr="009E7BD0">
        <w:t xml:space="preserve">ptimal </w:t>
      </w:r>
      <w:r>
        <w:t>c</w:t>
      </w:r>
      <w:r w:rsidRPr="009E7BD0">
        <w:t xml:space="preserve">utpoint </w:t>
      </w:r>
      <w:r>
        <w:t>s</w:t>
      </w:r>
      <w:r w:rsidRPr="009E7BD0">
        <w:t>cans</w:t>
      </w:r>
      <w:r>
        <w:t>)</w:t>
      </w:r>
    </w:p>
    <w:p w14:paraId="197B9CA2" w14:textId="42B58B3F" w:rsidR="007923A4" w:rsidRDefault="004A4FCC" w:rsidP="007923A4">
      <w:pPr>
        <w:rPr>
          <w:lang w:val="en-IE"/>
        </w:rPr>
      </w:pPr>
      <w:r w:rsidRPr="009E7BD0">
        <w:rPr>
          <w:lang w:val="en-IE"/>
        </w:rPr>
        <w:t>Figure 9 shows the exploratory KM analysis using the data-driven optimal cutpoints for each score. All four scores achieve statistically significant separation when the cutpoint is optimised post-hoc:</w:t>
      </w:r>
    </w:p>
    <w:p w14:paraId="5D9D4242" w14:textId="77777777" w:rsidR="00A7382F" w:rsidRPr="007923A4" w:rsidRDefault="00A7382F" w:rsidP="007923A4">
      <w:pPr>
        <w:rPr>
          <w:lang w:val="en-IE"/>
        </w:rPr>
      </w:pPr>
    </w:p>
    <w:p w14:paraId="3565B83B" w14:textId="77777777" w:rsidR="007923A4" w:rsidRDefault="007923A4" w:rsidP="00A7382F">
      <w:pPr>
        <w:pStyle w:val="FigureCaption"/>
        <w:keepNext/>
      </w:pPr>
      <w:r>
        <w:rPr>
          <w:noProof/>
        </w:rPr>
        <w:drawing>
          <wp:inline distT="0" distB="0" distL="0" distR="0" wp14:anchorId="68398109" wp14:editId="6D2F3622">
            <wp:extent cx="5726430" cy="4267200"/>
            <wp:effectExtent l="0" t="0" r="7620" b="0"/>
            <wp:docPr id="1475799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6430" cy="4267200"/>
                    </a:xfrm>
                    <a:prstGeom prst="rect">
                      <a:avLst/>
                    </a:prstGeom>
                    <a:noFill/>
                    <a:ln>
                      <a:noFill/>
                    </a:ln>
                  </pic:spPr>
                </pic:pic>
              </a:graphicData>
            </a:graphic>
          </wp:inline>
        </w:drawing>
      </w:r>
    </w:p>
    <w:p w14:paraId="1A598A19" w14:textId="3915D0D0" w:rsidR="007923A4" w:rsidRPr="007923A4" w:rsidRDefault="007923A4" w:rsidP="007923A4">
      <w:pPr>
        <w:pStyle w:val="Caption"/>
        <w:keepNext/>
        <w:spacing w:after="0"/>
        <w:jc w:val="center"/>
        <w:rPr>
          <w:b/>
          <w:bCs/>
          <w:sz w:val="20"/>
          <w:szCs w:val="20"/>
        </w:rPr>
      </w:pPr>
      <w:r w:rsidRPr="007923A4">
        <w:rPr>
          <w:b/>
          <w:bCs/>
          <w:sz w:val="20"/>
          <w:szCs w:val="20"/>
        </w:rPr>
        <w:t xml:space="preserve">Figure </w:t>
      </w:r>
      <w:r w:rsidRPr="007923A4">
        <w:rPr>
          <w:b/>
          <w:bCs/>
          <w:sz w:val="20"/>
          <w:szCs w:val="20"/>
        </w:rPr>
        <w:fldChar w:fldCharType="begin"/>
      </w:r>
      <w:r w:rsidRPr="007923A4">
        <w:rPr>
          <w:b/>
          <w:bCs/>
          <w:sz w:val="20"/>
          <w:szCs w:val="20"/>
        </w:rPr>
        <w:instrText xml:space="preserve"> SEQ Figure \* ARABIC </w:instrText>
      </w:r>
      <w:r w:rsidRPr="007923A4">
        <w:rPr>
          <w:b/>
          <w:bCs/>
          <w:sz w:val="20"/>
          <w:szCs w:val="20"/>
        </w:rPr>
        <w:fldChar w:fldCharType="separate"/>
      </w:r>
      <w:r w:rsidR="002E3C47">
        <w:rPr>
          <w:b/>
          <w:bCs/>
          <w:noProof/>
          <w:sz w:val="20"/>
          <w:szCs w:val="20"/>
        </w:rPr>
        <w:t>8</w:t>
      </w:r>
      <w:r w:rsidRPr="007923A4">
        <w:rPr>
          <w:b/>
          <w:bCs/>
          <w:sz w:val="20"/>
          <w:szCs w:val="20"/>
        </w:rPr>
        <w:fldChar w:fldCharType="end"/>
      </w:r>
      <w:r w:rsidRPr="007923A4">
        <w:rPr>
          <w:b/>
          <w:bCs/>
          <w:sz w:val="20"/>
          <w:szCs w:val="20"/>
        </w:rPr>
        <w:t>. Kaplan-Meier overall survival</w:t>
      </w:r>
      <w:r w:rsidR="00023E45">
        <w:rPr>
          <w:b/>
          <w:bCs/>
          <w:sz w:val="20"/>
          <w:szCs w:val="20"/>
        </w:rPr>
        <w:t xml:space="preserve"> (primary </w:t>
      </w:r>
      <w:r w:rsidRPr="007923A4">
        <w:rPr>
          <w:b/>
          <w:bCs/>
          <w:sz w:val="20"/>
          <w:szCs w:val="20"/>
        </w:rPr>
        <w:t>analysis</w:t>
      </w:r>
      <w:r w:rsidR="00023E45">
        <w:rPr>
          <w:b/>
          <w:bCs/>
          <w:sz w:val="20"/>
          <w:szCs w:val="20"/>
        </w:rPr>
        <w:t>)</w:t>
      </w:r>
      <w:r w:rsidRPr="007923A4">
        <w:rPr>
          <w:b/>
          <w:bCs/>
          <w:sz w:val="20"/>
          <w:szCs w:val="20"/>
        </w:rPr>
        <w:t>.</w:t>
      </w:r>
    </w:p>
    <w:p w14:paraId="3EE8AB06" w14:textId="4C9619B9" w:rsidR="00C72DD3" w:rsidRPr="007923A4" w:rsidRDefault="007923A4" w:rsidP="007923A4">
      <w:pPr>
        <w:pStyle w:val="FigureCaption"/>
      </w:pPr>
      <w:r w:rsidRPr="007923A4">
        <w:t>2</w:t>
      </w:r>
      <w:r w:rsidRPr="007923A4">
        <w:t>x</w:t>
      </w:r>
      <w:r w:rsidRPr="007923A4">
        <w:t>2 grid showing all four ODE scores stratified by pre-specified tertile splits (or median split where tertile boundaries are tied). Log-rank p-values are valid for inference.</w:t>
      </w:r>
    </w:p>
    <w:p w14:paraId="7C4E7E57" w14:textId="0EC31442" w:rsidR="004A4FCC" w:rsidRDefault="004A4FCC" w:rsidP="009E7BD0">
      <w:pPr>
        <w:pStyle w:val="Heading3"/>
      </w:pPr>
    </w:p>
    <w:p w14:paraId="2D6F8984" w14:textId="7482BFE4" w:rsidR="009E7BD0" w:rsidRPr="009E7BD0" w:rsidRDefault="007D1DA2" w:rsidP="009E7BD0">
      <w:pPr>
        <w:numPr>
          <w:ilvl w:val="0"/>
          <w:numId w:val="13"/>
        </w:numPr>
        <w:spacing w:after="120" w:line="240" w:lineRule="auto"/>
        <w:ind w:left="714" w:hanging="357"/>
        <w:rPr>
          <w:lang w:val="en-IE"/>
        </w:rPr>
      </w:pPr>
      <m:oMath>
        <m:sSub>
          <m:sSubPr>
            <m:ctrlPr>
              <w:rPr>
                <w:rFonts w:ascii="Cambria Math" w:hAnsi="Cambria Math"/>
                <w:i/>
                <w:lang w:val="en-IE"/>
              </w:rPr>
            </m:ctrlPr>
          </m:sSubPr>
          <m:e>
            <m:r>
              <w:rPr>
                <w:rFonts w:ascii="Cambria Math" w:hAnsi="Cambria Math"/>
                <w:lang w:val="en-IE"/>
              </w:rPr>
              <m:t>AUC</m:t>
            </m:r>
          </m:e>
          <m:sub>
            <m:r>
              <m:rPr>
                <m:sty m:val="p"/>
              </m:rPr>
              <w:rPr>
                <w:rFonts w:ascii="Cambria Math" w:hAnsi="Cambria Math"/>
                <w:lang w:val="en-IE"/>
              </w:rPr>
              <m:t>X</m:t>
            </m:r>
          </m:sub>
        </m:sSub>
      </m:oMath>
      <w:r w:rsidR="009E7BD0" w:rsidRPr="009E7BD0">
        <w:rPr>
          <w:b/>
          <w:bCs/>
          <w:lang w:val="en-IE"/>
        </w:rPr>
        <w:t>:</w:t>
      </w:r>
      <w:r w:rsidR="009E7BD0" w:rsidRPr="009E7BD0">
        <w:rPr>
          <w:lang w:val="en-IE"/>
        </w:rPr>
        <w:t xml:space="preserve"> Optimal cutoff = 99.0, p = 0.0077.</w:t>
      </w:r>
    </w:p>
    <w:p w14:paraId="2AFB5F9A" w14:textId="137655FC" w:rsidR="009E7BD0" w:rsidRPr="009E7BD0" w:rsidRDefault="009E7BD0" w:rsidP="009E7BD0">
      <w:pPr>
        <w:numPr>
          <w:ilvl w:val="0"/>
          <w:numId w:val="13"/>
        </w:numPr>
        <w:spacing w:after="120" w:line="240" w:lineRule="auto"/>
        <w:ind w:left="714" w:hanging="357"/>
        <w:rPr>
          <w:lang w:val="en-IE"/>
        </w:rPr>
      </w:pPr>
      <m:oMath>
        <m:sSub>
          <m:sSubPr>
            <m:ctrlPr>
              <w:rPr>
                <w:rFonts w:ascii="Cambria Math" w:hAnsi="Cambria Math"/>
                <w:lang w:val="en-IE"/>
              </w:rPr>
            </m:ctrlPr>
          </m:sSubPr>
          <m:e>
            <m:r>
              <w:rPr>
                <w:rFonts w:ascii="Cambria Math" w:hAnsi="Cambria Math"/>
                <w:lang w:val="en-IE"/>
              </w:rPr>
              <m:t>X</m:t>
            </m:r>
          </m:e>
          <m:sub>
            <m:r>
              <m:rPr>
                <m:nor/>
              </m:rPr>
              <w:rPr>
                <w:lang w:val="en-IE"/>
              </w:rPr>
              <m:t>peak</m:t>
            </m:r>
          </m:sub>
        </m:sSub>
      </m:oMath>
      <w:r w:rsidRPr="009E7BD0">
        <w:rPr>
          <w:b/>
          <w:bCs/>
          <w:lang w:val="en-IE"/>
        </w:rPr>
        <w:t>:</w:t>
      </w:r>
      <w:r w:rsidRPr="009E7BD0">
        <w:rPr>
          <w:lang w:val="en-IE"/>
        </w:rPr>
        <w:t xml:space="preserve"> Optimal cutoff = 4.17, p = 0.0061.</w:t>
      </w:r>
    </w:p>
    <w:p w14:paraId="088F57D6" w14:textId="0966337A" w:rsidR="009E7BD0" w:rsidRPr="009E7BD0" w:rsidRDefault="009E7BD0" w:rsidP="009E7BD0">
      <w:pPr>
        <w:numPr>
          <w:ilvl w:val="0"/>
          <w:numId w:val="13"/>
        </w:numPr>
        <w:spacing w:after="120" w:line="240" w:lineRule="auto"/>
        <w:ind w:left="714" w:hanging="357"/>
        <w:rPr>
          <w:lang w:val="en-IE"/>
        </w:rPr>
      </w:pP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Pr="009E7BD0">
        <w:rPr>
          <w:b/>
          <w:bCs/>
          <w:lang w:val="en-IE"/>
        </w:rPr>
        <w:t>:</w:t>
      </w:r>
      <w:r w:rsidRPr="009E7BD0">
        <w:rPr>
          <w:lang w:val="en-IE"/>
        </w:rPr>
        <w:t xml:space="preserve"> Optimal cutoff = 61.0 h, p = 0.0142.</w:t>
      </w:r>
    </w:p>
    <w:p w14:paraId="7E296BC1" w14:textId="4135797D" w:rsidR="009E7BD0" w:rsidRPr="009E7BD0" w:rsidRDefault="009E7BD0" w:rsidP="009E7BD0">
      <w:pPr>
        <w:numPr>
          <w:ilvl w:val="0"/>
          <w:numId w:val="13"/>
        </w:numPr>
        <w:rPr>
          <w:lang w:val="en-IE"/>
        </w:rPr>
      </w:pPr>
      <m:oMath>
        <m:sSub>
          <m:sSubPr>
            <m:ctrlPr>
              <w:rPr>
                <w:rFonts w:ascii="Cambria Math" w:hAnsi="Cambria Math"/>
                <w:lang w:val="en-IE"/>
              </w:rPr>
            </m:ctrlPr>
          </m:sSubPr>
          <m:e>
            <m:r>
              <w:rPr>
                <w:rFonts w:ascii="Cambria Math" w:hAnsi="Cambria Math"/>
                <w:lang w:val="en-IE"/>
              </w:rPr>
              <m:t>D</m:t>
            </m:r>
          </m:e>
          <m:sub>
            <m:r>
              <m:rPr>
                <m:nor/>
              </m:rPr>
              <w:rPr>
                <w:lang w:val="en-IE"/>
              </w:rPr>
              <m:t>resid</m:t>
            </m:r>
          </m:sub>
        </m:sSub>
      </m:oMath>
      <w:r w:rsidRPr="009E7BD0">
        <w:rPr>
          <w:b/>
          <w:bCs/>
          <w:lang w:val="en-IE"/>
        </w:rPr>
        <w:t>:</w:t>
      </w:r>
      <w:r w:rsidRPr="009E7BD0">
        <w:rPr>
          <w:lang w:val="en-IE"/>
        </w:rPr>
        <w:t xml:space="preserve"> Optimal cutoff = </w:t>
      </w:r>
      <m:oMath>
        <m:r>
          <w:rPr>
            <w:rFonts w:ascii="Cambria Math" w:hAnsi="Cambria Math"/>
            <w:lang w:val="en-IE"/>
          </w:rPr>
          <m:t>6.26×</m:t>
        </m:r>
        <m:sSup>
          <m:sSupPr>
            <m:ctrlPr>
              <w:rPr>
                <w:rFonts w:ascii="Cambria Math" w:hAnsi="Cambria Math"/>
                <w:lang w:val="en-IE"/>
              </w:rPr>
            </m:ctrlPr>
          </m:sSupPr>
          <m:e>
            <m:r>
              <w:rPr>
                <w:rFonts w:ascii="Cambria Math" w:hAnsi="Cambria Math"/>
                <w:lang w:val="en-IE"/>
              </w:rPr>
              <m:t>10</m:t>
            </m:r>
          </m:e>
          <m:sup>
            <m:r>
              <w:rPr>
                <w:rFonts w:ascii="Cambria Math" w:hAnsi="Cambria Math"/>
                <w:lang w:val="en-IE"/>
              </w:rPr>
              <m:t>-9</m:t>
            </m:r>
          </m:sup>
        </m:sSup>
      </m:oMath>
      <w:r w:rsidRPr="009E7BD0">
        <w:rPr>
          <w:lang w:val="en-IE"/>
        </w:rPr>
        <w:t>, p = 0.0066.</w:t>
      </w:r>
    </w:p>
    <w:p w14:paraId="1617C21A" w14:textId="287A3EF6" w:rsidR="009E7BD0" w:rsidRDefault="009E7BD0" w:rsidP="009E7BD0">
      <w:pPr>
        <w:rPr>
          <w:lang w:val="en-IE"/>
        </w:rPr>
      </w:pPr>
      <w:r w:rsidRPr="009E7BD0">
        <w:rPr>
          <w:lang w:val="en-IE"/>
        </w:rPr>
        <w:t>These results confirm that survival signal exists within each ODE score's distribution, but the clinical effect size is moderate</w:t>
      </w:r>
      <w:r w:rsidR="008B2731">
        <w:rPr>
          <w:lang w:val="en-IE"/>
        </w:rPr>
        <w:t>,</w:t>
      </w:r>
      <w:r w:rsidRPr="009E7BD0">
        <w:rPr>
          <w:lang w:val="en-IE"/>
        </w:rPr>
        <w:t xml:space="preserve"> requiring a data-driven split to achieve significance, rather than emerging from any pre-specified grouping.</w:t>
      </w:r>
    </w:p>
    <w:p w14:paraId="5760AF27" w14:textId="77777777" w:rsidR="004A4FCC" w:rsidRDefault="004A4FCC" w:rsidP="009E7BD0">
      <w:pPr>
        <w:rPr>
          <w:lang w:val="en-IE"/>
        </w:rPr>
      </w:pPr>
    </w:p>
    <w:p w14:paraId="36454241" w14:textId="77777777" w:rsidR="00B958D6" w:rsidRDefault="00B958D6" w:rsidP="00A7382F">
      <w:pPr>
        <w:keepNext/>
        <w:spacing w:after="0" w:line="240" w:lineRule="auto"/>
      </w:pPr>
      <w:r>
        <w:rPr>
          <w:noProof/>
          <w:lang w:val="en-IE"/>
        </w:rPr>
        <w:drawing>
          <wp:inline distT="0" distB="0" distL="0" distR="0" wp14:anchorId="442D4F07" wp14:editId="53CC0AEF">
            <wp:extent cx="5726430" cy="4267200"/>
            <wp:effectExtent l="0" t="0" r="7620" b="0"/>
            <wp:docPr id="2096387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6430" cy="4267200"/>
                    </a:xfrm>
                    <a:prstGeom prst="rect">
                      <a:avLst/>
                    </a:prstGeom>
                    <a:noFill/>
                    <a:ln>
                      <a:noFill/>
                    </a:ln>
                  </pic:spPr>
                </pic:pic>
              </a:graphicData>
            </a:graphic>
          </wp:inline>
        </w:drawing>
      </w:r>
    </w:p>
    <w:p w14:paraId="1CEBB575" w14:textId="548F6D31" w:rsidR="00023E45" w:rsidRPr="00B958D6" w:rsidRDefault="00B958D6" w:rsidP="00B958D6">
      <w:pPr>
        <w:pStyle w:val="Caption"/>
        <w:keepNext/>
        <w:spacing w:after="0"/>
        <w:jc w:val="center"/>
        <w:rPr>
          <w:b/>
          <w:bCs/>
          <w:sz w:val="20"/>
          <w:szCs w:val="20"/>
          <w:lang w:val="en-IE"/>
        </w:rPr>
      </w:pPr>
      <w:r w:rsidRPr="00B958D6">
        <w:rPr>
          <w:b/>
          <w:bCs/>
          <w:sz w:val="20"/>
          <w:szCs w:val="20"/>
        </w:rPr>
        <w:t xml:space="preserve">Figure </w:t>
      </w:r>
      <w:r w:rsidRPr="00B958D6">
        <w:rPr>
          <w:b/>
          <w:bCs/>
          <w:sz w:val="20"/>
          <w:szCs w:val="20"/>
        </w:rPr>
        <w:fldChar w:fldCharType="begin"/>
      </w:r>
      <w:r w:rsidRPr="00B958D6">
        <w:rPr>
          <w:b/>
          <w:bCs/>
          <w:sz w:val="20"/>
          <w:szCs w:val="20"/>
        </w:rPr>
        <w:instrText xml:space="preserve"> SEQ Figure \* ARABIC </w:instrText>
      </w:r>
      <w:r w:rsidRPr="00B958D6">
        <w:rPr>
          <w:b/>
          <w:bCs/>
          <w:sz w:val="20"/>
          <w:szCs w:val="20"/>
        </w:rPr>
        <w:fldChar w:fldCharType="separate"/>
      </w:r>
      <w:r w:rsidR="002E3C47">
        <w:rPr>
          <w:b/>
          <w:bCs/>
          <w:noProof/>
          <w:sz w:val="20"/>
          <w:szCs w:val="20"/>
        </w:rPr>
        <w:t>9</w:t>
      </w:r>
      <w:r w:rsidRPr="00B958D6">
        <w:rPr>
          <w:b/>
          <w:bCs/>
          <w:sz w:val="20"/>
          <w:szCs w:val="20"/>
        </w:rPr>
        <w:fldChar w:fldCharType="end"/>
      </w:r>
      <w:r w:rsidRPr="00B958D6">
        <w:rPr>
          <w:b/>
          <w:bCs/>
          <w:sz w:val="20"/>
          <w:szCs w:val="20"/>
        </w:rPr>
        <w:t>. Kaplan-Meier overall survival (exploratory analysis).</w:t>
      </w:r>
    </w:p>
    <w:p w14:paraId="4EBAA889" w14:textId="7DD1C347" w:rsidR="009E7BD0" w:rsidRPr="00F56305" w:rsidRDefault="001248F9" w:rsidP="00F56305">
      <w:pPr>
        <w:pStyle w:val="FigureCaption"/>
        <w:rPr>
          <w:lang w:val="en-IE"/>
        </w:rPr>
      </w:pPr>
      <w:r w:rsidRPr="001248F9">
        <w:t>2</w:t>
      </w:r>
      <w:r>
        <w:t>x</w:t>
      </w:r>
      <w:r w:rsidRPr="001248F9">
        <w:t>2 grid showing all four ODE scores stratified by data-driven optimal cutpoints. P-values are inflated by post-hoc selection and are not valid for inference.</w:t>
      </w:r>
    </w:p>
    <w:p w14:paraId="6B973531" w14:textId="77777777" w:rsidR="00F31C93" w:rsidRDefault="00F31C93">
      <w:pPr>
        <w:spacing w:after="160" w:line="259" w:lineRule="auto"/>
      </w:pPr>
      <w:r>
        <w:br w:type="page"/>
      </w:r>
    </w:p>
    <w:p w14:paraId="0F4FC533" w14:textId="18D7A8BA" w:rsidR="00F56305" w:rsidRPr="00F56305" w:rsidRDefault="00F56305" w:rsidP="00F56305">
      <w:pPr>
        <w:pStyle w:val="Heading3"/>
      </w:pPr>
      <w:r>
        <w:lastRenderedPageBreak/>
        <w:t xml:space="preserve">3.5.3 </w:t>
      </w:r>
      <w:r w:rsidRPr="00F56305">
        <w:t xml:space="preserve">Stratification </w:t>
      </w:r>
      <w:r>
        <w:t>a</w:t>
      </w:r>
      <w:r w:rsidRPr="00F56305">
        <w:t xml:space="preserve">cross </w:t>
      </w:r>
      <w:r>
        <w:t>a</w:t>
      </w:r>
      <w:r w:rsidRPr="00F56305">
        <w:t xml:space="preserve">ll </w:t>
      </w:r>
      <w:r>
        <w:t>f</w:t>
      </w:r>
      <w:r w:rsidRPr="00F56305">
        <w:t xml:space="preserve">ive </w:t>
      </w:r>
      <w:r>
        <w:t>m</w:t>
      </w:r>
      <w:r w:rsidRPr="00F56305">
        <w:t>odels</w:t>
      </w:r>
    </w:p>
    <w:p w14:paraId="024CE662" w14:textId="08F7CDA0" w:rsidR="00F56305" w:rsidRPr="00122DB4" w:rsidRDefault="00F56305" w:rsidP="00F56305">
      <w:pPr>
        <w:rPr>
          <w:lang w:val="en-IE"/>
        </w:rPr>
      </w:pPr>
      <w:r w:rsidRPr="00122DB4">
        <w:rPr>
          <w:lang w:val="en-IE"/>
        </w:rPr>
        <w:t xml:space="preserve">To directly compare the clinical stratification ability of the mechanistic ODE model against the data-trained ML benchmarks, we stratified patients by median risk score for all five models (Figure 10). Each model's risk scores </w:t>
      </w:r>
      <w:r w:rsidR="003B6ECA" w:rsidRPr="00122DB4">
        <w:rPr>
          <w:lang w:val="en-IE"/>
        </w:rPr>
        <w:t>(</w:t>
      </w:r>
      <w:r w:rsidRPr="00122DB4">
        <w:rPr>
          <w:lang w:val="en-IE"/>
        </w:rPr>
        <w:t xml:space="preserve">the ODE's </w:t>
      </w:r>
      <m:oMath>
        <m:r>
          <w:rPr>
            <w:rFonts w:ascii="Cambria Math" w:hAnsi="Cambria Math"/>
            <w:lang w:val="en-IE"/>
          </w:rPr>
          <m:t>-</m:t>
        </m:r>
        <m:r>
          <m:rPr>
            <m:sty m:val="p"/>
          </m:rPr>
          <w:rPr>
            <w:rFonts w:ascii="Cambria Math" w:hAnsi="Cambria Math"/>
            <w:lang w:val="en-IE"/>
          </w:rPr>
          <m:t>log</m:t>
        </m:r>
        <m:r>
          <w:rPr>
            <w:rFonts w:ascii="Cambria Math" w:hAnsi="Cambria Math"/>
            <w:lang w:val="en-IE"/>
          </w:rPr>
          <m:t>⁡(AU</m:t>
        </m:r>
        <m:sSub>
          <m:sSubPr>
            <m:ctrlPr>
              <w:rPr>
                <w:rFonts w:ascii="Cambria Math" w:hAnsi="Cambria Math"/>
                <w:lang w:val="en-IE"/>
              </w:rPr>
            </m:ctrlPr>
          </m:sSubPr>
          <m:e>
            <m:r>
              <w:rPr>
                <w:rFonts w:ascii="Cambria Math" w:hAnsi="Cambria Math"/>
                <w:lang w:val="en-IE"/>
              </w:rPr>
              <m:t>C</m:t>
            </m:r>
          </m:e>
          <m:sub>
            <m:r>
              <w:rPr>
                <w:rFonts w:ascii="Cambria Math" w:hAnsi="Cambria Math"/>
                <w:lang w:val="en-IE"/>
              </w:rPr>
              <m:t>X</m:t>
            </m:r>
          </m:sub>
        </m:sSub>
        <m:r>
          <w:rPr>
            <w:rFonts w:ascii="Cambria Math" w:hAnsi="Cambria Math"/>
            <w:lang w:val="en-IE"/>
          </w:rPr>
          <m:t xml:space="preserve">) </m:t>
        </m:r>
      </m:oMath>
      <w:r w:rsidRPr="00122DB4">
        <w:rPr>
          <w:lang w:val="en-IE"/>
        </w:rPr>
        <w:t>and the</w:t>
      </w:r>
      <w:r w:rsidR="003B6ECA" w:rsidRPr="00122DB4">
        <w:rPr>
          <w:lang w:val="en-IE"/>
        </w:rPr>
        <w:t xml:space="preserve"> OOF</w:t>
      </w:r>
      <w:r w:rsidRPr="00122DB4">
        <w:rPr>
          <w:lang w:val="en-IE"/>
        </w:rPr>
        <w:t xml:space="preserve"> predictions from the four ML models</w:t>
      </w:r>
      <w:r w:rsidR="003B6ECA" w:rsidRPr="00122DB4">
        <w:rPr>
          <w:lang w:val="en-IE"/>
        </w:rPr>
        <w:t>)</w:t>
      </w:r>
      <w:r w:rsidRPr="00122DB4">
        <w:rPr>
          <w:lang w:val="en-IE"/>
        </w:rPr>
        <w:t xml:space="preserve"> were dichotomised at their respective medians (a pre-specified, non-outcome-adaptive split). The resulting KM curves show how effectively each model separates high-risk from low-risk patients:</w:t>
      </w:r>
    </w:p>
    <w:p w14:paraId="5B2F018F" w14:textId="574C949B" w:rsidR="00F56305" w:rsidRPr="00122DB4" w:rsidRDefault="00F56305" w:rsidP="00122DB4">
      <w:pPr>
        <w:pStyle w:val="ListParagraph"/>
        <w:numPr>
          <w:ilvl w:val="0"/>
          <w:numId w:val="15"/>
        </w:numPr>
        <w:rPr>
          <w:lang w:val="en-IE"/>
        </w:rPr>
      </w:pPr>
      <w:r w:rsidRPr="00122DB4">
        <w:rPr>
          <w:b/>
          <w:bCs/>
          <w:lang w:val="en-IE"/>
        </w:rPr>
        <w:t>HR-DDR ODE</w:t>
      </w:r>
      <w:r w:rsidRPr="00534E3D">
        <w:rPr>
          <w:b/>
          <w:bCs/>
          <w:lang w:val="en-IE"/>
        </w:rPr>
        <w:t xml:space="preserve"> (</w:t>
      </w:r>
      <m:oMath>
        <m:sSub>
          <m:sSubPr>
            <m:ctrlPr>
              <w:rPr>
                <w:rFonts w:ascii="Cambria Math" w:hAnsi="Cambria Math"/>
                <w:b/>
                <w:bCs/>
                <w:iCs/>
                <w:lang w:val="en-IE"/>
              </w:rPr>
            </m:ctrlPr>
          </m:sSubPr>
          <m:e>
            <m:r>
              <m:rPr>
                <m:sty m:val="b"/>
              </m:rPr>
              <w:rPr>
                <w:rFonts w:ascii="Cambria Math" w:hAnsi="Cambria Math"/>
                <w:lang w:val="en-IE"/>
              </w:rPr>
              <m:t>AUC</m:t>
            </m:r>
          </m:e>
          <m:sub>
            <m:r>
              <m:rPr>
                <m:sty m:val="b"/>
              </m:rPr>
              <w:rPr>
                <w:rFonts w:ascii="Cambria Math" w:hAnsi="Cambria Math"/>
                <w:lang w:val="en-IE"/>
              </w:rPr>
              <m:t>X</m:t>
            </m:r>
          </m:sub>
        </m:sSub>
      </m:oMath>
      <w:r w:rsidRPr="00534E3D">
        <w:rPr>
          <w:b/>
          <w:bCs/>
          <w:lang w:val="en-IE"/>
        </w:rPr>
        <w:t xml:space="preserve">): </w:t>
      </w:r>
      <w:r w:rsidRPr="00122DB4">
        <w:rPr>
          <w:lang w:val="en-IE"/>
        </w:rPr>
        <w:t>Achieves significant separation (p = 0.022), with the low-risk group showing a survival advantage of approximately 5 months in median OS over the high-risk group.</w:t>
      </w:r>
    </w:p>
    <w:p w14:paraId="48373D11" w14:textId="2576EB35" w:rsidR="00122DB4" w:rsidRPr="00122DB4" w:rsidRDefault="00122DB4" w:rsidP="00122DB4">
      <w:pPr>
        <w:pStyle w:val="ListParagraph"/>
        <w:numPr>
          <w:ilvl w:val="0"/>
          <w:numId w:val="15"/>
        </w:numPr>
        <w:rPr>
          <w:lang w:val="en-IE"/>
        </w:rPr>
      </w:pPr>
      <w:r w:rsidRPr="00122DB4">
        <w:rPr>
          <w:b/>
          <w:bCs/>
          <w:lang w:val="en-IE"/>
        </w:rPr>
        <w:t>Cox LASSO (14-gene) and RSF (14-gene):</w:t>
      </w:r>
      <w:r w:rsidRPr="00122DB4">
        <w:rPr>
          <w:lang w:val="en-IE"/>
        </w:rPr>
        <w:t xml:space="preserve"> When restricted to the same 14-gene feature set, neither data-trained ML model achieves significant separation at the median split, consistent with their lower C-indices relative to the ODE. </w:t>
      </w:r>
    </w:p>
    <w:p w14:paraId="3EE23A09" w14:textId="078CBFED" w:rsidR="00122DB4" w:rsidRPr="00122DB4" w:rsidRDefault="00122DB4" w:rsidP="00122DB4">
      <w:pPr>
        <w:pStyle w:val="ListParagraph"/>
        <w:numPr>
          <w:ilvl w:val="0"/>
          <w:numId w:val="15"/>
        </w:numPr>
        <w:rPr>
          <w:lang w:val="en-IE"/>
        </w:rPr>
      </w:pPr>
      <w:r w:rsidRPr="00122DB4">
        <w:rPr>
          <w:b/>
          <w:bCs/>
          <w:lang w:val="en-IE"/>
        </w:rPr>
        <w:t>Cox LASSO (all-genes) and RSF (all-genes):</w:t>
      </w:r>
      <w:r w:rsidRPr="00122DB4">
        <w:rPr>
          <w:lang w:val="en-IE"/>
        </w:rPr>
        <w:t xml:space="preserve"> With access to the full transcriptome (27,066 genes), the all-genes models show improved stratification, with the Cox LASSO (all-genes) achieving the clearest separation.</w:t>
      </w:r>
    </w:p>
    <w:p w14:paraId="58E00BE6" w14:textId="128DC0DB" w:rsidR="00122DB4" w:rsidRDefault="00122DB4" w:rsidP="00122DB4">
      <w:pPr>
        <w:rPr>
          <w:lang w:val="en-IE" w:eastAsia="en-IE"/>
        </w:rPr>
      </w:pPr>
      <w:r w:rsidRPr="00122DB4">
        <w:rPr>
          <w:lang w:val="en-IE" w:eastAsia="en-IE"/>
        </w:rPr>
        <w:t xml:space="preserve">This visual comparison reinforces the C-index findings from Section </w:t>
      </w:r>
      <w:r w:rsidR="00A74B0C">
        <w:rPr>
          <w:lang w:val="en-IE" w:eastAsia="en-IE"/>
        </w:rPr>
        <w:t>3</w:t>
      </w:r>
      <w:r w:rsidRPr="00122DB4">
        <w:rPr>
          <w:lang w:val="en-IE" w:eastAsia="en-IE"/>
        </w:rPr>
        <w:t>.</w:t>
      </w:r>
      <w:r w:rsidR="006121D6">
        <w:rPr>
          <w:lang w:val="en-IE" w:eastAsia="en-IE"/>
        </w:rPr>
        <w:t>6</w:t>
      </w:r>
      <w:r w:rsidRPr="00122DB4">
        <w:rPr>
          <w:lang w:val="en-IE" w:eastAsia="en-IE"/>
        </w:rPr>
        <w:t>: the mechanistic ODE model achieves competitive or superior patient stratification compared to data-trained models on the same feature set, despite using no outcome data during model development.</w:t>
      </w:r>
    </w:p>
    <w:p w14:paraId="5328E953" w14:textId="77777777" w:rsidR="004A4FCC" w:rsidRPr="00A84781" w:rsidRDefault="004A4FCC" w:rsidP="004A4FCC">
      <w:pPr>
        <w:pStyle w:val="Heading2"/>
      </w:pPr>
      <w:r>
        <w:t xml:space="preserve">3.6 </w:t>
      </w:r>
      <w:r w:rsidRPr="00A84781">
        <w:t>Model</w:t>
      </w:r>
      <w:r>
        <w:t xml:space="preserve"> c</w:t>
      </w:r>
      <w:r w:rsidRPr="00A84781">
        <w:t>omparison</w:t>
      </w:r>
    </w:p>
    <w:p w14:paraId="638BF3EF" w14:textId="77777777" w:rsidR="004A4FCC" w:rsidRDefault="004A4FCC" w:rsidP="004A4FCC">
      <w:pPr>
        <w:rPr>
          <w:lang w:val="en-IE"/>
        </w:rPr>
      </w:pPr>
      <w:r w:rsidRPr="00A84781">
        <w:rPr>
          <w:lang w:val="en-IE"/>
        </w:rPr>
        <w:t xml:space="preserve">Prognostic discrimination was compared across five models using OOF predictions for the data-trained models and cohort-wide scores for the zero-shot ODE (Table </w:t>
      </w:r>
      <w:r>
        <w:rPr>
          <w:lang w:val="en-IE"/>
        </w:rPr>
        <w:t>3</w:t>
      </w:r>
      <w:r w:rsidRPr="00A84781">
        <w:rPr>
          <w:lang w:val="en-IE"/>
        </w:rPr>
        <w:t>, Figure 11):</w:t>
      </w:r>
    </w:p>
    <w:p w14:paraId="45E09109" w14:textId="77777777" w:rsidR="004A4FCC" w:rsidRDefault="004A4FCC" w:rsidP="00122DB4">
      <w:pPr>
        <w:rPr>
          <w:lang w:val="en-IE" w:eastAsia="en-IE"/>
        </w:rPr>
      </w:pPr>
    </w:p>
    <w:p w14:paraId="1F2318F4" w14:textId="77777777" w:rsidR="00F56305" w:rsidRDefault="00F56305" w:rsidP="00A84781"/>
    <w:p w14:paraId="2529424A" w14:textId="77777777" w:rsidR="004A4FCC" w:rsidRDefault="004A4FCC">
      <w:pPr>
        <w:spacing w:after="160" w:line="259" w:lineRule="auto"/>
        <w:rPr>
          <w:b/>
          <w:bCs/>
          <w:i/>
          <w:iCs/>
          <w:color w:val="0E2841" w:themeColor="text2"/>
          <w:sz w:val="18"/>
          <w:szCs w:val="18"/>
        </w:rPr>
      </w:pPr>
      <w:r>
        <w:rPr>
          <w:b/>
          <w:bCs/>
        </w:rPr>
        <w:br w:type="page"/>
      </w:r>
    </w:p>
    <w:p w14:paraId="44554A31" w14:textId="2BDF00AA" w:rsidR="00111A63" w:rsidRPr="00CC1C53" w:rsidRDefault="00111A63" w:rsidP="00111A63">
      <w:pPr>
        <w:pStyle w:val="Caption"/>
        <w:keepNext/>
        <w:rPr>
          <w:b/>
          <w:bCs/>
        </w:rPr>
      </w:pPr>
      <w:r w:rsidRPr="00CC1C53">
        <w:rPr>
          <w:b/>
          <w:bCs/>
        </w:rPr>
        <w:lastRenderedPageBreak/>
        <w:t xml:space="preserve">Table </w:t>
      </w:r>
      <w:r w:rsidRPr="00CC1C53">
        <w:rPr>
          <w:b/>
          <w:bCs/>
        </w:rPr>
        <w:fldChar w:fldCharType="begin"/>
      </w:r>
      <w:r w:rsidRPr="00CC1C53">
        <w:rPr>
          <w:b/>
          <w:bCs/>
        </w:rPr>
        <w:instrText xml:space="preserve"> SEQ Table \* ARABIC </w:instrText>
      </w:r>
      <w:r w:rsidRPr="00CC1C53">
        <w:rPr>
          <w:b/>
          <w:bCs/>
        </w:rPr>
        <w:fldChar w:fldCharType="separate"/>
      </w:r>
      <w:r w:rsidR="00321648" w:rsidRPr="00CC1C53">
        <w:rPr>
          <w:b/>
          <w:bCs/>
          <w:noProof/>
        </w:rPr>
        <w:t>3</w:t>
      </w:r>
      <w:r w:rsidRPr="00CC1C53">
        <w:rPr>
          <w:b/>
          <w:bCs/>
        </w:rPr>
        <w:fldChar w:fldCharType="end"/>
      </w:r>
      <w:r w:rsidR="00CC1C53" w:rsidRPr="00CC1C53">
        <w:rPr>
          <w:b/>
          <w:bCs/>
        </w:rPr>
        <w:t xml:space="preserve">. </w:t>
      </w:r>
      <w:r w:rsidR="00CC1C53" w:rsidRPr="00CC1C53">
        <w:rPr>
          <w:b/>
          <w:bCs/>
          <w:lang w:val="en-IE"/>
        </w:rPr>
        <w:t>Five-model concordance index comparison: zero-shot mechanistic ODE versus data-trained ML survival models</w:t>
      </w:r>
      <w:r w:rsidR="00CC1C53">
        <w:rPr>
          <w:b/>
          <w:bCs/>
          <w:lang w:val="en-IE"/>
        </w:rPr>
        <w:t>.</w:t>
      </w:r>
      <w:r w:rsidR="00CC1C53">
        <w:rPr>
          <w:b/>
          <w:bCs/>
          <w:lang w:val="en-IE"/>
        </w:rPr>
        <w:br/>
      </w:r>
      <w:r w:rsidR="00CC1C53" w:rsidRPr="00CC1C53">
        <w:rPr>
          <w:lang w:val="en-IE"/>
        </w:rPr>
        <w:t xml:space="preserve">The HR-DDR ODE achieves discrimination (C-index = 0.533) comparable to Cox LASSO and </w:t>
      </w:r>
      <w:r w:rsidR="00CC1C53">
        <w:rPr>
          <w:lang w:val="en-IE"/>
        </w:rPr>
        <w:t>RSF</w:t>
      </w:r>
      <w:r w:rsidR="00CC1C53" w:rsidRPr="00CC1C53">
        <w:rPr>
          <w:lang w:val="en-IE"/>
        </w:rPr>
        <w:t xml:space="preserve"> models trained on the same 14-gene feature set, despite using no outcome data for calibration. Restricting Cox LASSO and RSF to the full transcriptome (27,066 genes) modestly improves discrimination (C-index 0.569 and 0.549 respectively), suggesting the curated 14-gene HR-DDR pathway set does not fully capture the prognostic signal available elsewhere in the transcriptome</w:t>
      </w:r>
      <w:r w:rsidR="00CC1C53">
        <w:rPr>
          <w:lang w:val="en-IE"/>
        </w:rPr>
        <w:t xml:space="preserve">, </w:t>
      </w:r>
      <w:r w:rsidR="00CC1C53" w:rsidRPr="00CC1C53">
        <w:rPr>
          <w:lang w:val="en-IE"/>
        </w:rPr>
        <w:t>though all five models remain in a similar, modest discrimination range (C-index 0.48–0.57) for this cohort.</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556"/>
        <w:gridCol w:w="1862"/>
        <w:gridCol w:w="1256"/>
        <w:gridCol w:w="1701"/>
        <w:gridCol w:w="2645"/>
      </w:tblGrid>
      <w:tr w:rsidR="00111A63" w:rsidRPr="00111A63" w14:paraId="21817328" w14:textId="77777777" w:rsidTr="00CC1C53">
        <w:trPr>
          <w:tblHeader/>
        </w:trPr>
        <w:tc>
          <w:tcPr>
            <w:tcW w:w="863" w:type="pct"/>
            <w:tcBorders>
              <w:top w:val="single" w:sz="2" w:space="0" w:color="E6E6E6"/>
              <w:left w:val="single" w:sz="2" w:space="0" w:color="E6E6E6"/>
              <w:bottom w:val="single" w:sz="4" w:space="0" w:color="auto"/>
              <w:right w:val="single" w:sz="4" w:space="0" w:color="E6E6E6"/>
            </w:tcBorders>
            <w:shd w:val="clear" w:color="auto" w:fill="FFFFFF"/>
            <w:tcMar>
              <w:top w:w="60" w:type="dxa"/>
              <w:left w:w="0" w:type="dxa"/>
              <w:bottom w:w="60" w:type="dxa"/>
              <w:right w:w="150" w:type="dxa"/>
            </w:tcMar>
            <w:vAlign w:val="center"/>
            <w:hideMark/>
          </w:tcPr>
          <w:p w14:paraId="0E68144F" w14:textId="77777777" w:rsidR="00111A63" w:rsidRPr="00111A63" w:rsidRDefault="00111A63" w:rsidP="00AA0318">
            <w:pPr>
              <w:spacing w:after="0" w:line="240" w:lineRule="auto"/>
              <w:rPr>
                <w:b/>
                <w:bCs/>
                <w:lang w:val="en-IE"/>
              </w:rPr>
            </w:pPr>
            <w:r w:rsidRPr="00111A63">
              <w:rPr>
                <w:b/>
                <w:bCs/>
                <w:lang w:val="en-IE"/>
              </w:rPr>
              <w:t>Model</w:t>
            </w:r>
          </w:p>
        </w:tc>
        <w:tc>
          <w:tcPr>
            <w:tcW w:w="1032" w:type="pct"/>
            <w:tcBorders>
              <w:top w:val="single" w:sz="2" w:space="0" w:color="E6E6E6"/>
              <w:left w:val="single" w:sz="4" w:space="0" w:color="E6E6E6"/>
              <w:bottom w:val="single" w:sz="4" w:space="0" w:color="auto"/>
              <w:right w:val="single" w:sz="4" w:space="0" w:color="E6E6E6"/>
            </w:tcBorders>
            <w:shd w:val="clear" w:color="auto" w:fill="FFFFFF"/>
            <w:tcMar>
              <w:top w:w="60" w:type="dxa"/>
              <w:left w:w="150" w:type="dxa"/>
              <w:bottom w:w="60" w:type="dxa"/>
              <w:right w:w="150" w:type="dxa"/>
            </w:tcMar>
            <w:vAlign w:val="center"/>
            <w:hideMark/>
          </w:tcPr>
          <w:p w14:paraId="49DFCB7A" w14:textId="77777777" w:rsidR="00111A63" w:rsidRPr="00111A63" w:rsidRDefault="00111A63" w:rsidP="00AA0318">
            <w:pPr>
              <w:spacing w:after="0" w:line="240" w:lineRule="auto"/>
              <w:rPr>
                <w:b/>
                <w:bCs/>
                <w:lang w:val="en-IE"/>
              </w:rPr>
            </w:pPr>
            <w:r w:rsidRPr="00111A63">
              <w:rPr>
                <w:b/>
                <w:bCs/>
                <w:lang w:val="en-IE"/>
              </w:rPr>
              <w:t>Feature Set</w:t>
            </w:r>
          </w:p>
        </w:tc>
        <w:tc>
          <w:tcPr>
            <w:tcW w:w="696" w:type="pct"/>
            <w:tcBorders>
              <w:top w:val="single" w:sz="2" w:space="0" w:color="E6E6E6"/>
              <w:left w:val="single" w:sz="4" w:space="0" w:color="E6E6E6"/>
              <w:bottom w:val="single" w:sz="4" w:space="0" w:color="auto"/>
              <w:right w:val="single" w:sz="4" w:space="0" w:color="E6E6E6"/>
            </w:tcBorders>
            <w:shd w:val="clear" w:color="auto" w:fill="FFFFFF"/>
            <w:tcMar>
              <w:top w:w="60" w:type="dxa"/>
              <w:left w:w="150" w:type="dxa"/>
              <w:bottom w:w="60" w:type="dxa"/>
              <w:right w:w="150" w:type="dxa"/>
            </w:tcMar>
            <w:vAlign w:val="center"/>
            <w:hideMark/>
          </w:tcPr>
          <w:p w14:paraId="298DEAAD" w14:textId="77777777" w:rsidR="00111A63" w:rsidRPr="00111A63" w:rsidRDefault="00111A63" w:rsidP="00AA0318">
            <w:pPr>
              <w:spacing w:after="0" w:line="240" w:lineRule="auto"/>
              <w:rPr>
                <w:b/>
                <w:bCs/>
                <w:lang w:val="en-IE"/>
              </w:rPr>
            </w:pPr>
            <w:r w:rsidRPr="00111A63">
              <w:rPr>
                <w:b/>
                <w:bCs/>
                <w:lang w:val="en-IE"/>
              </w:rPr>
              <w:t>C-index</w:t>
            </w:r>
          </w:p>
        </w:tc>
        <w:tc>
          <w:tcPr>
            <w:tcW w:w="943" w:type="pct"/>
            <w:tcBorders>
              <w:top w:val="single" w:sz="2" w:space="0" w:color="E6E6E6"/>
              <w:left w:val="single" w:sz="4" w:space="0" w:color="E6E6E6"/>
              <w:bottom w:val="single" w:sz="4" w:space="0" w:color="auto"/>
              <w:right w:val="single" w:sz="4" w:space="0" w:color="E6E6E6"/>
            </w:tcBorders>
            <w:shd w:val="clear" w:color="auto" w:fill="FFFFFF"/>
            <w:tcMar>
              <w:top w:w="60" w:type="dxa"/>
              <w:left w:w="150" w:type="dxa"/>
              <w:bottom w:w="60" w:type="dxa"/>
              <w:right w:w="150" w:type="dxa"/>
            </w:tcMar>
            <w:vAlign w:val="center"/>
            <w:hideMark/>
          </w:tcPr>
          <w:p w14:paraId="4470C324" w14:textId="77777777" w:rsidR="00111A63" w:rsidRPr="00111A63" w:rsidRDefault="00111A63" w:rsidP="00AA0318">
            <w:pPr>
              <w:spacing w:after="0" w:line="240" w:lineRule="auto"/>
              <w:rPr>
                <w:b/>
                <w:bCs/>
                <w:lang w:val="en-IE"/>
              </w:rPr>
            </w:pPr>
            <w:r w:rsidRPr="00111A63">
              <w:rPr>
                <w:b/>
                <w:bCs/>
                <w:lang w:val="en-IE"/>
              </w:rPr>
              <w:t>95% Bootstrap CI</w:t>
            </w:r>
          </w:p>
        </w:tc>
        <w:tc>
          <w:tcPr>
            <w:tcW w:w="1466" w:type="pct"/>
            <w:tcBorders>
              <w:top w:val="single" w:sz="2" w:space="0" w:color="E6E6E6"/>
              <w:left w:val="single" w:sz="4" w:space="0" w:color="E6E6E6"/>
              <w:bottom w:val="single" w:sz="4" w:space="0" w:color="auto"/>
              <w:right w:val="single" w:sz="2" w:space="0" w:color="E6E6E6"/>
            </w:tcBorders>
            <w:shd w:val="clear" w:color="auto" w:fill="FFFFFF"/>
            <w:tcMar>
              <w:top w:w="60" w:type="dxa"/>
              <w:left w:w="150" w:type="dxa"/>
              <w:bottom w:w="60" w:type="dxa"/>
              <w:right w:w="0" w:type="dxa"/>
            </w:tcMar>
            <w:vAlign w:val="center"/>
            <w:hideMark/>
          </w:tcPr>
          <w:p w14:paraId="34FB232E" w14:textId="77777777" w:rsidR="00111A63" w:rsidRPr="00111A63" w:rsidRDefault="00111A63" w:rsidP="00AA0318">
            <w:pPr>
              <w:spacing w:after="0" w:line="240" w:lineRule="auto"/>
              <w:rPr>
                <w:b/>
                <w:bCs/>
                <w:lang w:val="en-IE"/>
              </w:rPr>
            </w:pPr>
            <w:r w:rsidRPr="00111A63">
              <w:rPr>
                <w:b/>
                <w:bCs/>
                <w:lang w:val="en-IE"/>
              </w:rPr>
              <w:t>Notes</w:t>
            </w:r>
          </w:p>
        </w:tc>
      </w:tr>
      <w:tr w:rsidR="00111A63" w:rsidRPr="00111A63" w14:paraId="2FEF5E5A" w14:textId="77777777" w:rsidTr="00CC1C53">
        <w:tc>
          <w:tcPr>
            <w:tcW w:w="863" w:type="pct"/>
            <w:tcBorders>
              <w:top w:val="single" w:sz="4" w:space="0" w:color="auto"/>
              <w:left w:val="single" w:sz="2" w:space="0" w:color="E6E6E6"/>
              <w:bottom w:val="single" w:sz="4" w:space="0" w:color="E6E6E6"/>
              <w:right w:val="single" w:sz="4" w:space="0" w:color="E6E6E6"/>
            </w:tcBorders>
            <w:shd w:val="clear" w:color="auto" w:fill="FFFFFF"/>
            <w:tcMar>
              <w:top w:w="60" w:type="dxa"/>
              <w:left w:w="0" w:type="dxa"/>
              <w:bottom w:w="60" w:type="dxa"/>
              <w:right w:w="150" w:type="dxa"/>
            </w:tcMar>
            <w:hideMark/>
          </w:tcPr>
          <w:p w14:paraId="7E2B7808" w14:textId="7601A16B" w:rsidR="00111A63" w:rsidRPr="00CC1C53" w:rsidRDefault="00111A63" w:rsidP="00AA0318">
            <w:pPr>
              <w:spacing w:after="0" w:line="240" w:lineRule="auto"/>
              <w:rPr>
                <w:lang w:val="en-IE"/>
              </w:rPr>
            </w:pPr>
            <w:r w:rsidRPr="00CC1C53">
              <w:rPr>
                <w:lang w:val="en-IE"/>
              </w:rPr>
              <w:t>HR-DDR ODE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w:r w:rsidRPr="00CC1C53">
              <w:rPr>
                <w:lang w:val="en-IE"/>
              </w:rPr>
              <w:t>)</w:t>
            </w:r>
          </w:p>
        </w:tc>
        <w:tc>
          <w:tcPr>
            <w:tcW w:w="1032" w:type="pct"/>
            <w:tcBorders>
              <w:top w:val="single" w:sz="4" w:space="0" w:color="auto"/>
              <w:left w:val="single" w:sz="4" w:space="0" w:color="E6E6E6"/>
              <w:bottom w:val="single" w:sz="4" w:space="0" w:color="E6E6E6"/>
              <w:right w:val="single" w:sz="4" w:space="0" w:color="E6E6E6"/>
            </w:tcBorders>
            <w:shd w:val="clear" w:color="auto" w:fill="FFFFFF"/>
            <w:tcMar>
              <w:top w:w="60" w:type="dxa"/>
              <w:left w:w="150" w:type="dxa"/>
              <w:bottom w:w="60" w:type="dxa"/>
              <w:right w:w="150" w:type="dxa"/>
            </w:tcMar>
            <w:hideMark/>
          </w:tcPr>
          <w:p w14:paraId="64A8B514" w14:textId="397A2465" w:rsidR="00111A63" w:rsidRPr="00111A63" w:rsidRDefault="00111A63" w:rsidP="00AA0318">
            <w:pPr>
              <w:spacing w:after="0" w:line="240" w:lineRule="auto"/>
              <w:rPr>
                <w:lang w:val="en-IE"/>
              </w:rPr>
            </w:pPr>
            <w:r w:rsidRPr="00111A63">
              <w:rPr>
                <w:lang w:val="en-IE"/>
              </w:rPr>
              <w:t>14</w:t>
            </w:r>
            <w:r w:rsidR="00CC1C53">
              <w:rPr>
                <w:lang w:val="en-IE"/>
              </w:rPr>
              <w:t xml:space="preserve"> </w:t>
            </w:r>
            <w:r w:rsidRPr="00111A63">
              <w:rPr>
                <w:lang w:val="en-IE"/>
              </w:rPr>
              <w:t>genes</w:t>
            </w:r>
            <w:r w:rsidR="00CC1C53">
              <w:rPr>
                <w:lang w:val="en-IE"/>
              </w:rPr>
              <w:t xml:space="preserve"> </w:t>
            </w:r>
            <w:r>
              <w:rPr>
                <w:lang w:val="en-IE"/>
              </w:rPr>
              <w:t>(</w:t>
            </w:r>
            <w:r w:rsidRPr="00111A63">
              <w:rPr>
                <w:lang w:val="en-IE"/>
              </w:rPr>
              <w:t>ODE</w:t>
            </w:r>
            <w:r>
              <w:rPr>
                <w:lang w:val="en-IE"/>
              </w:rPr>
              <w:t>)</w:t>
            </w:r>
          </w:p>
        </w:tc>
        <w:tc>
          <w:tcPr>
            <w:tcW w:w="696" w:type="pct"/>
            <w:tcBorders>
              <w:top w:val="single" w:sz="4" w:space="0" w:color="auto"/>
              <w:left w:val="single" w:sz="4" w:space="0" w:color="E6E6E6"/>
              <w:bottom w:val="single" w:sz="4" w:space="0" w:color="E6E6E6"/>
              <w:right w:val="single" w:sz="4" w:space="0" w:color="E6E6E6"/>
            </w:tcBorders>
            <w:shd w:val="clear" w:color="auto" w:fill="FFFFFF"/>
            <w:tcMar>
              <w:top w:w="60" w:type="dxa"/>
              <w:left w:w="150" w:type="dxa"/>
              <w:bottom w:w="60" w:type="dxa"/>
              <w:right w:w="150" w:type="dxa"/>
            </w:tcMar>
            <w:hideMark/>
          </w:tcPr>
          <w:p w14:paraId="3737A8F1" w14:textId="77777777" w:rsidR="00111A63" w:rsidRPr="00CC1C53" w:rsidRDefault="00111A63" w:rsidP="00AA0318">
            <w:pPr>
              <w:spacing w:after="0" w:line="240" w:lineRule="auto"/>
              <w:rPr>
                <w:lang w:val="en-IE"/>
              </w:rPr>
            </w:pPr>
            <w:r w:rsidRPr="00CC1C53">
              <w:rPr>
                <w:lang w:val="en-IE"/>
              </w:rPr>
              <w:t>0.533</w:t>
            </w:r>
          </w:p>
        </w:tc>
        <w:tc>
          <w:tcPr>
            <w:tcW w:w="943" w:type="pct"/>
            <w:tcBorders>
              <w:top w:val="single" w:sz="4" w:space="0" w:color="auto"/>
              <w:left w:val="single" w:sz="4" w:space="0" w:color="E6E6E6"/>
              <w:bottom w:val="single" w:sz="4" w:space="0" w:color="E6E6E6"/>
              <w:right w:val="single" w:sz="4" w:space="0" w:color="E6E6E6"/>
            </w:tcBorders>
            <w:shd w:val="clear" w:color="auto" w:fill="FFFFFF"/>
            <w:tcMar>
              <w:top w:w="60" w:type="dxa"/>
              <w:left w:w="150" w:type="dxa"/>
              <w:bottom w:w="60" w:type="dxa"/>
              <w:right w:w="150" w:type="dxa"/>
            </w:tcMar>
            <w:hideMark/>
          </w:tcPr>
          <w:p w14:paraId="6D58F5DF" w14:textId="77777777" w:rsidR="00111A63" w:rsidRPr="00111A63" w:rsidRDefault="00111A63" w:rsidP="00AA0318">
            <w:pPr>
              <w:spacing w:after="0" w:line="240" w:lineRule="auto"/>
              <w:rPr>
                <w:lang w:val="en-IE"/>
              </w:rPr>
            </w:pPr>
            <w:r w:rsidRPr="00111A63">
              <w:rPr>
                <w:lang w:val="en-IE"/>
              </w:rPr>
              <w:t>[0.495, 0.574]</w:t>
            </w:r>
          </w:p>
        </w:tc>
        <w:tc>
          <w:tcPr>
            <w:tcW w:w="1466" w:type="pct"/>
            <w:tcBorders>
              <w:top w:val="single" w:sz="4" w:space="0" w:color="auto"/>
              <w:left w:val="single" w:sz="4" w:space="0" w:color="E6E6E6"/>
              <w:bottom w:val="single" w:sz="4" w:space="0" w:color="E6E6E6"/>
              <w:right w:val="single" w:sz="2" w:space="0" w:color="E6E6E6"/>
            </w:tcBorders>
            <w:shd w:val="clear" w:color="auto" w:fill="FFFFFF"/>
            <w:tcMar>
              <w:top w:w="60" w:type="dxa"/>
              <w:left w:w="150" w:type="dxa"/>
              <w:bottom w:w="60" w:type="dxa"/>
              <w:right w:w="0" w:type="dxa"/>
            </w:tcMar>
            <w:hideMark/>
          </w:tcPr>
          <w:p w14:paraId="08DD616E" w14:textId="77777777" w:rsidR="00111A63" w:rsidRPr="00111A63" w:rsidRDefault="00111A63" w:rsidP="00AA0318">
            <w:pPr>
              <w:spacing w:after="0" w:line="240" w:lineRule="auto"/>
              <w:rPr>
                <w:lang w:val="en-IE"/>
              </w:rPr>
            </w:pPr>
            <w:r w:rsidRPr="00111A63">
              <w:rPr>
                <w:lang w:val="en-IE"/>
              </w:rPr>
              <w:t>Zero-shot, literature-informed parameters</w:t>
            </w:r>
          </w:p>
        </w:tc>
      </w:tr>
      <w:tr w:rsidR="00111A63" w:rsidRPr="00111A63" w14:paraId="1542824C" w14:textId="77777777" w:rsidTr="00CC1C53">
        <w:tc>
          <w:tcPr>
            <w:tcW w:w="863" w:type="pct"/>
            <w:tcBorders>
              <w:top w:val="single" w:sz="4" w:space="0" w:color="E6E6E6"/>
              <w:left w:val="single" w:sz="2" w:space="0" w:color="E6E6E6"/>
              <w:bottom w:val="single" w:sz="4" w:space="0" w:color="E6E6E6"/>
              <w:right w:val="single" w:sz="4" w:space="0" w:color="E6E6E6"/>
            </w:tcBorders>
            <w:shd w:val="clear" w:color="auto" w:fill="FFFFFF"/>
            <w:tcMar>
              <w:top w:w="60" w:type="dxa"/>
              <w:left w:w="0" w:type="dxa"/>
              <w:bottom w:w="60" w:type="dxa"/>
              <w:right w:w="150" w:type="dxa"/>
            </w:tcMar>
            <w:hideMark/>
          </w:tcPr>
          <w:p w14:paraId="0D036EAD" w14:textId="77777777" w:rsidR="00111A63" w:rsidRPr="00CC1C53" w:rsidRDefault="00111A63" w:rsidP="00AA0318">
            <w:pPr>
              <w:spacing w:after="0" w:line="240" w:lineRule="auto"/>
              <w:rPr>
                <w:lang w:val="en-IE"/>
              </w:rPr>
            </w:pPr>
            <w:r w:rsidRPr="00CC1C53">
              <w:rPr>
                <w:lang w:val="en-IE"/>
              </w:rPr>
              <w:t>Cox LASSO (14-gene)</w:t>
            </w:r>
          </w:p>
        </w:tc>
        <w:tc>
          <w:tcPr>
            <w:tcW w:w="1032" w:type="pct"/>
            <w:tcBorders>
              <w:top w:val="single" w:sz="4" w:space="0" w:color="E6E6E6"/>
              <w:left w:val="single" w:sz="4" w:space="0" w:color="E6E6E6"/>
              <w:bottom w:val="single" w:sz="4" w:space="0" w:color="E6E6E6"/>
              <w:right w:val="single" w:sz="4" w:space="0" w:color="E6E6E6"/>
            </w:tcBorders>
            <w:shd w:val="clear" w:color="auto" w:fill="FFFFFF"/>
            <w:tcMar>
              <w:top w:w="60" w:type="dxa"/>
              <w:left w:w="150" w:type="dxa"/>
              <w:bottom w:w="60" w:type="dxa"/>
              <w:right w:w="150" w:type="dxa"/>
            </w:tcMar>
            <w:hideMark/>
          </w:tcPr>
          <w:p w14:paraId="57B99D5E" w14:textId="77777777" w:rsidR="00111A63" w:rsidRPr="00111A63" w:rsidRDefault="00111A63" w:rsidP="00AA0318">
            <w:pPr>
              <w:spacing w:after="0" w:line="240" w:lineRule="auto"/>
              <w:rPr>
                <w:lang w:val="en-IE"/>
              </w:rPr>
            </w:pPr>
            <w:r w:rsidRPr="00111A63">
              <w:rPr>
                <w:lang w:val="en-IE"/>
              </w:rPr>
              <w:t>14 genes (raw)</w:t>
            </w:r>
          </w:p>
        </w:tc>
        <w:tc>
          <w:tcPr>
            <w:tcW w:w="696" w:type="pct"/>
            <w:tcBorders>
              <w:top w:val="single" w:sz="4" w:space="0" w:color="E6E6E6"/>
              <w:left w:val="single" w:sz="4" w:space="0" w:color="E6E6E6"/>
              <w:bottom w:val="single" w:sz="4" w:space="0" w:color="E6E6E6"/>
              <w:right w:val="single" w:sz="4" w:space="0" w:color="E6E6E6"/>
            </w:tcBorders>
            <w:shd w:val="clear" w:color="auto" w:fill="FFFFFF"/>
            <w:tcMar>
              <w:top w:w="60" w:type="dxa"/>
              <w:left w:w="150" w:type="dxa"/>
              <w:bottom w:w="60" w:type="dxa"/>
              <w:right w:w="150" w:type="dxa"/>
            </w:tcMar>
            <w:hideMark/>
          </w:tcPr>
          <w:p w14:paraId="06D6F3AC" w14:textId="77777777" w:rsidR="00111A63" w:rsidRPr="00CC1C53" w:rsidRDefault="00111A63" w:rsidP="00AA0318">
            <w:pPr>
              <w:spacing w:after="0" w:line="240" w:lineRule="auto"/>
              <w:rPr>
                <w:lang w:val="en-IE"/>
              </w:rPr>
            </w:pPr>
            <w:r w:rsidRPr="00CC1C53">
              <w:rPr>
                <w:lang w:val="en-IE"/>
              </w:rPr>
              <w:t>0.504</w:t>
            </w:r>
          </w:p>
        </w:tc>
        <w:tc>
          <w:tcPr>
            <w:tcW w:w="943" w:type="pct"/>
            <w:tcBorders>
              <w:top w:val="single" w:sz="4" w:space="0" w:color="E6E6E6"/>
              <w:left w:val="single" w:sz="4" w:space="0" w:color="E6E6E6"/>
              <w:bottom w:val="single" w:sz="4" w:space="0" w:color="E6E6E6"/>
              <w:right w:val="single" w:sz="4" w:space="0" w:color="E6E6E6"/>
            </w:tcBorders>
            <w:shd w:val="clear" w:color="auto" w:fill="FFFFFF"/>
            <w:tcMar>
              <w:top w:w="60" w:type="dxa"/>
              <w:left w:w="150" w:type="dxa"/>
              <w:bottom w:w="60" w:type="dxa"/>
              <w:right w:w="150" w:type="dxa"/>
            </w:tcMar>
            <w:hideMark/>
          </w:tcPr>
          <w:p w14:paraId="7F4EBCC3" w14:textId="77777777" w:rsidR="00111A63" w:rsidRPr="00111A63" w:rsidRDefault="00111A63" w:rsidP="00AA0318">
            <w:pPr>
              <w:spacing w:after="0" w:line="240" w:lineRule="auto"/>
              <w:rPr>
                <w:lang w:val="en-IE"/>
              </w:rPr>
            </w:pPr>
            <w:r w:rsidRPr="00111A63">
              <w:rPr>
                <w:lang w:val="en-IE"/>
              </w:rPr>
              <w:t>[0.468, 0.548]</w:t>
            </w:r>
          </w:p>
        </w:tc>
        <w:tc>
          <w:tcPr>
            <w:tcW w:w="1466" w:type="pct"/>
            <w:tcBorders>
              <w:top w:val="single" w:sz="4" w:space="0" w:color="E6E6E6"/>
              <w:left w:val="single" w:sz="4" w:space="0" w:color="E6E6E6"/>
              <w:bottom w:val="single" w:sz="4" w:space="0" w:color="E6E6E6"/>
              <w:right w:val="single" w:sz="2" w:space="0" w:color="E6E6E6"/>
            </w:tcBorders>
            <w:shd w:val="clear" w:color="auto" w:fill="FFFFFF"/>
            <w:tcMar>
              <w:top w:w="60" w:type="dxa"/>
              <w:left w:w="150" w:type="dxa"/>
              <w:bottom w:w="60" w:type="dxa"/>
              <w:right w:w="0" w:type="dxa"/>
            </w:tcMar>
            <w:hideMark/>
          </w:tcPr>
          <w:p w14:paraId="0AAC7649" w14:textId="77777777" w:rsidR="00111A63" w:rsidRPr="00111A63" w:rsidRDefault="00111A63" w:rsidP="00AA0318">
            <w:pPr>
              <w:spacing w:after="0" w:line="240" w:lineRule="auto"/>
              <w:rPr>
                <w:lang w:val="en-IE"/>
              </w:rPr>
            </w:pPr>
            <w:r w:rsidRPr="00111A63">
              <w:rPr>
                <w:lang w:val="en-IE"/>
              </w:rPr>
              <w:t>5-fold CV, alpha via inner CV</w:t>
            </w:r>
          </w:p>
        </w:tc>
      </w:tr>
      <w:tr w:rsidR="00111A63" w:rsidRPr="00111A63" w14:paraId="72BEEAEA" w14:textId="77777777" w:rsidTr="00CC1C53">
        <w:tc>
          <w:tcPr>
            <w:tcW w:w="863" w:type="pct"/>
            <w:tcBorders>
              <w:top w:val="single" w:sz="4" w:space="0" w:color="E6E6E6"/>
              <w:left w:val="single" w:sz="2" w:space="0" w:color="E6E6E6"/>
              <w:bottom w:val="single" w:sz="4" w:space="0" w:color="E6E6E6"/>
              <w:right w:val="single" w:sz="4" w:space="0" w:color="E6E6E6"/>
            </w:tcBorders>
            <w:shd w:val="clear" w:color="auto" w:fill="FFFFFF"/>
            <w:tcMar>
              <w:top w:w="60" w:type="dxa"/>
              <w:left w:w="0" w:type="dxa"/>
              <w:bottom w:w="60" w:type="dxa"/>
              <w:right w:w="150" w:type="dxa"/>
            </w:tcMar>
            <w:hideMark/>
          </w:tcPr>
          <w:p w14:paraId="338D64CB" w14:textId="77777777" w:rsidR="00111A63" w:rsidRPr="00CC1C53" w:rsidRDefault="00111A63" w:rsidP="00AA0318">
            <w:pPr>
              <w:spacing w:after="0" w:line="240" w:lineRule="auto"/>
              <w:rPr>
                <w:lang w:val="en-IE"/>
              </w:rPr>
            </w:pPr>
            <w:r w:rsidRPr="00CC1C53">
              <w:rPr>
                <w:lang w:val="en-IE"/>
              </w:rPr>
              <w:t>RSF (14-gene)</w:t>
            </w:r>
          </w:p>
        </w:tc>
        <w:tc>
          <w:tcPr>
            <w:tcW w:w="1032" w:type="pct"/>
            <w:tcBorders>
              <w:top w:val="single" w:sz="4" w:space="0" w:color="E6E6E6"/>
              <w:left w:val="single" w:sz="4" w:space="0" w:color="E6E6E6"/>
              <w:bottom w:val="single" w:sz="4" w:space="0" w:color="E6E6E6"/>
              <w:right w:val="single" w:sz="4" w:space="0" w:color="E6E6E6"/>
            </w:tcBorders>
            <w:shd w:val="clear" w:color="auto" w:fill="FFFFFF"/>
            <w:tcMar>
              <w:top w:w="60" w:type="dxa"/>
              <w:left w:w="150" w:type="dxa"/>
              <w:bottom w:w="60" w:type="dxa"/>
              <w:right w:w="150" w:type="dxa"/>
            </w:tcMar>
            <w:hideMark/>
          </w:tcPr>
          <w:p w14:paraId="526088A7" w14:textId="77777777" w:rsidR="00111A63" w:rsidRPr="00111A63" w:rsidRDefault="00111A63" w:rsidP="00AA0318">
            <w:pPr>
              <w:spacing w:after="0" w:line="240" w:lineRule="auto"/>
              <w:rPr>
                <w:lang w:val="en-IE"/>
              </w:rPr>
            </w:pPr>
            <w:r w:rsidRPr="00111A63">
              <w:rPr>
                <w:lang w:val="en-IE"/>
              </w:rPr>
              <w:t>14 genes (raw)</w:t>
            </w:r>
          </w:p>
        </w:tc>
        <w:tc>
          <w:tcPr>
            <w:tcW w:w="696" w:type="pct"/>
            <w:tcBorders>
              <w:top w:val="single" w:sz="4" w:space="0" w:color="E6E6E6"/>
              <w:left w:val="single" w:sz="4" w:space="0" w:color="E6E6E6"/>
              <w:bottom w:val="single" w:sz="4" w:space="0" w:color="E6E6E6"/>
              <w:right w:val="single" w:sz="4" w:space="0" w:color="E6E6E6"/>
            </w:tcBorders>
            <w:shd w:val="clear" w:color="auto" w:fill="FFFFFF"/>
            <w:tcMar>
              <w:top w:w="60" w:type="dxa"/>
              <w:left w:w="150" w:type="dxa"/>
              <w:bottom w:w="60" w:type="dxa"/>
              <w:right w:w="150" w:type="dxa"/>
            </w:tcMar>
            <w:hideMark/>
          </w:tcPr>
          <w:p w14:paraId="5C673E64" w14:textId="77777777" w:rsidR="00111A63" w:rsidRPr="00CC1C53" w:rsidRDefault="00111A63" w:rsidP="00AA0318">
            <w:pPr>
              <w:spacing w:after="0" w:line="240" w:lineRule="auto"/>
              <w:rPr>
                <w:lang w:val="en-IE"/>
              </w:rPr>
            </w:pPr>
            <w:r w:rsidRPr="00CC1C53">
              <w:rPr>
                <w:lang w:val="en-IE"/>
              </w:rPr>
              <w:t>0.480</w:t>
            </w:r>
          </w:p>
        </w:tc>
        <w:tc>
          <w:tcPr>
            <w:tcW w:w="943" w:type="pct"/>
            <w:tcBorders>
              <w:top w:val="single" w:sz="4" w:space="0" w:color="E6E6E6"/>
              <w:left w:val="single" w:sz="4" w:space="0" w:color="E6E6E6"/>
              <w:bottom w:val="single" w:sz="4" w:space="0" w:color="E6E6E6"/>
              <w:right w:val="single" w:sz="4" w:space="0" w:color="E6E6E6"/>
            </w:tcBorders>
            <w:shd w:val="clear" w:color="auto" w:fill="FFFFFF"/>
            <w:tcMar>
              <w:top w:w="60" w:type="dxa"/>
              <w:left w:w="150" w:type="dxa"/>
              <w:bottom w:w="60" w:type="dxa"/>
              <w:right w:w="150" w:type="dxa"/>
            </w:tcMar>
            <w:hideMark/>
          </w:tcPr>
          <w:p w14:paraId="7FD1665B" w14:textId="77777777" w:rsidR="00111A63" w:rsidRPr="00111A63" w:rsidRDefault="00111A63" w:rsidP="00AA0318">
            <w:pPr>
              <w:spacing w:after="0" w:line="240" w:lineRule="auto"/>
              <w:rPr>
                <w:lang w:val="en-IE"/>
              </w:rPr>
            </w:pPr>
            <w:r w:rsidRPr="00111A63">
              <w:rPr>
                <w:lang w:val="en-IE"/>
              </w:rPr>
              <w:t>[0.472, 0.551]</w:t>
            </w:r>
          </w:p>
        </w:tc>
        <w:tc>
          <w:tcPr>
            <w:tcW w:w="1466" w:type="pct"/>
            <w:tcBorders>
              <w:top w:val="single" w:sz="4" w:space="0" w:color="E6E6E6"/>
              <w:left w:val="single" w:sz="4" w:space="0" w:color="E6E6E6"/>
              <w:bottom w:val="single" w:sz="4" w:space="0" w:color="E6E6E6"/>
              <w:right w:val="single" w:sz="2" w:space="0" w:color="E6E6E6"/>
            </w:tcBorders>
            <w:shd w:val="clear" w:color="auto" w:fill="FFFFFF"/>
            <w:tcMar>
              <w:top w:w="60" w:type="dxa"/>
              <w:left w:w="150" w:type="dxa"/>
              <w:bottom w:w="60" w:type="dxa"/>
              <w:right w:w="0" w:type="dxa"/>
            </w:tcMar>
            <w:hideMark/>
          </w:tcPr>
          <w:p w14:paraId="1F509DB5" w14:textId="77777777" w:rsidR="00111A63" w:rsidRPr="00111A63" w:rsidRDefault="00111A63" w:rsidP="00AA0318">
            <w:pPr>
              <w:spacing w:after="0" w:line="240" w:lineRule="auto"/>
              <w:rPr>
                <w:lang w:val="en-IE"/>
              </w:rPr>
            </w:pPr>
            <w:r w:rsidRPr="00111A63">
              <w:rPr>
                <w:lang w:val="en-IE"/>
              </w:rPr>
              <w:t>5-fold CV, random forest ensemble</w:t>
            </w:r>
          </w:p>
        </w:tc>
      </w:tr>
      <w:tr w:rsidR="00111A63" w:rsidRPr="00111A63" w14:paraId="2B3526E4" w14:textId="77777777" w:rsidTr="00CC1C53">
        <w:tc>
          <w:tcPr>
            <w:tcW w:w="863" w:type="pct"/>
            <w:tcBorders>
              <w:top w:val="single" w:sz="4" w:space="0" w:color="E6E6E6"/>
              <w:left w:val="single" w:sz="2" w:space="0" w:color="E6E6E6"/>
              <w:bottom w:val="single" w:sz="4" w:space="0" w:color="E6E6E6"/>
              <w:right w:val="single" w:sz="4" w:space="0" w:color="E6E6E6"/>
            </w:tcBorders>
            <w:shd w:val="clear" w:color="auto" w:fill="FFFFFF"/>
            <w:tcMar>
              <w:top w:w="60" w:type="dxa"/>
              <w:left w:w="0" w:type="dxa"/>
              <w:bottom w:w="60" w:type="dxa"/>
              <w:right w:w="150" w:type="dxa"/>
            </w:tcMar>
            <w:hideMark/>
          </w:tcPr>
          <w:p w14:paraId="2146FBC3" w14:textId="77777777" w:rsidR="00111A63" w:rsidRPr="00CC1C53" w:rsidRDefault="00111A63" w:rsidP="00AA0318">
            <w:pPr>
              <w:spacing w:after="0" w:line="240" w:lineRule="auto"/>
              <w:rPr>
                <w:lang w:val="en-IE"/>
              </w:rPr>
            </w:pPr>
            <w:r w:rsidRPr="00CC1C53">
              <w:rPr>
                <w:lang w:val="en-IE"/>
              </w:rPr>
              <w:t>Cox LASSO (all-genes)</w:t>
            </w:r>
          </w:p>
        </w:tc>
        <w:tc>
          <w:tcPr>
            <w:tcW w:w="1032" w:type="pct"/>
            <w:tcBorders>
              <w:top w:val="single" w:sz="4" w:space="0" w:color="E6E6E6"/>
              <w:left w:val="single" w:sz="4" w:space="0" w:color="E6E6E6"/>
              <w:bottom w:val="single" w:sz="4" w:space="0" w:color="E6E6E6"/>
              <w:right w:val="single" w:sz="4" w:space="0" w:color="E6E6E6"/>
            </w:tcBorders>
            <w:shd w:val="clear" w:color="auto" w:fill="FFFFFF"/>
            <w:tcMar>
              <w:top w:w="60" w:type="dxa"/>
              <w:left w:w="150" w:type="dxa"/>
              <w:bottom w:w="60" w:type="dxa"/>
              <w:right w:w="150" w:type="dxa"/>
            </w:tcMar>
            <w:hideMark/>
          </w:tcPr>
          <w:p w14:paraId="3B3518EB" w14:textId="77777777" w:rsidR="00111A63" w:rsidRPr="00111A63" w:rsidRDefault="00111A63" w:rsidP="00AA0318">
            <w:pPr>
              <w:spacing w:after="0" w:line="240" w:lineRule="auto"/>
              <w:rPr>
                <w:lang w:val="en-IE"/>
              </w:rPr>
            </w:pPr>
            <w:r w:rsidRPr="00111A63">
              <w:rPr>
                <w:lang w:val="en-IE"/>
              </w:rPr>
              <w:t>27,066 genes (raw)</w:t>
            </w:r>
          </w:p>
        </w:tc>
        <w:tc>
          <w:tcPr>
            <w:tcW w:w="696" w:type="pct"/>
            <w:tcBorders>
              <w:top w:val="single" w:sz="4" w:space="0" w:color="E6E6E6"/>
              <w:left w:val="single" w:sz="4" w:space="0" w:color="E6E6E6"/>
              <w:bottom w:val="single" w:sz="4" w:space="0" w:color="E6E6E6"/>
              <w:right w:val="single" w:sz="4" w:space="0" w:color="E6E6E6"/>
            </w:tcBorders>
            <w:shd w:val="clear" w:color="auto" w:fill="FFFFFF"/>
            <w:tcMar>
              <w:top w:w="60" w:type="dxa"/>
              <w:left w:w="150" w:type="dxa"/>
              <w:bottom w:w="60" w:type="dxa"/>
              <w:right w:w="150" w:type="dxa"/>
            </w:tcMar>
            <w:hideMark/>
          </w:tcPr>
          <w:p w14:paraId="7F09C83C" w14:textId="77777777" w:rsidR="00111A63" w:rsidRPr="00CC1C53" w:rsidRDefault="00111A63" w:rsidP="00AA0318">
            <w:pPr>
              <w:spacing w:after="0" w:line="240" w:lineRule="auto"/>
              <w:rPr>
                <w:lang w:val="en-IE"/>
              </w:rPr>
            </w:pPr>
            <w:r w:rsidRPr="00CC1C53">
              <w:rPr>
                <w:lang w:val="en-IE"/>
              </w:rPr>
              <w:t>0.569</w:t>
            </w:r>
          </w:p>
        </w:tc>
        <w:tc>
          <w:tcPr>
            <w:tcW w:w="943" w:type="pct"/>
            <w:tcBorders>
              <w:top w:val="single" w:sz="4" w:space="0" w:color="E6E6E6"/>
              <w:left w:val="single" w:sz="4" w:space="0" w:color="E6E6E6"/>
              <w:bottom w:val="single" w:sz="4" w:space="0" w:color="E6E6E6"/>
              <w:right w:val="single" w:sz="4" w:space="0" w:color="E6E6E6"/>
            </w:tcBorders>
            <w:shd w:val="clear" w:color="auto" w:fill="FFFFFF"/>
            <w:tcMar>
              <w:top w:w="60" w:type="dxa"/>
              <w:left w:w="150" w:type="dxa"/>
              <w:bottom w:w="60" w:type="dxa"/>
              <w:right w:w="150" w:type="dxa"/>
            </w:tcMar>
            <w:hideMark/>
          </w:tcPr>
          <w:p w14:paraId="35538FF9" w14:textId="77777777" w:rsidR="00111A63" w:rsidRPr="00111A63" w:rsidRDefault="00111A63" w:rsidP="00AA0318">
            <w:pPr>
              <w:spacing w:after="0" w:line="240" w:lineRule="auto"/>
              <w:rPr>
                <w:lang w:val="en-IE"/>
              </w:rPr>
            </w:pPr>
            <w:r w:rsidRPr="00111A63">
              <w:rPr>
                <w:lang w:val="en-IE"/>
              </w:rPr>
              <w:t>[0.528, 0.602]</w:t>
            </w:r>
          </w:p>
        </w:tc>
        <w:tc>
          <w:tcPr>
            <w:tcW w:w="1466" w:type="pct"/>
            <w:tcBorders>
              <w:top w:val="single" w:sz="4" w:space="0" w:color="E6E6E6"/>
              <w:left w:val="single" w:sz="4" w:space="0" w:color="E6E6E6"/>
              <w:bottom w:val="single" w:sz="4" w:space="0" w:color="E6E6E6"/>
              <w:right w:val="single" w:sz="2" w:space="0" w:color="E6E6E6"/>
            </w:tcBorders>
            <w:shd w:val="clear" w:color="auto" w:fill="FFFFFF"/>
            <w:tcMar>
              <w:top w:w="60" w:type="dxa"/>
              <w:left w:w="150" w:type="dxa"/>
              <w:bottom w:w="60" w:type="dxa"/>
              <w:right w:w="0" w:type="dxa"/>
            </w:tcMar>
            <w:hideMark/>
          </w:tcPr>
          <w:p w14:paraId="61C705C4" w14:textId="77777777" w:rsidR="00111A63" w:rsidRPr="00111A63" w:rsidRDefault="00111A63" w:rsidP="00AA0318">
            <w:pPr>
              <w:spacing w:after="0" w:line="240" w:lineRule="auto"/>
              <w:rPr>
                <w:lang w:val="en-IE"/>
              </w:rPr>
            </w:pPr>
            <w:r w:rsidRPr="00111A63">
              <w:rPr>
                <w:lang w:val="en-IE"/>
              </w:rPr>
              <w:t>5-fold CV, full transcriptome</w:t>
            </w:r>
          </w:p>
        </w:tc>
      </w:tr>
      <w:tr w:rsidR="00111A63" w:rsidRPr="00111A63" w14:paraId="005C58AE" w14:textId="77777777" w:rsidTr="00CC1C53">
        <w:tc>
          <w:tcPr>
            <w:tcW w:w="863" w:type="pct"/>
            <w:tcBorders>
              <w:top w:val="single" w:sz="4" w:space="0" w:color="E6E6E6"/>
              <w:left w:val="single" w:sz="2" w:space="0" w:color="E6E6E6"/>
              <w:bottom w:val="single" w:sz="2" w:space="0" w:color="E6E6E6"/>
              <w:right w:val="single" w:sz="4" w:space="0" w:color="E6E6E6"/>
            </w:tcBorders>
            <w:shd w:val="clear" w:color="auto" w:fill="FFFFFF"/>
            <w:tcMar>
              <w:top w:w="60" w:type="dxa"/>
              <w:left w:w="0" w:type="dxa"/>
              <w:bottom w:w="60" w:type="dxa"/>
              <w:right w:w="150" w:type="dxa"/>
            </w:tcMar>
            <w:hideMark/>
          </w:tcPr>
          <w:p w14:paraId="3121C7E1" w14:textId="77777777" w:rsidR="00111A63" w:rsidRPr="00CC1C53" w:rsidRDefault="00111A63" w:rsidP="00AA0318">
            <w:pPr>
              <w:spacing w:after="0" w:line="240" w:lineRule="auto"/>
              <w:rPr>
                <w:lang w:val="en-IE"/>
              </w:rPr>
            </w:pPr>
            <w:r w:rsidRPr="00CC1C53">
              <w:rPr>
                <w:lang w:val="en-IE"/>
              </w:rPr>
              <w:t>RSF (all-genes)</w:t>
            </w:r>
          </w:p>
        </w:tc>
        <w:tc>
          <w:tcPr>
            <w:tcW w:w="1032" w:type="pct"/>
            <w:tcBorders>
              <w:top w:val="single" w:sz="4" w:space="0" w:color="E6E6E6"/>
              <w:left w:val="single" w:sz="4" w:space="0" w:color="E6E6E6"/>
              <w:bottom w:val="single" w:sz="2" w:space="0" w:color="E6E6E6"/>
              <w:right w:val="single" w:sz="4" w:space="0" w:color="E6E6E6"/>
            </w:tcBorders>
            <w:shd w:val="clear" w:color="auto" w:fill="FFFFFF"/>
            <w:tcMar>
              <w:top w:w="60" w:type="dxa"/>
              <w:left w:w="150" w:type="dxa"/>
              <w:bottom w:w="60" w:type="dxa"/>
              <w:right w:w="150" w:type="dxa"/>
            </w:tcMar>
            <w:hideMark/>
          </w:tcPr>
          <w:p w14:paraId="77FDCE6A" w14:textId="77777777" w:rsidR="00111A63" w:rsidRPr="00111A63" w:rsidRDefault="00111A63" w:rsidP="00AA0318">
            <w:pPr>
              <w:spacing w:after="0" w:line="240" w:lineRule="auto"/>
              <w:rPr>
                <w:lang w:val="en-IE"/>
              </w:rPr>
            </w:pPr>
            <w:r w:rsidRPr="00111A63">
              <w:rPr>
                <w:lang w:val="en-IE"/>
              </w:rPr>
              <w:t>27,066 genes (raw)</w:t>
            </w:r>
          </w:p>
        </w:tc>
        <w:tc>
          <w:tcPr>
            <w:tcW w:w="696" w:type="pct"/>
            <w:tcBorders>
              <w:top w:val="single" w:sz="4" w:space="0" w:color="E6E6E6"/>
              <w:left w:val="single" w:sz="4" w:space="0" w:color="E6E6E6"/>
              <w:bottom w:val="single" w:sz="2" w:space="0" w:color="E6E6E6"/>
              <w:right w:val="single" w:sz="4" w:space="0" w:color="E6E6E6"/>
            </w:tcBorders>
            <w:shd w:val="clear" w:color="auto" w:fill="FFFFFF"/>
            <w:tcMar>
              <w:top w:w="60" w:type="dxa"/>
              <w:left w:w="150" w:type="dxa"/>
              <w:bottom w:w="60" w:type="dxa"/>
              <w:right w:w="150" w:type="dxa"/>
            </w:tcMar>
            <w:hideMark/>
          </w:tcPr>
          <w:p w14:paraId="5EE4A3E1" w14:textId="77777777" w:rsidR="00111A63" w:rsidRPr="00CC1C53" w:rsidRDefault="00111A63" w:rsidP="00AA0318">
            <w:pPr>
              <w:spacing w:after="0" w:line="240" w:lineRule="auto"/>
              <w:rPr>
                <w:lang w:val="en-IE"/>
              </w:rPr>
            </w:pPr>
            <w:r w:rsidRPr="00CC1C53">
              <w:rPr>
                <w:lang w:val="en-IE"/>
              </w:rPr>
              <w:t>0.549</w:t>
            </w:r>
          </w:p>
        </w:tc>
        <w:tc>
          <w:tcPr>
            <w:tcW w:w="943" w:type="pct"/>
            <w:tcBorders>
              <w:top w:val="single" w:sz="4" w:space="0" w:color="E6E6E6"/>
              <w:left w:val="single" w:sz="4" w:space="0" w:color="E6E6E6"/>
              <w:bottom w:val="single" w:sz="2" w:space="0" w:color="E6E6E6"/>
              <w:right w:val="single" w:sz="4" w:space="0" w:color="E6E6E6"/>
            </w:tcBorders>
            <w:shd w:val="clear" w:color="auto" w:fill="FFFFFF"/>
            <w:tcMar>
              <w:top w:w="60" w:type="dxa"/>
              <w:left w:w="150" w:type="dxa"/>
              <w:bottom w:w="60" w:type="dxa"/>
              <w:right w:w="150" w:type="dxa"/>
            </w:tcMar>
            <w:hideMark/>
          </w:tcPr>
          <w:p w14:paraId="046FD3D2" w14:textId="77777777" w:rsidR="00111A63" w:rsidRPr="00111A63" w:rsidRDefault="00111A63" w:rsidP="00AA0318">
            <w:pPr>
              <w:spacing w:after="0" w:line="240" w:lineRule="auto"/>
              <w:rPr>
                <w:lang w:val="en-IE"/>
              </w:rPr>
            </w:pPr>
            <w:r w:rsidRPr="00111A63">
              <w:rPr>
                <w:lang w:val="en-IE"/>
              </w:rPr>
              <w:t>[0.505, 0.581]</w:t>
            </w:r>
          </w:p>
        </w:tc>
        <w:tc>
          <w:tcPr>
            <w:tcW w:w="1466" w:type="pct"/>
            <w:tcBorders>
              <w:top w:val="single" w:sz="4" w:space="0" w:color="E6E6E6"/>
              <w:left w:val="single" w:sz="4" w:space="0" w:color="E6E6E6"/>
              <w:bottom w:val="single" w:sz="2" w:space="0" w:color="E6E6E6"/>
              <w:right w:val="single" w:sz="2" w:space="0" w:color="E6E6E6"/>
            </w:tcBorders>
            <w:shd w:val="clear" w:color="auto" w:fill="FFFFFF"/>
            <w:tcMar>
              <w:top w:w="60" w:type="dxa"/>
              <w:left w:w="150" w:type="dxa"/>
              <w:bottom w:w="60" w:type="dxa"/>
              <w:right w:w="0" w:type="dxa"/>
            </w:tcMar>
            <w:hideMark/>
          </w:tcPr>
          <w:p w14:paraId="511DD40A" w14:textId="77777777" w:rsidR="00111A63" w:rsidRPr="00111A63" w:rsidRDefault="00111A63" w:rsidP="00AA0318">
            <w:pPr>
              <w:spacing w:after="0" w:line="240" w:lineRule="auto"/>
              <w:rPr>
                <w:lang w:val="en-IE"/>
              </w:rPr>
            </w:pPr>
            <w:r w:rsidRPr="00111A63">
              <w:rPr>
                <w:lang w:val="en-IE"/>
              </w:rPr>
              <w:t>5-fold CV, full transcriptome</w:t>
            </w:r>
          </w:p>
        </w:tc>
      </w:tr>
    </w:tbl>
    <w:p w14:paraId="04A14380" w14:textId="77777777" w:rsidR="00111A63" w:rsidRDefault="00111A63" w:rsidP="00A84781">
      <w:pPr>
        <w:rPr>
          <w:lang w:val="en-IE"/>
        </w:rPr>
      </w:pPr>
    </w:p>
    <w:p w14:paraId="728A06BF" w14:textId="77777777" w:rsidR="004A4FCC" w:rsidRDefault="004A4FCC" w:rsidP="004A4FCC">
      <w:pPr>
        <w:keepNext/>
        <w:spacing w:after="0" w:line="240" w:lineRule="auto"/>
      </w:pPr>
      <w:r>
        <w:rPr>
          <w:noProof/>
          <w:lang w:eastAsia="en-IE"/>
        </w:rPr>
        <w:drawing>
          <wp:inline distT="0" distB="0" distL="0" distR="0" wp14:anchorId="2B8C1E82" wp14:editId="436DFF8E">
            <wp:extent cx="5726430" cy="3406140"/>
            <wp:effectExtent l="0" t="0" r="7620" b="3810"/>
            <wp:docPr id="534150767" name="Picture 5" descr="The image depicts Kaplan-Meier survival curves stratified by median risk score, showing different survival probabilities for low and high risk groups over time using various mod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150767" name="Picture 5" descr="The image depicts Kaplan-Meier survival curves stratified by median risk score, showing different survival probabilities for low and high risk groups over time using various models.&#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a:fillRect/>
                    </a:stretch>
                  </pic:blipFill>
                  <pic:spPr bwMode="auto">
                    <a:xfrm>
                      <a:off x="0" y="0"/>
                      <a:ext cx="5726430" cy="3406140"/>
                    </a:xfrm>
                    <a:prstGeom prst="rect">
                      <a:avLst/>
                    </a:prstGeom>
                    <a:noFill/>
                    <a:ln>
                      <a:noFill/>
                    </a:ln>
                    <a:extLst>
                      <a:ext uri="{53640926-AAD7-44D8-BBD7-CCE9431645EC}">
                        <a14:shadowObscured xmlns:a14="http://schemas.microsoft.com/office/drawing/2010/main"/>
                      </a:ext>
                    </a:extLst>
                  </pic:spPr>
                </pic:pic>
              </a:graphicData>
            </a:graphic>
          </wp:inline>
        </w:drawing>
      </w:r>
    </w:p>
    <w:p w14:paraId="3431C75F" w14:textId="77777777" w:rsidR="004A4FCC" w:rsidRPr="00B652E3" w:rsidRDefault="004A4FCC" w:rsidP="004A4FCC">
      <w:pPr>
        <w:pStyle w:val="Caption"/>
        <w:keepNext/>
        <w:spacing w:after="0"/>
        <w:jc w:val="center"/>
        <w:rPr>
          <w:b/>
          <w:bCs/>
          <w:sz w:val="20"/>
          <w:szCs w:val="20"/>
        </w:rPr>
      </w:pPr>
      <w:r w:rsidRPr="00B652E3">
        <w:rPr>
          <w:b/>
          <w:bCs/>
          <w:sz w:val="20"/>
          <w:szCs w:val="20"/>
        </w:rPr>
        <w:t xml:space="preserve">Figure </w:t>
      </w:r>
      <w:r w:rsidRPr="00B652E3">
        <w:rPr>
          <w:b/>
          <w:bCs/>
          <w:sz w:val="20"/>
          <w:szCs w:val="20"/>
        </w:rPr>
        <w:fldChar w:fldCharType="begin"/>
      </w:r>
      <w:r w:rsidRPr="00B652E3">
        <w:rPr>
          <w:b/>
          <w:bCs/>
          <w:sz w:val="20"/>
          <w:szCs w:val="20"/>
        </w:rPr>
        <w:instrText xml:space="preserve"> SEQ Figure \* ARABIC </w:instrText>
      </w:r>
      <w:r w:rsidRPr="00B652E3">
        <w:rPr>
          <w:b/>
          <w:bCs/>
          <w:sz w:val="20"/>
          <w:szCs w:val="20"/>
        </w:rPr>
        <w:fldChar w:fldCharType="separate"/>
      </w:r>
      <w:r>
        <w:rPr>
          <w:b/>
          <w:bCs/>
          <w:noProof/>
          <w:sz w:val="20"/>
          <w:szCs w:val="20"/>
        </w:rPr>
        <w:t>10</w:t>
      </w:r>
      <w:r w:rsidRPr="00B652E3">
        <w:rPr>
          <w:b/>
          <w:bCs/>
          <w:sz w:val="20"/>
          <w:szCs w:val="20"/>
        </w:rPr>
        <w:fldChar w:fldCharType="end"/>
      </w:r>
      <w:r w:rsidRPr="00B652E3">
        <w:rPr>
          <w:b/>
          <w:bCs/>
          <w:sz w:val="20"/>
          <w:szCs w:val="20"/>
        </w:rPr>
        <w:t>. Kaplan-Meier survival (all five models).</w:t>
      </w:r>
    </w:p>
    <w:p w14:paraId="74BA5642" w14:textId="77777777" w:rsidR="004A4FCC" w:rsidRPr="00122DB4" w:rsidRDefault="004A4FCC" w:rsidP="004A4FCC">
      <w:pPr>
        <w:pStyle w:val="FigureCaption"/>
        <w:rPr>
          <w:lang w:val="en-IE" w:eastAsia="en-IE"/>
        </w:rPr>
      </w:pPr>
      <w:r w:rsidRPr="004A28EC">
        <w:rPr>
          <w:lang w:eastAsia="en-IE"/>
        </w:rPr>
        <w:t>Each panel stratifies the HGSOC TCGA cohort (</w:t>
      </w:r>
      <w:r>
        <w:rPr>
          <w:lang w:eastAsia="en-IE"/>
        </w:rPr>
        <w:t>n = 420</w:t>
      </w:r>
      <w:r w:rsidRPr="004A28EC">
        <w:rPr>
          <w:lang w:eastAsia="en-IE"/>
        </w:rPr>
        <w:t>) into high-risk and low-risk groups using the median of each model's risk score. The ODE panel uses </w:t>
      </w:r>
      <m:oMath>
        <m:r>
          <m:rPr>
            <m:sty m:val="p"/>
          </m:rPr>
          <w:rPr>
            <w:rFonts w:ascii="Cambria Math" w:hAnsi="Cambria Math"/>
            <w:lang w:val="en-IE" w:eastAsia="en-IE"/>
          </w:rPr>
          <m:t>-</m:t>
        </m:r>
        <m:r>
          <w:rPr>
            <w:rFonts w:ascii="Cambria Math" w:hAnsi="Cambria Math"/>
            <w:lang w:val="en-IE" w:eastAsia="en-IE"/>
          </w:rPr>
          <m:t>log</m:t>
        </m:r>
        <m:r>
          <m:rPr>
            <m:sty m:val="p"/>
          </m:rPr>
          <w:rPr>
            <w:rFonts w:ascii="Cambria Math" w:hAnsi="Cambria Math"/>
            <w:lang w:val="en-IE" w:eastAsia="en-IE"/>
          </w:rPr>
          <m:t>⁡(</m:t>
        </m:r>
        <m:r>
          <w:rPr>
            <w:rFonts w:ascii="Cambria Math" w:hAnsi="Cambria Math"/>
            <w:lang w:val="en-IE" w:eastAsia="en-IE"/>
          </w:rPr>
          <m:t>AU</m:t>
        </m:r>
        <m:sSub>
          <m:sSubPr>
            <m:ctrlPr>
              <w:rPr>
                <w:rFonts w:ascii="Cambria Math" w:hAnsi="Cambria Math"/>
                <w:lang w:val="en-IE" w:eastAsia="en-IE"/>
              </w:rPr>
            </m:ctrlPr>
          </m:sSubPr>
          <m:e>
            <m:r>
              <w:rPr>
                <w:rFonts w:ascii="Cambria Math" w:hAnsi="Cambria Math"/>
                <w:lang w:val="en-IE" w:eastAsia="en-IE"/>
              </w:rPr>
              <m:t>C</m:t>
            </m:r>
          </m:e>
          <m:sub>
            <m:r>
              <w:rPr>
                <w:rFonts w:ascii="Cambria Math" w:hAnsi="Cambria Math"/>
                <w:lang w:val="en-IE" w:eastAsia="en-IE"/>
              </w:rPr>
              <m:t>X</m:t>
            </m:r>
          </m:sub>
        </m:sSub>
        <m:r>
          <m:rPr>
            <m:sty m:val="p"/>
          </m:rPr>
          <w:rPr>
            <w:rFonts w:ascii="Cambria Math" w:hAnsi="Cambria Math"/>
            <w:lang w:val="en-IE" w:eastAsia="en-IE"/>
          </w:rPr>
          <m:t xml:space="preserve">) </m:t>
        </m:r>
      </m:oMath>
      <w:r w:rsidRPr="004A28EC">
        <w:rPr>
          <w:lang w:eastAsia="en-IE"/>
        </w:rPr>
        <w:t>; the ML panels use out-of-fold predictions. Log-rank p-values annotated on each panel.</w:t>
      </w:r>
    </w:p>
    <w:p w14:paraId="662ADBE7" w14:textId="7128FB47" w:rsidR="001B213F" w:rsidRPr="001B213F" w:rsidRDefault="001B213F" w:rsidP="001B213F">
      <w:pPr>
        <w:rPr>
          <w:lang w:val="en-IE"/>
        </w:rPr>
      </w:pPr>
      <w:r w:rsidRPr="001B213F">
        <w:rPr>
          <w:lang w:val="en-IE"/>
        </w:rPr>
        <w:lastRenderedPageBreak/>
        <w:t xml:space="preserve">When restricted to the same 14-gene feature set, the zero-shot mechanistic ODE (C = 0.533) out-performs both the data-trained Cox LASSO (C = 0.504) and the </w:t>
      </w:r>
      <w:r>
        <w:rPr>
          <w:lang w:val="en-IE"/>
        </w:rPr>
        <w:t>RSF</w:t>
      </w:r>
      <w:r w:rsidRPr="001B213F">
        <w:rPr>
          <w:lang w:val="en-IE"/>
        </w:rPr>
        <w:t xml:space="preserve"> (C = 0.480). This </w:t>
      </w:r>
      <w:r w:rsidR="00220B4D">
        <w:rPr>
          <w:lang w:val="en-IE"/>
        </w:rPr>
        <w:t>suggests</w:t>
      </w:r>
      <w:r w:rsidRPr="001B213F">
        <w:rPr>
          <w:lang w:val="en-IE"/>
        </w:rPr>
        <w:t xml:space="preserve"> that incorporating biological structure via the ODE pathway acts as a powerful regulari</w:t>
      </w:r>
      <w:r w:rsidR="00B37FA0">
        <w:rPr>
          <w:lang w:val="en-IE"/>
        </w:rPr>
        <w:t>s</w:t>
      </w:r>
      <w:r w:rsidRPr="001B213F">
        <w:rPr>
          <w:lang w:val="en-IE"/>
        </w:rPr>
        <w:t xml:space="preserve">er, extracting clinical signal that standard </w:t>
      </w:r>
      <w:r w:rsidR="00B37FA0">
        <w:rPr>
          <w:lang w:val="en-IE"/>
        </w:rPr>
        <w:t>ML</w:t>
      </w:r>
      <w:r w:rsidRPr="001B213F">
        <w:rPr>
          <w:lang w:val="en-IE"/>
        </w:rPr>
        <w:t xml:space="preserve"> models overfit or fail to learn from a small feature set.</w:t>
      </w:r>
    </w:p>
    <w:p w14:paraId="78D868AC" w14:textId="77777777" w:rsidR="004A4FCC" w:rsidRDefault="00220B4D" w:rsidP="004A4FCC">
      <w:pPr>
        <w:rPr>
          <w:lang w:val="en-IE"/>
        </w:rPr>
      </w:pPr>
      <w:r w:rsidRPr="00220B4D">
        <w:rPr>
          <w:lang w:val="en-IE"/>
        </w:rPr>
        <w:t xml:space="preserve">When trained on the entire transcriptome (27,066 genes), the all-genes Cox LASSO achieves a higher C-index of 0.569 (95% CI: [0.528, 0.602]) and the all-genes RSF achieves 0.549 (95% CI: [0.505, 0.581]). This superior performance suggests that the global transcriptome contains additional survival signals (e.g., cell proliferation, immune infiltration, microenvironment) that are outside the scope of our 14-gene DNA repair model. However, the all-genes </w:t>
      </w:r>
      <w:r w:rsidR="006B20FE">
        <w:rPr>
          <w:lang w:val="en-IE"/>
        </w:rPr>
        <w:t xml:space="preserve">Cis </w:t>
      </w:r>
      <w:r w:rsidRPr="00220B4D">
        <w:rPr>
          <w:lang w:val="en-IE"/>
        </w:rPr>
        <w:t>still overlap with that of the zero-shot ODE model, and the ODE achieves its comparable performance without requiring any outcome-based training data (zero-shot validation).</w:t>
      </w:r>
    </w:p>
    <w:p w14:paraId="7308846A" w14:textId="1597BA72" w:rsidR="00080F85" w:rsidRDefault="00080F85" w:rsidP="004A4FCC">
      <w:pPr>
        <w:keepNext/>
        <w:spacing w:after="0" w:line="240" w:lineRule="auto"/>
        <w:jc w:val="center"/>
      </w:pPr>
      <w:r>
        <w:rPr>
          <w:noProof/>
          <w:lang w:val="en-IE"/>
        </w:rPr>
        <w:drawing>
          <wp:inline distT="0" distB="0" distL="0" distR="0" wp14:anchorId="077A0AC6" wp14:editId="4802F728">
            <wp:extent cx="5149850" cy="3653517"/>
            <wp:effectExtent l="0" t="0" r="0" b="4445"/>
            <wp:docPr id="1498343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9850" cy="3653517"/>
                    </a:xfrm>
                    <a:prstGeom prst="rect">
                      <a:avLst/>
                    </a:prstGeom>
                    <a:noFill/>
                    <a:ln>
                      <a:noFill/>
                    </a:ln>
                  </pic:spPr>
                </pic:pic>
              </a:graphicData>
            </a:graphic>
          </wp:inline>
        </w:drawing>
      </w:r>
    </w:p>
    <w:p w14:paraId="60D76027" w14:textId="52B7A72A" w:rsidR="001B213F" w:rsidRPr="00080F85" w:rsidRDefault="00080F85" w:rsidP="00080F85">
      <w:pPr>
        <w:pStyle w:val="Caption"/>
        <w:keepNext/>
        <w:spacing w:after="0"/>
        <w:jc w:val="center"/>
        <w:rPr>
          <w:b/>
          <w:bCs/>
          <w:sz w:val="20"/>
          <w:szCs w:val="20"/>
          <w:lang w:val="en-IE"/>
        </w:rPr>
      </w:pPr>
      <w:r w:rsidRPr="00080F85">
        <w:rPr>
          <w:b/>
          <w:bCs/>
          <w:sz w:val="20"/>
          <w:szCs w:val="20"/>
        </w:rPr>
        <w:t xml:space="preserve">Figure </w:t>
      </w:r>
      <w:r w:rsidRPr="00080F85">
        <w:rPr>
          <w:b/>
          <w:bCs/>
          <w:sz w:val="20"/>
          <w:szCs w:val="20"/>
        </w:rPr>
        <w:fldChar w:fldCharType="begin"/>
      </w:r>
      <w:r w:rsidRPr="00080F85">
        <w:rPr>
          <w:b/>
          <w:bCs/>
          <w:sz w:val="20"/>
          <w:szCs w:val="20"/>
        </w:rPr>
        <w:instrText xml:space="preserve"> SEQ Figure \* ARABIC </w:instrText>
      </w:r>
      <w:r w:rsidRPr="00080F85">
        <w:rPr>
          <w:b/>
          <w:bCs/>
          <w:sz w:val="20"/>
          <w:szCs w:val="20"/>
        </w:rPr>
        <w:fldChar w:fldCharType="separate"/>
      </w:r>
      <w:r w:rsidR="002E3C47">
        <w:rPr>
          <w:b/>
          <w:bCs/>
          <w:noProof/>
          <w:sz w:val="20"/>
          <w:szCs w:val="20"/>
        </w:rPr>
        <w:t>11</w:t>
      </w:r>
      <w:r w:rsidRPr="00080F85">
        <w:rPr>
          <w:b/>
          <w:bCs/>
          <w:sz w:val="20"/>
          <w:szCs w:val="20"/>
        </w:rPr>
        <w:fldChar w:fldCharType="end"/>
      </w:r>
      <w:r w:rsidRPr="00080F85">
        <w:rPr>
          <w:b/>
          <w:bCs/>
          <w:sz w:val="20"/>
          <w:szCs w:val="20"/>
        </w:rPr>
        <w:t>. Model comparison forest plot.</w:t>
      </w:r>
    </w:p>
    <w:p w14:paraId="0CD4B5C0" w14:textId="008CDD51" w:rsidR="00080F85" w:rsidRDefault="00080F85" w:rsidP="00080F85">
      <w:pPr>
        <w:pStyle w:val="FigureCaption"/>
        <w:rPr>
          <w:lang w:val="en-IE"/>
        </w:rPr>
      </w:pPr>
      <w:r w:rsidRPr="00080F85">
        <w:rPr>
          <w:lang w:val="en-IE"/>
        </w:rPr>
        <w:t>Comparison of Harrell's C-index between the zero-shot HR-DDR ODE model (</w:t>
      </w:r>
      <m:oMath>
        <m:sSub>
          <m:sSubPr>
            <m:ctrlPr>
              <w:rPr>
                <w:rFonts w:ascii="Cambria Math" w:hAnsi="Cambria Math"/>
                <w:iCs w:val="0"/>
                <w:color w:val="auto"/>
                <w:sz w:val="22"/>
                <w:szCs w:val="22"/>
                <w:lang w:val="en-IE"/>
              </w:rPr>
            </m:ctrlPr>
          </m:sSubPr>
          <m:e>
            <m:r>
              <m:rPr>
                <m:sty m:val="p"/>
              </m:rPr>
              <w:rPr>
                <w:rFonts w:ascii="Cambria Math" w:hAnsi="Cambria Math"/>
                <w:lang w:val="en-IE"/>
              </w:rPr>
              <m:t>AUC</m:t>
            </m:r>
          </m:e>
          <m:sub>
            <m:r>
              <m:rPr>
                <m:sty m:val="p"/>
              </m:rPr>
              <w:rPr>
                <w:rFonts w:ascii="Cambria Math" w:hAnsi="Cambria Math"/>
                <w:lang w:val="en-IE"/>
              </w:rPr>
              <m:t>X</m:t>
            </m:r>
          </m:sub>
        </m:sSub>
      </m:oMath>
      <w:r w:rsidRPr="00080F85">
        <w:rPr>
          <w:lang w:val="en-IE"/>
        </w:rPr>
        <w:t xml:space="preserve">) and the data-trained Cox LASSO and </w:t>
      </w:r>
      <w:r>
        <w:rPr>
          <w:lang w:val="en-IE"/>
        </w:rPr>
        <w:t>RSF</w:t>
      </w:r>
      <w:r w:rsidRPr="00080F85">
        <w:rPr>
          <w:lang w:val="en-IE"/>
        </w:rPr>
        <w:t xml:space="preserve"> models on the 14-gene feature set and full transcriptome.</w:t>
      </w:r>
    </w:p>
    <w:p w14:paraId="0B06102F" w14:textId="77777777" w:rsidR="004A4FCC" w:rsidRDefault="004A4FCC" w:rsidP="00080F85">
      <w:pPr>
        <w:pStyle w:val="FigureCaption"/>
        <w:rPr>
          <w:lang w:val="en-IE"/>
        </w:rPr>
      </w:pPr>
    </w:p>
    <w:p w14:paraId="2EDC24C9" w14:textId="77777777" w:rsidR="00080F85" w:rsidRPr="00080F85" w:rsidRDefault="00080F85" w:rsidP="00080F85">
      <w:pPr>
        <w:pStyle w:val="FigureCaption"/>
        <w:rPr>
          <w:lang w:val="en-IE"/>
        </w:rPr>
      </w:pPr>
    </w:p>
    <w:p w14:paraId="41D44400" w14:textId="77777777" w:rsidR="00080F85" w:rsidRDefault="00080F85" w:rsidP="00080F85">
      <w:pPr>
        <w:keepNext/>
      </w:pPr>
      <w:r>
        <w:rPr>
          <w:noProof/>
          <w:lang w:val="en-IE"/>
        </w:rPr>
        <w:lastRenderedPageBreak/>
        <w:drawing>
          <wp:inline distT="0" distB="0" distL="0" distR="0" wp14:anchorId="2602941D" wp14:editId="3520D0E7">
            <wp:extent cx="5718810" cy="3028950"/>
            <wp:effectExtent l="0" t="0" r="0" b="0"/>
            <wp:docPr id="304086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8810" cy="3028950"/>
                    </a:xfrm>
                    <a:prstGeom prst="rect">
                      <a:avLst/>
                    </a:prstGeom>
                    <a:noFill/>
                    <a:ln>
                      <a:noFill/>
                    </a:ln>
                  </pic:spPr>
                </pic:pic>
              </a:graphicData>
            </a:graphic>
          </wp:inline>
        </w:drawing>
      </w:r>
    </w:p>
    <w:p w14:paraId="50BBAFD7" w14:textId="079A883F" w:rsidR="00A84781" w:rsidRPr="00A7382F" w:rsidRDefault="00080F85" w:rsidP="00A7382F">
      <w:pPr>
        <w:pStyle w:val="Caption"/>
        <w:keepNext/>
        <w:spacing w:after="0"/>
        <w:jc w:val="center"/>
        <w:rPr>
          <w:sz w:val="20"/>
          <w:szCs w:val="20"/>
        </w:rPr>
      </w:pPr>
      <w:r w:rsidRPr="00080F85">
        <w:rPr>
          <w:b/>
          <w:bCs/>
          <w:sz w:val="20"/>
          <w:szCs w:val="20"/>
        </w:rPr>
        <w:t xml:space="preserve">Figure </w:t>
      </w:r>
      <w:r w:rsidRPr="00080F85">
        <w:rPr>
          <w:b/>
          <w:bCs/>
          <w:sz w:val="20"/>
          <w:szCs w:val="20"/>
        </w:rPr>
        <w:fldChar w:fldCharType="begin"/>
      </w:r>
      <w:r w:rsidRPr="00080F85">
        <w:rPr>
          <w:b/>
          <w:bCs/>
          <w:sz w:val="20"/>
          <w:szCs w:val="20"/>
        </w:rPr>
        <w:instrText xml:space="preserve"> SEQ Figure \* ARABIC </w:instrText>
      </w:r>
      <w:r w:rsidRPr="00080F85">
        <w:rPr>
          <w:b/>
          <w:bCs/>
          <w:sz w:val="20"/>
          <w:szCs w:val="20"/>
        </w:rPr>
        <w:fldChar w:fldCharType="separate"/>
      </w:r>
      <w:r w:rsidR="002E3C47">
        <w:rPr>
          <w:b/>
          <w:bCs/>
          <w:noProof/>
          <w:sz w:val="20"/>
          <w:szCs w:val="20"/>
        </w:rPr>
        <w:t>12</w:t>
      </w:r>
      <w:r w:rsidRPr="00080F85">
        <w:rPr>
          <w:b/>
          <w:bCs/>
          <w:sz w:val="20"/>
          <w:szCs w:val="20"/>
        </w:rPr>
        <w:fldChar w:fldCharType="end"/>
      </w:r>
      <w:r w:rsidRPr="00080F85">
        <w:rPr>
          <w:b/>
          <w:bCs/>
          <w:sz w:val="20"/>
          <w:szCs w:val="20"/>
        </w:rPr>
        <w:t>. Bootstrap distributions of C-index.</w:t>
      </w:r>
      <w:r>
        <w:rPr>
          <w:b/>
          <w:bCs/>
          <w:sz w:val="20"/>
          <w:szCs w:val="20"/>
        </w:rPr>
        <w:br/>
      </w:r>
      <w:r w:rsidRPr="00080F85">
        <w:rPr>
          <w:rStyle w:val="FigureCaptionChar"/>
          <w:i/>
          <w:iCs/>
          <w:lang w:val="en-IE"/>
        </w:rPr>
        <w:t>Bootstrap distribution of the C-index across 1000 resamples for the three models, showing the overlap and variability in predictive performance.</w:t>
      </w:r>
      <w:r w:rsidR="00A7382F">
        <w:rPr>
          <w:rStyle w:val="FigureCaptionChar"/>
          <w:i/>
          <w:iCs/>
          <w:lang w:val="en-IE"/>
        </w:rPr>
        <w:br/>
      </w:r>
    </w:p>
    <w:p w14:paraId="0C6BBE74" w14:textId="2D6B5899" w:rsidR="00E01633" w:rsidRPr="00E01633" w:rsidRDefault="00E01633" w:rsidP="00E01633">
      <w:pPr>
        <w:pStyle w:val="Heading2"/>
        <w:rPr>
          <w:lang w:val="en-IE"/>
        </w:rPr>
      </w:pPr>
      <w:r>
        <w:rPr>
          <w:lang w:val="en-IE"/>
        </w:rPr>
        <w:t>3</w:t>
      </w:r>
      <w:r w:rsidRPr="00E01633">
        <w:rPr>
          <w:lang w:val="en-IE"/>
        </w:rPr>
        <w:t>.</w:t>
      </w:r>
      <w:r>
        <w:rPr>
          <w:lang w:val="en-IE"/>
        </w:rPr>
        <w:t>7</w:t>
      </w:r>
      <w:r w:rsidRPr="00E01633">
        <w:rPr>
          <w:lang w:val="en-IE"/>
        </w:rPr>
        <w:t xml:space="preserve"> Model </w:t>
      </w:r>
      <w:r w:rsidR="006F1B52">
        <w:rPr>
          <w:lang w:val="en-IE"/>
        </w:rPr>
        <w:t>i</w:t>
      </w:r>
      <w:r w:rsidRPr="00E01633">
        <w:rPr>
          <w:lang w:val="en-IE"/>
        </w:rPr>
        <w:t xml:space="preserve">nterpretation (ML </w:t>
      </w:r>
      <w:r w:rsidR="006F1B52">
        <w:rPr>
          <w:lang w:val="en-IE"/>
        </w:rPr>
        <w:t>b</w:t>
      </w:r>
      <w:r w:rsidRPr="00E01633">
        <w:rPr>
          <w:lang w:val="en-IE"/>
        </w:rPr>
        <w:t>enchmarks)</w:t>
      </w:r>
    </w:p>
    <w:p w14:paraId="1C762CB4" w14:textId="51E0EB40" w:rsidR="00E01633" w:rsidRPr="00E01633" w:rsidRDefault="00E01633" w:rsidP="00E01633">
      <w:pPr>
        <w:rPr>
          <w:lang w:val="en-IE"/>
        </w:rPr>
      </w:pPr>
      <w:r w:rsidRPr="00E01633">
        <w:rPr>
          <w:lang w:val="en-IE"/>
        </w:rPr>
        <w:t xml:space="preserve">To understand what biological features drove the predictions of the data-trained </w:t>
      </w:r>
      <w:r>
        <w:rPr>
          <w:lang w:val="en-IE"/>
        </w:rPr>
        <w:t>ML</w:t>
      </w:r>
      <w:r w:rsidRPr="00E01633">
        <w:rPr>
          <w:lang w:val="en-IE"/>
        </w:rPr>
        <w:t xml:space="preserve"> models, we analy</w:t>
      </w:r>
      <w:r>
        <w:rPr>
          <w:lang w:val="en-IE"/>
        </w:rPr>
        <w:t>s</w:t>
      </w:r>
      <w:r w:rsidRPr="00E01633">
        <w:rPr>
          <w:lang w:val="en-IE"/>
        </w:rPr>
        <w:t>ed the models fitted on the full cohort. Although these full-data fits are strictly for interpretation (not out-of-sample prediction), they reveal which genes carry survival signal.</w:t>
      </w:r>
    </w:p>
    <w:p w14:paraId="7C9DB095" w14:textId="66E0A0C8" w:rsidR="00E01633" w:rsidRPr="00E01633" w:rsidRDefault="00E01633" w:rsidP="00E01633">
      <w:pPr>
        <w:pStyle w:val="Heading3"/>
      </w:pPr>
      <w:r>
        <w:t>3.7.</w:t>
      </w:r>
      <w:r w:rsidRPr="00E01633">
        <w:t xml:space="preserve">1 Cox LASSO </w:t>
      </w:r>
      <w:r w:rsidR="006F1B52">
        <w:t>c</w:t>
      </w:r>
      <w:r w:rsidRPr="00E01633">
        <w:t>oefficients</w:t>
      </w:r>
    </w:p>
    <w:p w14:paraId="488C3100" w14:textId="77777777" w:rsidR="00E01633" w:rsidRPr="00E01633" w:rsidRDefault="00E01633" w:rsidP="00E01633">
      <w:pPr>
        <w:rPr>
          <w:lang w:val="en-IE"/>
        </w:rPr>
      </w:pPr>
      <w:r w:rsidRPr="00E01633">
        <w:rPr>
          <w:lang w:val="en-IE"/>
        </w:rPr>
        <w:t>The Cox LASSO model selected non-zero coefficients for all 14 genes, with the regularization parameter (α = 0.001, selected via 5-fold cross-validation on the full dataset) keeping all features in the model (Figure 13):</w:t>
      </w:r>
    </w:p>
    <w:p w14:paraId="3EE7B6E1" w14:textId="77777777" w:rsidR="0059440B" w:rsidRDefault="0059440B" w:rsidP="00E01633">
      <w:pPr>
        <w:pStyle w:val="ListParagraph"/>
        <w:numPr>
          <w:ilvl w:val="0"/>
          <w:numId w:val="16"/>
        </w:numPr>
        <w:rPr>
          <w:lang w:val="en-IE"/>
        </w:rPr>
      </w:pPr>
      <w:r w:rsidRPr="0059440B">
        <w:rPr>
          <w:b/>
          <w:bCs/>
          <w:lang w:val="en-IE"/>
        </w:rPr>
        <w:t>HR-DDR</w:t>
      </w:r>
      <w:r w:rsidR="00E01633" w:rsidRPr="0059440B">
        <w:rPr>
          <w:b/>
          <w:bCs/>
          <w:lang w:val="en-IE"/>
        </w:rPr>
        <w:t xml:space="preserve"> Genes:</w:t>
      </w:r>
      <w:r w:rsidR="00E01633" w:rsidRPr="0059440B">
        <w:rPr>
          <w:lang w:val="en-IE"/>
        </w:rPr>
        <w:t xml:space="preserve"> BRCA2 (+0.141), RAD51 (+0.102), and BRCA1 (+0.062) show positive coefficients. Higher expression of these genes increases the hazard rate (poorer survival). Biologically, this is highly consistent: tumo</w:t>
      </w:r>
      <w:r w:rsidRPr="0059440B">
        <w:rPr>
          <w:lang w:val="en-IE"/>
        </w:rPr>
        <w:t>u</w:t>
      </w:r>
      <w:r w:rsidR="00E01633" w:rsidRPr="0059440B">
        <w:rPr>
          <w:lang w:val="en-IE"/>
        </w:rPr>
        <w:t xml:space="preserve">rs with proficient repair machinery can resolve carboplatin-induced DNA </w:t>
      </w:r>
      <w:r w:rsidRPr="0059440B">
        <w:rPr>
          <w:lang w:val="en-IE"/>
        </w:rPr>
        <w:t>DSBs</w:t>
      </w:r>
      <w:r w:rsidR="00E01633" w:rsidRPr="0059440B">
        <w:rPr>
          <w:lang w:val="en-IE"/>
        </w:rPr>
        <w:t>, rendering them resistant to chemotherapy and leading to worse patient survival.</w:t>
      </w:r>
    </w:p>
    <w:p w14:paraId="34794A8D" w14:textId="77777777" w:rsidR="0059440B" w:rsidRDefault="00E01633" w:rsidP="00E01633">
      <w:pPr>
        <w:pStyle w:val="ListParagraph"/>
        <w:numPr>
          <w:ilvl w:val="0"/>
          <w:numId w:val="16"/>
        </w:numPr>
        <w:rPr>
          <w:lang w:val="en-IE"/>
        </w:rPr>
      </w:pPr>
      <w:r w:rsidRPr="0059440B">
        <w:rPr>
          <w:b/>
          <w:bCs/>
          <w:lang w:val="en-IE"/>
        </w:rPr>
        <w:lastRenderedPageBreak/>
        <w:t>Checkpoint Activating Kinases:</w:t>
      </w:r>
      <w:r w:rsidRPr="0059440B">
        <w:rPr>
          <w:lang w:val="en-IE"/>
        </w:rPr>
        <w:t xml:space="preserve"> CHK2 (−0.195), BRIP1 (−0.130), CHK1 (−0.121), and PALB2 (−0.071) exhibit negative (protective) coefficients. Higher expression of these checkpoint effectors is associated with decreased hazard (better survival), which may reflect the role of robust checkpoint activation in triggering apoptotic pathways or allowing sufficient cell cycle arrest to prevent genomic instability.</w:t>
      </w:r>
    </w:p>
    <w:p w14:paraId="41DE131F" w14:textId="77777777" w:rsidR="0059440B" w:rsidRDefault="00E01633" w:rsidP="00E01633">
      <w:pPr>
        <w:pStyle w:val="ListParagraph"/>
        <w:numPr>
          <w:ilvl w:val="0"/>
          <w:numId w:val="16"/>
        </w:numPr>
        <w:rPr>
          <w:lang w:val="en-IE"/>
        </w:rPr>
      </w:pPr>
      <w:r w:rsidRPr="0059440B">
        <w:rPr>
          <w:b/>
          <w:bCs/>
          <w:lang w:val="en-IE"/>
        </w:rPr>
        <w:t>Apoptotic Pathway Regulators:</w:t>
      </w:r>
      <w:r w:rsidRPr="0059440B">
        <w:rPr>
          <w:lang w:val="en-IE"/>
        </w:rPr>
        <w:t xml:space="preserve"> BCL2 (−0.029) and BAX (−0.054) have negative coefficients, while BCL2L1 (+0.033) and BAD (+0.020) show positive coefficients, highlighting complex balancing effects in the apoptotic machinery.</w:t>
      </w:r>
    </w:p>
    <w:p w14:paraId="4CA98E18" w14:textId="65C6882F" w:rsidR="00E01633" w:rsidRPr="0059440B" w:rsidRDefault="00E01633" w:rsidP="00E01633">
      <w:pPr>
        <w:pStyle w:val="ListParagraph"/>
        <w:numPr>
          <w:ilvl w:val="0"/>
          <w:numId w:val="16"/>
        </w:numPr>
        <w:rPr>
          <w:lang w:val="en-IE"/>
        </w:rPr>
      </w:pPr>
      <w:r w:rsidRPr="0059440B">
        <w:rPr>
          <w:b/>
          <w:bCs/>
          <w:lang w:val="en-IE"/>
        </w:rPr>
        <w:t>Negative Control (TP53):</w:t>
      </w:r>
      <w:r w:rsidRPr="0059440B">
        <w:rPr>
          <w:lang w:val="en-IE"/>
        </w:rPr>
        <w:t xml:space="preserve"> TP53 has a small negative coefficient (−0.069), indicating that its expression retains a minor association with survival even in this near-universally mutated HGSOC cohort.</w:t>
      </w:r>
    </w:p>
    <w:p w14:paraId="4C4F7CFE" w14:textId="77777777" w:rsidR="00634FC1" w:rsidRDefault="006F1B52" w:rsidP="00A7382F">
      <w:pPr>
        <w:keepNext/>
        <w:spacing w:after="0" w:line="240" w:lineRule="auto"/>
        <w:jc w:val="center"/>
      </w:pPr>
      <w:r>
        <w:rPr>
          <w:b/>
          <w:bCs/>
          <w:noProof/>
          <w:lang w:val="en-IE"/>
        </w:rPr>
        <w:drawing>
          <wp:inline distT="0" distB="0" distL="0" distR="0" wp14:anchorId="1E56F9B8" wp14:editId="2150FABF">
            <wp:extent cx="5157470" cy="4653047"/>
            <wp:effectExtent l="0" t="0" r="5080" b="0"/>
            <wp:docPr id="215840862" name="Picture 8" descr="The image displays a Cox LASSO regression coefficient plot with 14 non-zero coefficients, highlighting the impact of various genetic markers on cancer risk, with negative coefficients indicating protective effects and positive ones suggesting higher 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40862" name="Picture 8" descr="The image displays a Cox LASSO regression coefficient plot with 14 non-zero coefficients, highlighting the impact of various genetic markers on cancer risk, with negative coefficients indicating protective effects and positive ones suggesting higher risk."/>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66259" cy="4660977"/>
                    </a:xfrm>
                    <a:prstGeom prst="rect">
                      <a:avLst/>
                    </a:prstGeom>
                    <a:noFill/>
                    <a:ln>
                      <a:noFill/>
                    </a:ln>
                  </pic:spPr>
                </pic:pic>
              </a:graphicData>
            </a:graphic>
          </wp:inline>
        </w:drawing>
      </w:r>
    </w:p>
    <w:p w14:paraId="4FF71799" w14:textId="696AA228" w:rsidR="006F1B52" w:rsidRPr="00634FC1" w:rsidRDefault="00634FC1" w:rsidP="00634FC1">
      <w:pPr>
        <w:pStyle w:val="Caption"/>
        <w:keepNext/>
        <w:spacing w:after="0"/>
        <w:jc w:val="center"/>
        <w:rPr>
          <w:sz w:val="20"/>
          <w:szCs w:val="20"/>
          <w:lang w:val="en-IE"/>
        </w:rPr>
      </w:pPr>
      <w:r w:rsidRPr="00634FC1">
        <w:rPr>
          <w:b/>
          <w:bCs/>
          <w:sz w:val="20"/>
          <w:szCs w:val="20"/>
        </w:rPr>
        <w:t xml:space="preserve">Figure </w:t>
      </w:r>
      <w:r w:rsidRPr="00634FC1">
        <w:rPr>
          <w:b/>
          <w:bCs/>
          <w:sz w:val="20"/>
          <w:szCs w:val="20"/>
        </w:rPr>
        <w:fldChar w:fldCharType="begin"/>
      </w:r>
      <w:r w:rsidRPr="00634FC1">
        <w:rPr>
          <w:b/>
          <w:bCs/>
          <w:sz w:val="20"/>
          <w:szCs w:val="20"/>
        </w:rPr>
        <w:instrText xml:space="preserve"> SEQ Figure \* ARABIC </w:instrText>
      </w:r>
      <w:r w:rsidRPr="00634FC1">
        <w:rPr>
          <w:b/>
          <w:bCs/>
          <w:sz w:val="20"/>
          <w:szCs w:val="20"/>
        </w:rPr>
        <w:fldChar w:fldCharType="separate"/>
      </w:r>
      <w:r w:rsidR="002E3C47">
        <w:rPr>
          <w:b/>
          <w:bCs/>
          <w:noProof/>
          <w:sz w:val="20"/>
          <w:szCs w:val="20"/>
        </w:rPr>
        <w:t>13</w:t>
      </w:r>
      <w:r w:rsidRPr="00634FC1">
        <w:rPr>
          <w:b/>
          <w:bCs/>
          <w:sz w:val="20"/>
          <w:szCs w:val="20"/>
        </w:rPr>
        <w:fldChar w:fldCharType="end"/>
      </w:r>
      <w:r w:rsidRPr="00634FC1">
        <w:rPr>
          <w:b/>
          <w:bCs/>
          <w:sz w:val="20"/>
          <w:szCs w:val="20"/>
        </w:rPr>
        <w:t>. Cox LASSO Feature Coefficients.</w:t>
      </w:r>
      <w:r>
        <w:rPr>
          <w:b/>
          <w:bCs/>
          <w:sz w:val="20"/>
          <w:szCs w:val="20"/>
        </w:rPr>
        <w:br/>
      </w:r>
      <w:r w:rsidRPr="00634FC1">
        <w:rPr>
          <w:rStyle w:val="FigureCaptionChar"/>
          <w:i/>
          <w:iCs/>
          <w:lang w:val="en-IE"/>
        </w:rPr>
        <w:t>Horizontal bar chart of standardized coefficients from the full-cohort fit. Red bars represent positive coefficients (increased hazard/risk); blue bars represent negative coefficients (protective effect).</w:t>
      </w:r>
    </w:p>
    <w:p w14:paraId="2D21A821" w14:textId="533B24A4" w:rsidR="006F1B52" w:rsidRPr="006F1B52" w:rsidRDefault="006F1B52" w:rsidP="006F1B52">
      <w:pPr>
        <w:pStyle w:val="Heading3"/>
        <w:rPr>
          <w:rFonts w:eastAsiaTheme="minorHAnsi"/>
        </w:rPr>
      </w:pPr>
      <w:r>
        <w:br w:type="page"/>
      </w:r>
      <w:r>
        <w:lastRenderedPageBreak/>
        <w:t>3.7.2</w:t>
      </w:r>
      <w:r w:rsidRPr="006F1B52">
        <w:rPr>
          <w:rFonts w:eastAsiaTheme="minorHAnsi"/>
        </w:rPr>
        <w:t xml:space="preserve"> RSF </w:t>
      </w:r>
      <w:r>
        <w:rPr>
          <w:rFonts w:eastAsiaTheme="minorHAnsi"/>
        </w:rPr>
        <w:t>f</w:t>
      </w:r>
      <w:r w:rsidRPr="006F1B52">
        <w:rPr>
          <w:rFonts w:eastAsiaTheme="minorHAnsi"/>
        </w:rPr>
        <w:t xml:space="preserve">eature </w:t>
      </w:r>
      <w:r>
        <w:rPr>
          <w:rFonts w:eastAsiaTheme="minorHAnsi"/>
        </w:rPr>
        <w:t>i</w:t>
      </w:r>
      <w:r w:rsidRPr="006F1B52">
        <w:rPr>
          <w:rFonts w:eastAsiaTheme="minorHAnsi"/>
        </w:rPr>
        <w:t>mportances</w:t>
      </w:r>
    </w:p>
    <w:p w14:paraId="7F3BD480" w14:textId="1A8F411A" w:rsidR="006F1B52" w:rsidRDefault="006F1B52" w:rsidP="006F1B52">
      <w:pPr>
        <w:spacing w:after="160" w:line="259" w:lineRule="auto"/>
        <w:rPr>
          <w:lang w:val="en-IE"/>
        </w:rPr>
      </w:pPr>
      <w:r w:rsidRPr="006F1B52">
        <w:rPr>
          <w:lang w:val="en-IE"/>
        </w:rPr>
        <w:t xml:space="preserve">We computed the permutation feature importance on the training data across 20 repeats (Figure 14). The mean </w:t>
      </w:r>
      <w:r w:rsidR="00634FC1">
        <w:rPr>
          <w:lang w:val="en-IE"/>
        </w:rPr>
        <w:t>reduction</w:t>
      </w:r>
      <w:r w:rsidRPr="006F1B52">
        <w:rPr>
          <w:lang w:val="en-IE"/>
        </w:rPr>
        <w:t xml:space="preserve"> in C-index upon permuting each gene reveals which genes the RSF relies on most heavily:</w:t>
      </w:r>
    </w:p>
    <w:p w14:paraId="6890DB23" w14:textId="4FDFA72B" w:rsidR="00634FC1" w:rsidRPr="00634FC1" w:rsidRDefault="00634FC1" w:rsidP="00634FC1">
      <w:pPr>
        <w:numPr>
          <w:ilvl w:val="0"/>
          <w:numId w:val="17"/>
        </w:numPr>
        <w:spacing w:after="160" w:line="259" w:lineRule="auto"/>
        <w:rPr>
          <w:lang w:val="en-IE"/>
        </w:rPr>
      </w:pPr>
      <w:r w:rsidRPr="00634FC1">
        <w:rPr>
          <w:b/>
          <w:bCs/>
          <w:lang w:val="en-IE"/>
        </w:rPr>
        <w:t>Key Predictors</w:t>
      </w:r>
      <w:r w:rsidRPr="00634FC1">
        <w:rPr>
          <w:lang w:val="en-IE"/>
        </w:rPr>
        <w:t xml:space="preserve">: BRCA2 exhibits the highest permutation importance (mean C-index drop = 0.0324), followed closely by PALB2 (0.0244), </w:t>
      </w:r>
      <w:r>
        <w:rPr>
          <w:lang w:val="en-IE"/>
        </w:rPr>
        <w:t>CHK</w:t>
      </w:r>
      <w:r w:rsidRPr="00634FC1">
        <w:rPr>
          <w:lang w:val="en-IE"/>
        </w:rPr>
        <w:t xml:space="preserve">2 (0.0244), and RAD51 (0.0225). This indicates that the ensemble model relies most strongly on the core </w:t>
      </w:r>
      <w:r w:rsidR="00CF306E">
        <w:rPr>
          <w:lang w:val="en-IE"/>
        </w:rPr>
        <w:t>HR</w:t>
      </w:r>
      <w:r w:rsidRPr="00634FC1">
        <w:rPr>
          <w:lang w:val="en-IE"/>
        </w:rPr>
        <w:t xml:space="preserve"> machinery and cell cycle checkpoints to stratify patients.</w:t>
      </w:r>
    </w:p>
    <w:p w14:paraId="1833AE9A" w14:textId="77777777" w:rsidR="00634FC1" w:rsidRDefault="00634FC1" w:rsidP="00634FC1">
      <w:pPr>
        <w:numPr>
          <w:ilvl w:val="0"/>
          <w:numId w:val="17"/>
        </w:numPr>
        <w:spacing w:after="160" w:line="259" w:lineRule="auto"/>
        <w:rPr>
          <w:lang w:val="en-IE"/>
        </w:rPr>
      </w:pPr>
      <w:r w:rsidRPr="00634FC1">
        <w:rPr>
          <w:b/>
          <w:bCs/>
          <w:lang w:val="en-IE"/>
        </w:rPr>
        <w:t>Minor Predictors</w:t>
      </w:r>
      <w:r w:rsidRPr="00634FC1">
        <w:rPr>
          <w:lang w:val="en-IE"/>
        </w:rPr>
        <w:t>: The apoptotic regulators BAX (0.0055), BCL2 (0.0076), and BAD (0.0097) show the lowest importances, suggesting they play a minimal role in the RSF model's decision-making process.</w:t>
      </w:r>
    </w:p>
    <w:p w14:paraId="58873096" w14:textId="77777777" w:rsidR="00A7382F" w:rsidRPr="00634FC1" w:rsidRDefault="00A7382F" w:rsidP="00A7382F">
      <w:pPr>
        <w:spacing w:after="160" w:line="259" w:lineRule="auto"/>
        <w:ind w:left="720"/>
        <w:rPr>
          <w:lang w:val="en-IE"/>
        </w:rPr>
      </w:pPr>
    </w:p>
    <w:p w14:paraId="79C320D2" w14:textId="77777777" w:rsidR="00634FC1" w:rsidRDefault="00634FC1" w:rsidP="00A7382F">
      <w:pPr>
        <w:keepNext/>
        <w:spacing w:after="0" w:line="240" w:lineRule="auto"/>
        <w:jc w:val="center"/>
      </w:pPr>
      <w:r>
        <w:rPr>
          <w:noProof/>
          <w:lang w:val="en-IE"/>
        </w:rPr>
        <w:drawing>
          <wp:inline distT="0" distB="0" distL="0" distR="0" wp14:anchorId="6D3A2DEC" wp14:editId="75441B30">
            <wp:extent cx="5498716" cy="4946650"/>
            <wp:effectExtent l="0" t="0" r="6985" b="6350"/>
            <wp:docPr id="2902610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02275" cy="4949852"/>
                    </a:xfrm>
                    <a:prstGeom prst="rect">
                      <a:avLst/>
                    </a:prstGeom>
                    <a:noFill/>
                    <a:ln>
                      <a:noFill/>
                    </a:ln>
                  </pic:spPr>
                </pic:pic>
              </a:graphicData>
            </a:graphic>
          </wp:inline>
        </w:drawing>
      </w:r>
    </w:p>
    <w:p w14:paraId="3FE3245A" w14:textId="370E3119" w:rsidR="00634FC1" w:rsidRPr="00634FC1" w:rsidRDefault="00634FC1" w:rsidP="00634FC1">
      <w:pPr>
        <w:pStyle w:val="Caption"/>
        <w:keepNext/>
        <w:spacing w:after="0"/>
        <w:jc w:val="center"/>
        <w:rPr>
          <w:b/>
          <w:bCs/>
          <w:sz w:val="20"/>
          <w:szCs w:val="20"/>
          <w:lang w:val="en-IE"/>
        </w:rPr>
      </w:pPr>
      <w:r w:rsidRPr="00634FC1">
        <w:rPr>
          <w:b/>
          <w:bCs/>
          <w:sz w:val="20"/>
          <w:szCs w:val="20"/>
        </w:rPr>
        <w:t xml:space="preserve">Figure </w:t>
      </w:r>
      <w:r w:rsidRPr="00634FC1">
        <w:rPr>
          <w:b/>
          <w:bCs/>
          <w:sz w:val="20"/>
          <w:szCs w:val="20"/>
        </w:rPr>
        <w:fldChar w:fldCharType="begin"/>
      </w:r>
      <w:r w:rsidRPr="00634FC1">
        <w:rPr>
          <w:b/>
          <w:bCs/>
          <w:sz w:val="20"/>
          <w:szCs w:val="20"/>
        </w:rPr>
        <w:instrText xml:space="preserve"> SEQ Figure \* ARABIC </w:instrText>
      </w:r>
      <w:r w:rsidRPr="00634FC1">
        <w:rPr>
          <w:b/>
          <w:bCs/>
          <w:sz w:val="20"/>
          <w:szCs w:val="20"/>
        </w:rPr>
        <w:fldChar w:fldCharType="separate"/>
      </w:r>
      <w:r w:rsidR="002E3C47">
        <w:rPr>
          <w:b/>
          <w:bCs/>
          <w:noProof/>
          <w:sz w:val="20"/>
          <w:szCs w:val="20"/>
        </w:rPr>
        <w:t>14</w:t>
      </w:r>
      <w:r w:rsidRPr="00634FC1">
        <w:rPr>
          <w:b/>
          <w:bCs/>
          <w:sz w:val="20"/>
          <w:szCs w:val="20"/>
        </w:rPr>
        <w:fldChar w:fldCharType="end"/>
      </w:r>
      <w:r w:rsidRPr="00634FC1">
        <w:rPr>
          <w:b/>
          <w:bCs/>
          <w:sz w:val="20"/>
          <w:szCs w:val="20"/>
        </w:rPr>
        <w:t>. RSF Permutation Feature Importances.</w:t>
      </w:r>
    </w:p>
    <w:p w14:paraId="0BAAB08F" w14:textId="1441DF5C" w:rsidR="00634FC1" w:rsidRPr="00634FC1" w:rsidRDefault="00634FC1" w:rsidP="00634FC1">
      <w:pPr>
        <w:pStyle w:val="FigureCaption"/>
        <w:rPr>
          <w:lang w:val="en-IE"/>
        </w:rPr>
      </w:pPr>
      <w:r w:rsidRPr="00634FC1">
        <w:rPr>
          <w:lang w:val="en-IE"/>
        </w:rPr>
        <w:t>Mean decrease in Harrell's C-index across 20 permutation repeats, with error bars representing </w:t>
      </w:r>
      <w:r>
        <w:rPr>
          <w:lang w:val="en-IE"/>
        </w:rPr>
        <w:br/>
        <w:t xml:space="preserve">±1 </w:t>
      </w:r>
      <w:r w:rsidRPr="00634FC1">
        <w:rPr>
          <w:lang w:val="en-IE"/>
        </w:rPr>
        <w:t>standard deviation. Green bars indicate positive importances.</w:t>
      </w:r>
    </w:p>
    <w:p w14:paraId="7117FAAA" w14:textId="77777777" w:rsidR="00A7382F" w:rsidRDefault="00A7382F" w:rsidP="00A7382F">
      <w:pPr>
        <w:pStyle w:val="FigureCaption"/>
        <w:jc w:val="left"/>
      </w:pPr>
    </w:p>
    <w:p w14:paraId="30483391" w14:textId="77777777" w:rsidR="00A7382F" w:rsidRDefault="00A7382F" w:rsidP="00634FC1">
      <w:pPr>
        <w:pStyle w:val="FigureCaption"/>
      </w:pPr>
    </w:p>
    <w:p w14:paraId="61301A53" w14:textId="324B9542" w:rsidR="006F1B52" w:rsidRDefault="008102D1" w:rsidP="008102D1">
      <w:pPr>
        <w:pStyle w:val="Heading3"/>
      </w:pPr>
      <w:r>
        <w:lastRenderedPageBreak/>
        <w:t xml:space="preserve">3.7.3 </w:t>
      </w:r>
      <w:r w:rsidRPr="008102D1">
        <w:t xml:space="preserve">ODE </w:t>
      </w:r>
      <w:r>
        <w:t>p</w:t>
      </w:r>
      <w:r w:rsidRPr="008102D1">
        <w:t xml:space="preserve">athway </w:t>
      </w:r>
      <w:r>
        <w:t>g</w:t>
      </w:r>
      <w:r w:rsidRPr="008102D1">
        <w:t xml:space="preserve">enes in the </w:t>
      </w:r>
      <w:r>
        <w:t>a</w:t>
      </w:r>
      <w:r w:rsidRPr="008102D1">
        <w:t>ll</w:t>
      </w:r>
      <w:r>
        <w:t>-g</w:t>
      </w:r>
      <w:r w:rsidRPr="008102D1">
        <w:t>enes LASSO</w:t>
      </w:r>
    </w:p>
    <w:p w14:paraId="4A4C19F4" w14:textId="77777777" w:rsidR="008102D1" w:rsidRPr="008102D1" w:rsidRDefault="008102D1" w:rsidP="008102D1">
      <w:pPr>
        <w:rPr>
          <w:lang w:val="en-IE"/>
        </w:rPr>
      </w:pPr>
      <w:r w:rsidRPr="008102D1">
        <w:rPr>
          <w:lang w:val="en-IE"/>
        </w:rPr>
        <w:t>A key question is whether the 14 HR-DDR pathway genes selected on biological grounds also emerge as top predictors in an unbiased genome-wide search. To answer this, we fitted the Cox LASSO on the full cohort using all 27,066 genes (α = 0.1, selected by 5-fold CV) and examined whether any of the 14 ODE pathway genes appeared among the selected predictors (Figure 15).</w:t>
      </w:r>
    </w:p>
    <w:p w14:paraId="648C8433" w14:textId="77777777" w:rsidR="008102D1" w:rsidRPr="008102D1" w:rsidRDefault="008102D1" w:rsidP="008102D1">
      <w:pPr>
        <w:rPr>
          <w:lang w:val="en-IE"/>
        </w:rPr>
      </w:pPr>
      <w:r w:rsidRPr="008102D1">
        <w:rPr>
          <w:lang w:val="en-IE"/>
        </w:rPr>
        <w:t>At α = 0.1, the all-genes LASSO was highly selective, retaining only 54 out of 27,066 genes (&lt; 0.2%) with non-zero coefficients. None of the 14 ODE pathway genes were among these 54 selected predictors. This result does not invalidate the ODE gene selection, but contextualises it in two important ways:</w:t>
      </w:r>
    </w:p>
    <w:p w14:paraId="2DBAB7E5" w14:textId="77777777" w:rsidR="002E3C47" w:rsidRDefault="008102D1" w:rsidP="008102D1">
      <w:pPr>
        <w:pStyle w:val="ListParagraph"/>
        <w:numPr>
          <w:ilvl w:val="0"/>
          <w:numId w:val="18"/>
        </w:numPr>
        <w:rPr>
          <w:lang w:val="en-IE"/>
        </w:rPr>
      </w:pPr>
      <w:r w:rsidRPr="002E3C47">
        <w:rPr>
          <w:b/>
          <w:bCs/>
          <w:lang w:val="en-IE"/>
        </w:rPr>
        <w:t>Different signals dominate the unconstrained search.</w:t>
      </w:r>
      <w:r w:rsidRPr="002E3C47">
        <w:rPr>
          <w:lang w:val="en-IE"/>
        </w:rPr>
        <w:t xml:space="preserve"> The genome-wide LASSO identifies a small set of very strong transcriptomic predictors </w:t>
      </w:r>
      <w:r w:rsidRPr="002E3C47">
        <w:rPr>
          <w:lang w:val="en-IE"/>
        </w:rPr>
        <w:t>(</w:t>
      </w:r>
      <w:r w:rsidRPr="002E3C47">
        <w:rPr>
          <w:lang w:val="en-IE"/>
        </w:rPr>
        <w:t>unrelated to the HR-DDR pathway</w:t>
      </w:r>
      <w:r w:rsidRPr="002E3C47">
        <w:rPr>
          <w:lang w:val="en-IE"/>
        </w:rPr>
        <w:t xml:space="preserve">) </w:t>
      </w:r>
      <w:r w:rsidRPr="002E3C47">
        <w:rPr>
          <w:lang w:val="en-IE"/>
        </w:rPr>
        <w:t>that capture survival signal more efficiently than any individual pathway gene when all 27,066 candidates are available. This is consistent with the biology: HGSOC survival is influenced by many processes beyond DNA repair, including immune infiltration, proliferation rate, and stromal composition.</w:t>
      </w:r>
    </w:p>
    <w:p w14:paraId="1C4923FB" w14:textId="7376BCE8" w:rsidR="008102D1" w:rsidRPr="002E3C47" w:rsidRDefault="008102D1" w:rsidP="008102D1">
      <w:pPr>
        <w:pStyle w:val="ListParagraph"/>
        <w:numPr>
          <w:ilvl w:val="0"/>
          <w:numId w:val="18"/>
        </w:numPr>
        <w:rPr>
          <w:lang w:val="en-IE"/>
        </w:rPr>
      </w:pPr>
      <w:r w:rsidRPr="002E3C47">
        <w:rPr>
          <w:b/>
          <w:bCs/>
          <w:lang w:val="en-IE"/>
        </w:rPr>
        <w:t>The ODE pathway genes carry signal within their constrained context.</w:t>
      </w:r>
      <w:r w:rsidRPr="002E3C47">
        <w:rPr>
          <w:lang w:val="en-IE"/>
        </w:rPr>
        <w:t xml:space="preserve"> When the feature space is restricted to the 14 ODE genes (as in the 14-gene Cox LASSO at α = 0.001), all 14 genes retain meaningful non-zero coefficients. This confirms that the HR-DDR pathway does contain survival-relevant information</w:t>
      </w:r>
      <w:r w:rsidR="002E3C47">
        <w:rPr>
          <w:lang w:val="en-IE"/>
        </w:rPr>
        <w:t>. I</w:t>
      </w:r>
      <w:r w:rsidRPr="002E3C47">
        <w:rPr>
          <w:lang w:val="en-IE"/>
        </w:rPr>
        <w:t>t simply does not dominate the genome-wide landscape at the regularisation level where all-genes LASSO operates.</w:t>
      </w:r>
    </w:p>
    <w:p w14:paraId="7F01C0A5" w14:textId="7EED1B8F" w:rsidR="008102D1" w:rsidRDefault="002E3C47" w:rsidP="008102D1">
      <w:r w:rsidRPr="002E3C47">
        <w:t>Taken together, the all-genes and 14-gene analyses are complementary: the all-genes LASSO achieves the highest C-index by exploiting a wider biological signal space, while the ODE and 14-gene models extract mechanistically interpretable survival information from a hypothesis-driven, biologically constrained feature set.</w:t>
      </w:r>
    </w:p>
    <w:p w14:paraId="13C0AE5C" w14:textId="77777777" w:rsidR="002E3C47" w:rsidRDefault="002E3C47" w:rsidP="00A7382F">
      <w:pPr>
        <w:keepNext/>
        <w:spacing w:after="0" w:line="240" w:lineRule="auto"/>
      </w:pPr>
      <w:r w:rsidRPr="002E3C47">
        <w:rPr>
          <w:b/>
          <w:bCs/>
          <w:lang w:val="en-IE"/>
        </w:rPr>
        <w:lastRenderedPageBreak/>
        <w:t> </w:t>
      </w:r>
      <w:r>
        <w:rPr>
          <w:b/>
          <w:bCs/>
          <w:noProof/>
          <w:lang w:val="en-IE"/>
        </w:rPr>
        <w:drawing>
          <wp:inline distT="0" distB="0" distL="0" distR="0" wp14:anchorId="1E6B6319" wp14:editId="37FC83F1">
            <wp:extent cx="5718810" cy="3154680"/>
            <wp:effectExtent l="0" t="0" r="0" b="7620"/>
            <wp:docPr id="526185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18810" cy="3154680"/>
                    </a:xfrm>
                    <a:prstGeom prst="rect">
                      <a:avLst/>
                    </a:prstGeom>
                    <a:noFill/>
                    <a:ln>
                      <a:noFill/>
                    </a:ln>
                  </pic:spPr>
                </pic:pic>
              </a:graphicData>
            </a:graphic>
          </wp:inline>
        </w:drawing>
      </w:r>
    </w:p>
    <w:p w14:paraId="61EDC40E" w14:textId="62D4E482" w:rsidR="002E3C47" w:rsidRPr="002E3C47" w:rsidRDefault="002E3C47" w:rsidP="002E3C47">
      <w:pPr>
        <w:pStyle w:val="Caption"/>
        <w:keepNext/>
        <w:spacing w:after="0"/>
        <w:jc w:val="center"/>
        <w:rPr>
          <w:b/>
          <w:bCs/>
          <w:sz w:val="20"/>
          <w:szCs w:val="20"/>
        </w:rPr>
      </w:pPr>
      <w:r w:rsidRPr="002E3C47">
        <w:rPr>
          <w:b/>
          <w:bCs/>
          <w:sz w:val="20"/>
          <w:szCs w:val="20"/>
        </w:rPr>
        <w:t xml:space="preserve">Figure </w:t>
      </w:r>
      <w:r w:rsidRPr="002E3C47">
        <w:rPr>
          <w:b/>
          <w:bCs/>
          <w:sz w:val="20"/>
          <w:szCs w:val="20"/>
        </w:rPr>
        <w:fldChar w:fldCharType="begin"/>
      </w:r>
      <w:r w:rsidRPr="002E3C47">
        <w:rPr>
          <w:b/>
          <w:bCs/>
          <w:sz w:val="20"/>
          <w:szCs w:val="20"/>
        </w:rPr>
        <w:instrText xml:space="preserve"> SEQ Figure \* ARABIC </w:instrText>
      </w:r>
      <w:r w:rsidRPr="002E3C47">
        <w:rPr>
          <w:b/>
          <w:bCs/>
          <w:sz w:val="20"/>
          <w:szCs w:val="20"/>
        </w:rPr>
        <w:fldChar w:fldCharType="separate"/>
      </w:r>
      <w:r w:rsidRPr="002E3C47">
        <w:rPr>
          <w:b/>
          <w:bCs/>
          <w:noProof/>
          <w:sz w:val="20"/>
          <w:szCs w:val="20"/>
        </w:rPr>
        <w:t>15</w:t>
      </w:r>
      <w:r w:rsidRPr="002E3C47">
        <w:rPr>
          <w:b/>
          <w:bCs/>
          <w:sz w:val="20"/>
          <w:szCs w:val="20"/>
        </w:rPr>
        <w:fldChar w:fldCharType="end"/>
      </w:r>
      <w:r w:rsidRPr="002E3C47">
        <w:rPr>
          <w:b/>
          <w:bCs/>
          <w:sz w:val="20"/>
          <w:szCs w:val="20"/>
        </w:rPr>
        <w:t>. ODE Pathway Genes vs All-Genes Cox LASSO.</w:t>
      </w:r>
    </w:p>
    <w:p w14:paraId="3AAB7D3C" w14:textId="43F471DB" w:rsidR="002E3C47" w:rsidRPr="002E3C47" w:rsidRDefault="002E3C47" w:rsidP="002E3C47">
      <w:pPr>
        <w:pStyle w:val="FigureCaption"/>
        <w:rPr>
          <w:lang w:val="en-IE"/>
        </w:rPr>
      </w:pPr>
      <w:r w:rsidRPr="002E3C47">
        <w:rPr>
          <w:lang w:val="en-IE"/>
        </w:rPr>
        <w:t>Left: Horizontal bar chart of the top 20 genes selected by the all-genes LASSO (</w:t>
      </w:r>
      <w:r>
        <w:rPr>
          <w:lang w:val="en-IE"/>
        </w:rPr>
        <w:t>α = 0.1</w:t>
      </w:r>
      <w:r w:rsidRPr="002E3C47">
        <w:rPr>
          <w:lang w:val="en-IE"/>
        </w:rPr>
        <w:t>; 54/27,066 non-zero). Right: Selection status of each of the 14 ODE pathway genes</w:t>
      </w:r>
      <w:r>
        <w:rPr>
          <w:lang w:val="en-IE"/>
        </w:rPr>
        <w:t>. A</w:t>
      </w:r>
      <w:r w:rsidRPr="002E3C47">
        <w:rPr>
          <w:lang w:val="en-IE"/>
        </w:rPr>
        <w:t xml:space="preserve">ll 14 were zeroed by the all-genes LASSO (0/14 selected). </w:t>
      </w:r>
    </w:p>
    <w:p w14:paraId="1EE874AA" w14:textId="77777777" w:rsidR="002E3C47" w:rsidRPr="008102D1" w:rsidRDefault="002E3C47" w:rsidP="008102D1"/>
    <w:p w14:paraId="53FE7523" w14:textId="77777777" w:rsidR="008102D1" w:rsidRDefault="008102D1" w:rsidP="008102D1">
      <w:pPr>
        <w:rPr>
          <w:rFonts w:eastAsiaTheme="majorEastAsia"/>
          <w:b/>
          <w:bCs/>
          <w:spacing w:val="-10"/>
          <w:kern w:val="28"/>
          <w:sz w:val="32"/>
          <w:szCs w:val="32"/>
        </w:rPr>
      </w:pPr>
      <w:r>
        <w:br w:type="page"/>
      </w:r>
    </w:p>
    <w:p w14:paraId="69310DFE" w14:textId="014876B3" w:rsidR="00B23B7D" w:rsidRPr="0019627A" w:rsidRDefault="00B23B7D" w:rsidP="00B23B7D">
      <w:pPr>
        <w:pStyle w:val="Heading1"/>
      </w:pPr>
      <w:r>
        <w:lastRenderedPageBreak/>
        <w:t>4. Discussion</w:t>
      </w:r>
    </w:p>
    <w:p w14:paraId="7AD9F938" w14:textId="45195697" w:rsidR="001A328C" w:rsidRPr="001A328C" w:rsidRDefault="001A328C" w:rsidP="001A328C">
      <w:pPr>
        <w:pStyle w:val="Heading2"/>
        <w:rPr>
          <w:lang w:val="en-IE"/>
        </w:rPr>
      </w:pPr>
      <w:r>
        <w:rPr>
          <w:lang w:val="en-IE"/>
        </w:rPr>
        <w:t>4</w:t>
      </w:r>
      <w:r w:rsidRPr="001A328C">
        <w:rPr>
          <w:lang w:val="en-IE"/>
        </w:rPr>
        <w:t xml:space="preserve">.1 Biological </w:t>
      </w:r>
      <w:r>
        <w:rPr>
          <w:lang w:val="en-IE"/>
        </w:rPr>
        <w:t>v</w:t>
      </w:r>
      <w:r w:rsidRPr="001A328C">
        <w:rPr>
          <w:lang w:val="en-IE"/>
        </w:rPr>
        <w:t xml:space="preserve">alidity of the ODE </w:t>
      </w:r>
      <w:r>
        <w:rPr>
          <w:lang w:val="en-IE"/>
        </w:rPr>
        <w:t>m</w:t>
      </w:r>
      <w:r w:rsidRPr="001A328C">
        <w:rPr>
          <w:lang w:val="en-IE"/>
        </w:rPr>
        <w:t>odel</w:t>
      </w:r>
    </w:p>
    <w:p w14:paraId="2BC0BBA5" w14:textId="37C234FE" w:rsidR="002324B1" w:rsidRDefault="002324B1" w:rsidP="002324B1">
      <w:pPr>
        <w:rPr>
          <w:lang w:val="en-IE"/>
        </w:rPr>
      </w:pPr>
      <w:r w:rsidRPr="002324B1">
        <w:rPr>
          <w:lang w:val="en-IE"/>
        </w:rPr>
        <w:t>The primary finding of this study is that a mechanistic, zero-shot ODE model</w:t>
      </w:r>
      <w:r>
        <w:rPr>
          <w:lang w:val="en-IE"/>
        </w:rPr>
        <w:t xml:space="preserve"> (</w:t>
      </w:r>
      <w:r w:rsidRPr="002324B1">
        <w:rPr>
          <w:lang w:val="en-IE"/>
        </w:rPr>
        <w:t>parameterised entirely from pre-treatment RNA-seq expression of 14 HR-DDR pathway genes and with kinetic constants informed from published literature</w:t>
      </w:r>
      <w:r>
        <w:rPr>
          <w:lang w:val="en-IE"/>
        </w:rPr>
        <w:t>)</w:t>
      </w:r>
      <w:r w:rsidRPr="002324B1">
        <w:rPr>
          <w:lang w:val="en-IE"/>
        </w:rPr>
        <w:t xml:space="preserve"> generates prognostically informative predictions of overall survival in HGSOC without fitting any outcome data. The biological plausibility of the model is supported at multiple levels.</w:t>
      </w:r>
    </w:p>
    <w:p w14:paraId="0D4506A3" w14:textId="27F7F129" w:rsidR="002324B1" w:rsidRPr="002324B1" w:rsidRDefault="002324B1" w:rsidP="002324B1">
      <w:pPr>
        <w:rPr>
          <w:lang w:val="en-IE"/>
        </w:rPr>
      </w:pPr>
      <w:r w:rsidRPr="002324B1">
        <w:rPr>
          <w:lang w:val="en-IE"/>
        </w:rPr>
        <w:t>At the single-patient level, representative trajectory simulations (Figure 3) confirm qualitatively correct behaviour: a BRCA-deficient patient shows slower DNA damage resolution, sustained checkpoint kinase activation, and substantially higher cumulative apoptotic commitment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r>
          <w:rPr>
            <w:rFonts w:ascii="Cambria Math" w:hAnsi="Cambria Math"/>
            <w:lang w:val="en-IE"/>
          </w:rPr>
          <m:t xml:space="preserve"> = 443.7</m:t>
        </m:r>
      </m:oMath>
      <w:r w:rsidRPr="002324B1">
        <w:rPr>
          <w:lang w:val="en-IE"/>
        </w:rPr>
        <w:t>) compared to a BRCA-proficient patient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r>
          <w:rPr>
            <w:rFonts w:ascii="Cambria Math" w:hAnsi="Cambria Math"/>
            <w:lang w:val="en-IE"/>
          </w:rPr>
          <m:t xml:space="preserve"> = 111.9</m:t>
        </m:r>
      </m:oMath>
      <w:r w:rsidRPr="002324B1">
        <w:rPr>
          <w:lang w:val="en-IE"/>
        </w:rPr>
        <w:t xml:space="preserve">). These trajectories recapitulate the well-established mechanistic consequence of </w:t>
      </w:r>
      <w:r w:rsidR="00CF306E">
        <w:rPr>
          <w:lang w:val="en-IE"/>
        </w:rPr>
        <w:t>HR</w:t>
      </w:r>
      <w:r w:rsidRPr="002324B1">
        <w:rPr>
          <w:lang w:val="en-IE"/>
        </w:rPr>
        <w:t xml:space="preserve"> deficiency, namely an inability to efficiently resolve platinum-induced </w:t>
      </w:r>
      <w:r>
        <w:rPr>
          <w:lang w:val="en-IE"/>
        </w:rPr>
        <w:t>DSBs</w:t>
      </w:r>
      <w:r w:rsidRPr="002324B1">
        <w:rPr>
          <w:lang w:val="en-IE"/>
        </w:rPr>
        <w:t>, which prolongs ATM/ATR and CHK1/2 signalling and ultimately increases apoptotic drive.</w:t>
      </w:r>
    </w:p>
    <w:p w14:paraId="176C61CB" w14:textId="22C8BAB7" w:rsidR="002324B1" w:rsidRPr="002324B1" w:rsidRDefault="002324B1" w:rsidP="002324B1">
      <w:pPr>
        <w:rPr>
          <w:lang w:val="en-IE"/>
        </w:rPr>
      </w:pPr>
      <w:r w:rsidRPr="002324B1">
        <w:rPr>
          <w:lang w:val="en-IE"/>
        </w:rPr>
        <w:t>At the population level, all four ODE-derived scores exhibit directionally consistent differences between BRCA wild-type and BRCA-mutant patients (Figure 4). BRCA-mutant patients show higher</w:t>
      </w:r>
      <w:r w:rsidR="00E70A0F">
        <w:rPr>
          <w:lang w:val="en-IE"/>
        </w:rPr>
        <w:t xml:space="preserve">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w:r w:rsidRPr="002324B1">
        <w:rPr>
          <w:lang w:val="en-IE"/>
        </w:rPr>
        <w:t xml:space="preserve">, higher </w:t>
      </w:r>
      <m:oMath>
        <m:sSub>
          <m:sSubPr>
            <m:ctrlPr>
              <w:rPr>
                <w:rFonts w:ascii="Cambria Math" w:hAnsi="Cambria Math"/>
                <w:i/>
              </w:rPr>
            </m:ctrlPr>
          </m:sSubPr>
          <m:e>
            <m:r>
              <w:rPr>
                <w:rFonts w:ascii="Cambria Math" w:hAnsi="Cambria Math"/>
              </w:rPr>
              <m:t>X</m:t>
            </m:r>
          </m:e>
          <m:sub>
            <m:r>
              <w:rPr>
                <w:rFonts w:ascii="Cambria Math" w:hAnsi="Cambria Math"/>
              </w:rPr>
              <m:t>peak</m:t>
            </m:r>
          </m:sub>
        </m:sSub>
      </m:oMath>
      <w:r w:rsidRPr="002324B1">
        <w:rPr>
          <w:lang w:val="en-IE"/>
        </w:rPr>
        <w:t xml:space="preserve">, longer </w:t>
      </w: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Pr="002324B1">
        <w:rPr>
          <w:lang w:val="en-IE"/>
        </w:rPr>
        <w:t>, and marginally elevated residual damage (</w:t>
      </w:r>
      <m:oMath>
        <m:sSub>
          <m:sSubPr>
            <m:ctrlPr>
              <w:rPr>
                <w:rFonts w:ascii="Cambria Math" w:hAnsi="Cambria Math"/>
                <w:lang w:val="en-IE"/>
              </w:rPr>
            </m:ctrlPr>
          </m:sSubPr>
          <m:e>
            <m:r>
              <w:rPr>
                <w:rFonts w:ascii="Cambria Math" w:hAnsi="Cambria Math"/>
                <w:lang w:val="en-IE"/>
              </w:rPr>
              <m:t>D</m:t>
            </m:r>
          </m:e>
          <m:sub>
            <m:r>
              <m:rPr>
                <m:nor/>
              </m:rPr>
              <w:rPr>
                <w:rFonts w:ascii="Cambria Math"/>
                <w:lang w:val="en-IE"/>
              </w:rPr>
              <m:t>resid</m:t>
            </m:r>
          </m:sub>
        </m:sSub>
      </m:oMath>
      <w:r w:rsidRPr="002324B1">
        <w:rPr>
          <w:lang w:val="en-IE"/>
        </w:rPr>
        <w:t>)</w:t>
      </w:r>
      <w:r w:rsidR="00A16BBC">
        <w:rPr>
          <w:lang w:val="en-IE"/>
        </w:rPr>
        <w:t>. Each of these is</w:t>
      </w:r>
      <w:r w:rsidRPr="002324B1">
        <w:rPr>
          <w:lang w:val="en-IE"/>
        </w:rPr>
        <w:t xml:space="preserve"> a mechanistic consequence of impaired HR repair capacity. The absolute magnitude of group differences in </w:t>
      </w: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Pr="002324B1">
        <w:rPr>
          <w:lang w:val="en-IE"/>
        </w:rPr>
        <w:t xml:space="preserve"> and </w:t>
      </w:r>
      <m:oMath>
        <m:sSub>
          <m:sSubPr>
            <m:ctrlPr>
              <w:rPr>
                <w:rFonts w:ascii="Cambria Math" w:hAnsi="Cambria Math"/>
                <w:lang w:val="en-IE"/>
              </w:rPr>
            </m:ctrlPr>
          </m:sSubPr>
          <m:e>
            <m:r>
              <w:rPr>
                <w:rFonts w:ascii="Cambria Math" w:hAnsi="Cambria Math"/>
                <w:lang w:val="en-IE"/>
              </w:rPr>
              <m:t>D</m:t>
            </m:r>
          </m:e>
          <m:sub>
            <m:r>
              <m:rPr>
                <m:nor/>
              </m:rPr>
              <w:rPr>
                <w:rFonts w:ascii="Cambria Math"/>
                <w:lang w:val="en-IE"/>
              </w:rPr>
              <m:t>resid</m:t>
            </m:r>
          </m:sub>
        </m:sSub>
      </m:oMath>
      <w:r w:rsidRPr="002324B1">
        <w:rPr>
          <w:lang w:val="en-IE"/>
        </w:rPr>
        <w:t xml:space="preserve"> is small, reflecting the fact that both groups ultimately resolve damage by the end of the 120-hour simulation window and that the ODE damage dynamics are governed by the same global kinetic constants across all patients. Nevertheless, the directional consistency of all four scores with biological expectation provides confidence that the model is capturing genuine pathway biology rather than arbitrary expression correlations.</w:t>
      </w:r>
    </w:p>
    <w:p w14:paraId="4144BF94" w14:textId="1DB21075" w:rsidR="00A16BBC" w:rsidRPr="00A16BBC" w:rsidRDefault="00A16BBC" w:rsidP="00A16BBC">
      <w:pPr>
        <w:pStyle w:val="Heading2"/>
        <w:rPr>
          <w:lang w:val="en-IE"/>
        </w:rPr>
      </w:pPr>
      <w:r>
        <w:rPr>
          <w:lang w:val="en-IE"/>
        </w:rPr>
        <w:t>4</w:t>
      </w:r>
      <w:r w:rsidRPr="00A16BBC">
        <w:rPr>
          <w:lang w:val="en-IE"/>
        </w:rPr>
        <w:t xml:space="preserve">.2 Survival </w:t>
      </w:r>
      <w:r>
        <w:rPr>
          <w:lang w:val="en-IE"/>
        </w:rPr>
        <w:t>a</w:t>
      </w:r>
      <w:r w:rsidRPr="00A16BBC">
        <w:rPr>
          <w:lang w:val="en-IE"/>
        </w:rPr>
        <w:t xml:space="preserve">ssociations and </w:t>
      </w:r>
      <w:r>
        <w:rPr>
          <w:lang w:val="en-IE"/>
        </w:rPr>
        <w:t>c</w:t>
      </w:r>
      <w:r w:rsidRPr="00A16BBC">
        <w:rPr>
          <w:lang w:val="en-IE"/>
        </w:rPr>
        <w:t xml:space="preserve">linical </w:t>
      </w:r>
      <w:r>
        <w:rPr>
          <w:lang w:val="en-IE"/>
        </w:rPr>
        <w:t>s</w:t>
      </w:r>
      <w:r w:rsidRPr="00A16BBC">
        <w:rPr>
          <w:lang w:val="en-IE"/>
        </w:rPr>
        <w:t>tratification</w:t>
      </w:r>
    </w:p>
    <w:p w14:paraId="057671BA" w14:textId="2FA1634E" w:rsidR="00A16BBC" w:rsidRDefault="00A16BBC" w:rsidP="00A16BBC">
      <w:pPr>
        <w:rPr>
          <w:lang w:val="en-IE"/>
        </w:rPr>
      </w:pPr>
      <w:r w:rsidRPr="00A16BBC">
        <w:rPr>
          <w:lang w:val="en-IE"/>
        </w:rPr>
        <w:t xml:space="preserve">Three of the four ODE scores </w:t>
      </w:r>
      <w:r>
        <w:rPr>
          <w:lang w:val="en-IE"/>
        </w:rPr>
        <w:t>–</w:t>
      </w:r>
      <m:oMath>
        <m:sSub>
          <m:sSubPr>
            <m:ctrlPr>
              <w:rPr>
                <w:rFonts w:ascii="Cambria Math" w:hAnsi="Cambria Math"/>
                <w:i/>
                <w:lang w:val="en-IE"/>
              </w:rPr>
            </m:ctrlPr>
          </m:sSubPr>
          <m:e>
            <m:r>
              <w:rPr>
                <w:rFonts w:ascii="Cambria Math" w:hAnsi="Cambria Math"/>
                <w:lang w:val="en-IE"/>
              </w:rPr>
              <m:t xml:space="preserve"> </m:t>
            </m:r>
            <m:r>
              <w:rPr>
                <w:rFonts w:ascii="Cambria Math" w:hAnsi="Cambria Math"/>
                <w:lang w:val="en-IE"/>
              </w:rPr>
              <m:t>AUC</m:t>
            </m:r>
          </m:e>
          <m:sub>
            <m:r>
              <w:rPr>
                <w:rFonts w:ascii="Cambria Math" w:hAnsi="Cambria Math"/>
                <w:lang w:val="en-IE"/>
              </w:rPr>
              <m:t>X</m:t>
            </m:r>
          </m:sub>
        </m:sSub>
      </m:oMath>
      <w:r w:rsidRPr="00A16BBC">
        <w:rPr>
          <w:lang w:val="en-IE"/>
        </w:rPr>
        <w:t xml:space="preserve">, </w:t>
      </w:r>
      <m:oMath>
        <m:sSub>
          <m:sSubPr>
            <m:ctrlPr>
              <w:rPr>
                <w:rFonts w:ascii="Cambria Math" w:hAnsi="Cambria Math"/>
                <w:i/>
              </w:rPr>
            </m:ctrlPr>
          </m:sSubPr>
          <m:e>
            <m:r>
              <w:rPr>
                <w:rFonts w:ascii="Cambria Math" w:hAnsi="Cambria Math"/>
              </w:rPr>
              <m:t>X</m:t>
            </m:r>
          </m:e>
          <m:sub>
            <m:r>
              <w:rPr>
                <w:rFonts w:ascii="Cambria Math" w:hAnsi="Cambria Math"/>
              </w:rPr>
              <m:t>peak</m:t>
            </m:r>
          </m:sub>
        </m:sSub>
      </m:oMath>
      <w:r w:rsidRPr="00A16BBC">
        <w:rPr>
          <w:lang w:val="en-IE"/>
        </w:rPr>
        <w:t xml:space="preserve">, and </w:t>
      </w: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Pr>
          <w:lang w:val="en-IE"/>
        </w:rPr>
        <w:t>–</w:t>
      </w:r>
      <w:r>
        <w:rPr>
          <w:lang w:val="en-IE"/>
        </w:rPr>
        <w:t xml:space="preserve"> </w:t>
      </w:r>
      <w:r w:rsidRPr="00A16BBC">
        <w:rPr>
          <w:lang w:val="en-IE"/>
        </w:rPr>
        <w:t xml:space="preserve">show statistically significant univariate Cox associations after Z-score standardisation of log-transformed values (all p = 0.015, HR ≈ 0.856 per SD). The hazard ratios are directionally interpretable: for </w:t>
      </w:r>
      <m:oMath>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w:r w:rsidRPr="00A16BBC">
        <w:rPr>
          <w:lang w:val="en-IE"/>
        </w:rPr>
        <w:t xml:space="preserve"> </w:t>
      </w:r>
      <w:r w:rsidRPr="00A16BBC">
        <w:rPr>
          <w:lang w:val="en-IE"/>
        </w:rPr>
        <w:lastRenderedPageBreak/>
        <w:t xml:space="preserve">and </w:t>
      </w:r>
      <m:oMath>
        <m:sSub>
          <m:sSubPr>
            <m:ctrlPr>
              <w:rPr>
                <w:rFonts w:ascii="Cambria Math" w:hAnsi="Cambria Math"/>
                <w:i/>
              </w:rPr>
            </m:ctrlPr>
          </m:sSubPr>
          <m:e>
            <m:r>
              <w:rPr>
                <w:rFonts w:ascii="Cambria Math" w:hAnsi="Cambria Math"/>
              </w:rPr>
              <m:t>X</m:t>
            </m:r>
          </m:e>
          <m:sub>
            <m:r>
              <w:rPr>
                <w:rFonts w:ascii="Cambria Math" w:hAnsi="Cambria Math"/>
              </w:rPr>
              <m:t>peak</m:t>
            </m:r>
          </m:sub>
        </m:sSub>
      </m:oMath>
      <w:r w:rsidRPr="00A16BBC">
        <w:rPr>
          <w:lang w:val="en-IE"/>
        </w:rPr>
        <w:t>, higher apoptotic drive is protective, consistent with greater platinum sensitivity. For</w:t>
      </w:r>
      <m:oMath>
        <m:r>
          <w:rPr>
            <w:rFonts w:ascii="Cambria Math" w:hAnsi="Cambria Math"/>
            <w:lang w:val="en-IE"/>
          </w:rPr>
          <m:t xml:space="preserve"> </m:t>
        </m:r>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Pr="00A16BBC">
        <w:rPr>
          <w:lang w:val="en-IE"/>
        </w:rPr>
        <w:t>, slower damage resolution indicates HR</w:t>
      </w:r>
      <w:r w:rsidR="00130971">
        <w:rPr>
          <w:lang w:val="en-IE"/>
        </w:rPr>
        <w:t xml:space="preserve"> damage</w:t>
      </w:r>
      <w:r w:rsidRPr="00A16BBC">
        <w:rPr>
          <w:lang w:val="en-IE"/>
        </w:rPr>
        <w:t xml:space="preserve"> and is similarly protective. </w:t>
      </w:r>
      <m:oMath>
        <m:sSub>
          <m:sSubPr>
            <m:ctrlPr>
              <w:rPr>
                <w:rFonts w:ascii="Cambria Math" w:hAnsi="Cambria Math"/>
                <w:lang w:val="en-IE"/>
              </w:rPr>
            </m:ctrlPr>
          </m:sSubPr>
          <m:e>
            <m:r>
              <w:rPr>
                <w:rFonts w:ascii="Cambria Math" w:hAnsi="Cambria Math"/>
                <w:lang w:val="en-IE"/>
              </w:rPr>
              <m:t>D</m:t>
            </m:r>
          </m:e>
          <m:sub>
            <m:r>
              <m:rPr>
                <m:nor/>
              </m:rPr>
              <w:rPr>
                <w:rFonts w:ascii="Cambria Math"/>
                <w:lang w:val="en-IE"/>
              </w:rPr>
              <m:t>resid</m:t>
            </m:r>
          </m:sub>
        </m:sSub>
      </m:oMath>
      <w:r w:rsidRPr="00A16BBC">
        <w:rPr>
          <w:lang w:val="en-IE"/>
        </w:rPr>
        <w:t>, by contrast, shows no significant association (p = 0.801), which is expected given that residual damage values are vanishingly small (~10</w:t>
      </w:r>
      <w:r w:rsidRPr="00A16BBC">
        <w:rPr>
          <w:rFonts w:ascii="Cambria Math" w:hAnsi="Cambria Math" w:cs="Cambria Math"/>
          <w:lang w:val="en-IE"/>
        </w:rPr>
        <w:t>⁻</w:t>
      </w:r>
      <w:r w:rsidRPr="00A16BBC">
        <w:rPr>
          <w:lang w:val="en-IE"/>
        </w:rPr>
        <w:t>⁹) and effectively uniform across the cohort</w:t>
      </w:r>
      <w:r w:rsidR="0004561C">
        <w:rPr>
          <w:lang w:val="en-IE"/>
        </w:rPr>
        <w:t xml:space="preserve">. This is </w:t>
      </w:r>
      <w:r w:rsidRPr="00A16BBC">
        <w:rPr>
          <w:lang w:val="en-IE"/>
        </w:rPr>
        <w:t>a consequence of the ODE reaching near-complete damage resolution for all patients within the simulation window.</w:t>
      </w:r>
    </w:p>
    <w:p w14:paraId="33FE9208" w14:textId="6427E834" w:rsidR="00BF02F4" w:rsidRPr="00BF02F4" w:rsidRDefault="00307EEA" w:rsidP="00BF02F4">
      <w:pPr>
        <w:rPr>
          <w:lang w:val="en-IE"/>
        </w:rPr>
      </w:pPr>
      <w:r>
        <w:rPr>
          <w:lang w:val="en-IE"/>
        </w:rPr>
        <w:t>KM</w:t>
      </w:r>
      <w:r w:rsidR="00BF02F4" w:rsidRPr="00BF02F4">
        <w:rPr>
          <w:lang w:val="en-IE"/>
        </w:rPr>
        <w:t xml:space="preserve"> stratification results must be interpreted with careful distinction between pre-specified and exploratory analyses. For all three prognostic scores, the pre-specified tertile splits </w:t>
      </w:r>
      <w:r w:rsidR="00BF02F4">
        <w:rPr>
          <w:lang w:val="en-IE"/>
        </w:rPr>
        <w:t>(</w:t>
      </w:r>
      <w:r w:rsidR="00BF02F4" w:rsidRPr="00BF02F4">
        <w:rPr>
          <w:lang w:val="en-IE"/>
        </w:rPr>
        <w:t>defined independently of outcome data</w:t>
      </w:r>
      <w:r w:rsidR="00BF02F4">
        <w:rPr>
          <w:lang w:val="en-IE"/>
        </w:rPr>
        <w:t>)</w:t>
      </w:r>
      <w:r w:rsidR="00BF02F4" w:rsidRPr="00BF02F4">
        <w:rPr>
          <w:lang w:val="en-IE"/>
        </w:rPr>
        <w:t xml:space="preserve"> show monotonic trends in the biologically expected direction but do not reach statistical significance. This non-significance under a valid pre-specified design is an important finding: it indicates that while the ODE score carries genuine continuous-scale prognostic information (as confirmed by the Cox analysis), the signal is not strong enough to support reliable three-group clinical stratification in a cohort of this size and event rate. The exploratory binary splits at cohort median or scan-optimised cutpoints yield statistically significant log-rank p-values (p = 0.022 and p = 0.008 for</w:t>
      </w:r>
      <m:oMath>
        <m:r>
          <w:rPr>
            <w:rFonts w:ascii="Cambria Math" w:hAnsi="Cambria Math"/>
            <w:lang w:val="en-IE"/>
          </w:rPr>
          <m:t xml:space="preserve"> </m:t>
        </m:r>
        <m:sSub>
          <m:sSubPr>
            <m:ctrlPr>
              <w:rPr>
                <w:rFonts w:ascii="Cambria Math" w:hAnsi="Cambria Math"/>
                <w:i/>
                <w:lang w:val="en-IE"/>
              </w:rPr>
            </m:ctrlPr>
          </m:sSubPr>
          <m:e>
            <m:r>
              <w:rPr>
                <w:rFonts w:ascii="Cambria Math" w:hAnsi="Cambria Math"/>
                <w:lang w:val="en-IE"/>
              </w:rPr>
              <m:t>AUC</m:t>
            </m:r>
          </m:e>
          <m:sub>
            <m:r>
              <w:rPr>
                <w:rFonts w:ascii="Cambria Math" w:hAnsi="Cambria Math"/>
                <w:lang w:val="en-IE"/>
              </w:rPr>
              <m:t>X</m:t>
            </m:r>
          </m:sub>
        </m:sSub>
      </m:oMath>
      <w:r w:rsidR="00BF02F4" w:rsidRPr="00BF02F4">
        <w:rPr>
          <w:lang w:val="en-IE"/>
        </w:rPr>
        <w:t xml:space="preserve">; similar results for </w:t>
      </w:r>
      <m:oMath>
        <m:sSub>
          <m:sSubPr>
            <m:ctrlPr>
              <w:rPr>
                <w:rFonts w:ascii="Cambria Math" w:hAnsi="Cambria Math"/>
                <w:i/>
              </w:rPr>
            </m:ctrlPr>
          </m:sSubPr>
          <m:e>
            <m:r>
              <w:rPr>
                <w:rFonts w:ascii="Cambria Math" w:hAnsi="Cambria Math"/>
              </w:rPr>
              <m:t>X</m:t>
            </m:r>
          </m:e>
          <m:sub>
            <m:r>
              <w:rPr>
                <w:rFonts w:ascii="Cambria Math" w:hAnsi="Cambria Math"/>
              </w:rPr>
              <m:t>peak</m:t>
            </m:r>
          </m:sub>
        </m:sSub>
      </m:oMath>
      <w:r w:rsidR="00BF02F4" w:rsidRPr="00BF02F4">
        <w:rPr>
          <w:lang w:val="en-IE"/>
        </w:rPr>
        <w:t xml:space="preserve">and </w:t>
      </w: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oMath>
      <w:r w:rsidR="00BF02F4" w:rsidRPr="00BF02F4">
        <w:rPr>
          <w:lang w:val="en-IE"/>
        </w:rPr>
        <w:t>). However, because these cutpoints were selected post-hoc by searching the outcome data, the resulting p-values are subject to multiple-testing inflation and should be treated as hypothesis-generating rather than confirmatory. The scan-optimised cutpoint analysis is retained in this report as an honest representation of exploratory findings, with the caveat noted explicitly.</w:t>
      </w:r>
    </w:p>
    <w:p w14:paraId="6075032B" w14:textId="60C75980" w:rsidR="007537E6" w:rsidRPr="007537E6" w:rsidRDefault="007537E6" w:rsidP="007537E6">
      <w:pPr>
        <w:pStyle w:val="Heading2"/>
        <w:rPr>
          <w:lang w:val="en-IE"/>
        </w:rPr>
      </w:pPr>
      <w:r>
        <w:rPr>
          <w:lang w:val="en-IE"/>
        </w:rPr>
        <w:t>4</w:t>
      </w:r>
      <w:r w:rsidRPr="007537E6">
        <w:rPr>
          <w:lang w:val="en-IE"/>
        </w:rPr>
        <w:t xml:space="preserve">.3 </w:t>
      </w:r>
      <w:r>
        <w:rPr>
          <w:lang w:val="en-IE"/>
        </w:rPr>
        <w:t xml:space="preserve">MM </w:t>
      </w:r>
      <w:r w:rsidRPr="007537E6">
        <w:rPr>
          <w:lang w:val="en-IE"/>
        </w:rPr>
        <w:t xml:space="preserve">versus </w:t>
      </w:r>
      <w:r>
        <w:rPr>
          <w:lang w:val="en-IE"/>
        </w:rPr>
        <w:t>d</w:t>
      </w:r>
      <w:r w:rsidRPr="007537E6">
        <w:rPr>
          <w:lang w:val="en-IE"/>
        </w:rPr>
        <w:t>ata-</w:t>
      </w:r>
      <w:r>
        <w:rPr>
          <w:lang w:val="en-IE"/>
        </w:rPr>
        <w:t>t</w:t>
      </w:r>
      <w:r w:rsidRPr="007537E6">
        <w:rPr>
          <w:lang w:val="en-IE"/>
        </w:rPr>
        <w:t xml:space="preserve">rained </w:t>
      </w:r>
      <w:r>
        <w:rPr>
          <w:lang w:val="en-IE"/>
        </w:rPr>
        <w:t>b</w:t>
      </w:r>
      <w:r w:rsidRPr="007537E6">
        <w:rPr>
          <w:lang w:val="en-IE"/>
        </w:rPr>
        <w:t>enchmarks</w:t>
      </w:r>
    </w:p>
    <w:p w14:paraId="04077B6A" w14:textId="111514F8" w:rsidR="007537E6" w:rsidRPr="007537E6" w:rsidRDefault="007537E6" w:rsidP="007537E6">
      <w:pPr>
        <w:rPr>
          <w:lang w:val="en-IE"/>
        </w:rPr>
      </w:pPr>
      <w:r w:rsidRPr="007537E6">
        <w:rPr>
          <w:lang w:val="en-IE"/>
        </w:rPr>
        <w:t xml:space="preserve">The central benchmarking finding is that the zero-shot ODE (C = 0.533, 95% CI: [0.495, 0.574]) outperforms both the 14-gene Cox LASSO (C = 0.504, CI: [0.468, 0.548]) and the 14-gene RSF (C = 0.480, CI: [0.472, 0.551]) when all models are restricted to the same feature set. This result is notable because the ODE does so without any outcome-based training, while the Cox LASSO and RSF were optimised using 5-fold cross-validation on the target cohort. The advantage of the ODE model on a 14-gene feature set reflects the regularising effect of mechanistic biological structure: rather than allowing the model to </w:t>
      </w:r>
      <w:r w:rsidRPr="007537E6">
        <w:rPr>
          <w:lang w:val="en-IE"/>
        </w:rPr>
        <w:lastRenderedPageBreak/>
        <w:t xml:space="preserve">learn arbitrary linear or non-linear combinations of 14 correlated expression values </w:t>
      </w:r>
      <w:r>
        <w:rPr>
          <w:lang w:val="en-IE"/>
        </w:rPr>
        <w:t>(</w:t>
      </w:r>
      <w:r w:rsidRPr="007537E6">
        <w:rPr>
          <w:lang w:val="en-IE"/>
        </w:rPr>
        <w:t>a setting prone to overfitting even with penalisation</w:t>
      </w:r>
      <w:r>
        <w:rPr>
          <w:lang w:val="en-IE"/>
        </w:rPr>
        <w:t>),</w:t>
      </w:r>
      <w:r w:rsidRPr="007537E6">
        <w:rPr>
          <w:lang w:val="en-IE"/>
        </w:rPr>
        <w:t xml:space="preserve"> the ODE constrains parameter estimation via a system of differential equations whose structure encodes prior biological knowledge. This prior prevents the model from exploiting spurious noise in the training data.</w:t>
      </w:r>
    </w:p>
    <w:p w14:paraId="62DB0191" w14:textId="49514D07" w:rsidR="007537E6" w:rsidRDefault="007537E6" w:rsidP="007537E6">
      <w:pPr>
        <w:rPr>
          <w:lang w:val="en-IE"/>
        </w:rPr>
      </w:pPr>
      <w:r w:rsidRPr="007537E6">
        <w:rPr>
          <w:lang w:val="en-IE"/>
        </w:rPr>
        <w:t>When data-trained models are given access to the full transcriptome (27,066 genes), they recover additional survival signal and achieve higher C-indices (C = 0.569 for all-genes LASSO; C = 0.549 for all-genes RSF). The superior performance of genome-wide models suggests that the survival signal in this cohort extends beyond the 14-gene HR-DDR pathway</w:t>
      </w:r>
      <w:r>
        <w:rPr>
          <w:lang w:val="en-IE"/>
        </w:rPr>
        <w:t xml:space="preserve">, </w:t>
      </w:r>
      <w:r w:rsidRPr="007537E6">
        <w:rPr>
          <w:lang w:val="en-IE"/>
        </w:rPr>
        <w:t xml:space="preserve">likely including proliferation signatures, immune infiltration, and stromal microenvironment components that are not encoded in the ODE. Critically, however, the </w:t>
      </w:r>
      <w:r>
        <w:rPr>
          <w:lang w:val="en-IE"/>
        </w:rPr>
        <w:t>CIs</w:t>
      </w:r>
      <w:r w:rsidRPr="007537E6">
        <w:rPr>
          <w:lang w:val="en-IE"/>
        </w:rPr>
        <w:t xml:space="preserve"> of the all-genes models still overlap substantially with those of the zero-shot ODE, and the ODE requires no training data, no hyperparameter search, and no outcome information at all. This represents a meaningful practical advantage in clinical or translational settings where outcome data are scarce.</w:t>
      </w:r>
    </w:p>
    <w:p w14:paraId="52236733" w14:textId="4AC5EB3C" w:rsidR="007537E6" w:rsidRPr="007537E6" w:rsidRDefault="00D20D91" w:rsidP="007537E6">
      <w:pPr>
        <w:pStyle w:val="Heading2"/>
      </w:pPr>
      <w:r>
        <w:t>4</w:t>
      </w:r>
      <w:r w:rsidR="007537E6" w:rsidRPr="007537E6">
        <w:t xml:space="preserve">.4 Alignment between </w:t>
      </w:r>
      <w:r w:rsidR="007537E6">
        <w:t>m</w:t>
      </w:r>
      <w:r w:rsidR="007537E6" w:rsidRPr="007537E6">
        <w:t xml:space="preserve">echanistic and </w:t>
      </w:r>
      <w:r w:rsidR="007537E6">
        <w:t>d</w:t>
      </w:r>
      <w:r w:rsidR="007537E6" w:rsidRPr="007537E6">
        <w:t>ata-</w:t>
      </w:r>
      <w:r w:rsidR="007537E6">
        <w:t>t</w:t>
      </w:r>
      <w:r w:rsidR="007537E6" w:rsidRPr="007537E6">
        <w:t xml:space="preserve">rained </w:t>
      </w:r>
      <w:r w:rsidR="007537E6">
        <w:t>f</w:t>
      </w:r>
      <w:r w:rsidR="007537E6" w:rsidRPr="007537E6">
        <w:t xml:space="preserve">eature </w:t>
      </w:r>
      <w:r w:rsidR="007537E6">
        <w:t>i</w:t>
      </w:r>
      <w:r w:rsidR="007537E6" w:rsidRPr="007537E6">
        <w:t>mportance</w:t>
      </w:r>
    </w:p>
    <w:p w14:paraId="333AEE3D" w14:textId="34D24AA9" w:rsidR="007537E6" w:rsidRPr="007537E6" w:rsidRDefault="007537E6" w:rsidP="007537E6">
      <w:pPr>
        <w:rPr>
          <w:lang w:val="en-IE"/>
        </w:rPr>
      </w:pPr>
      <w:r w:rsidRPr="007537E6">
        <w:rPr>
          <w:lang w:val="en-IE"/>
        </w:rPr>
        <w:t>Examining which genes drive the data-trained ML models (Figures 19–20) reveals substantial overlap with the ODE parameterisation logic, providing cross-validation of the mechanistic framework. In the Cox LASSO model, the genes with the largest coefficient magnitudes are CHK2 (−0.195, protective), BRIP1 (−0.130, protective), and CHK1 (−0.121, protective) on the checkpoint effector side, and BRCA2 (+0.141, risk) and RAD51 (+0.102, risk) on the HR repair machinery side. The protective direction of checkpoint kinases is biologically coherent: robust CHK1/2 activation prolongs cell cycle arrest, allowing apoptotic commitment to accumulate in cells with insufficient repair capacity. The positive (risk-increasing) coefficients for BRCA2 and RAD51 likewise align with the ODE: tumours with high HR repair gene expression are repair-proficient and therefore platinum-resistant.</w:t>
      </w:r>
    </w:p>
    <w:p w14:paraId="76D26469" w14:textId="76C752B3" w:rsidR="007537E6" w:rsidRPr="007537E6" w:rsidRDefault="007537E6" w:rsidP="007537E6">
      <w:pPr>
        <w:rPr>
          <w:lang w:val="en-IE"/>
        </w:rPr>
      </w:pPr>
      <w:r w:rsidRPr="007537E6">
        <w:rPr>
          <w:lang w:val="en-IE"/>
        </w:rPr>
        <w:t xml:space="preserve">In the RSF permutation importance analysis, BRCA2 is the single most important feature (mean C-index drop = 0.032), followed by PALB2 (0.024), CHK2 (0.024), and RAD51 </w:t>
      </w:r>
      <w:r w:rsidRPr="007537E6">
        <w:rPr>
          <w:lang w:val="en-IE"/>
        </w:rPr>
        <w:lastRenderedPageBreak/>
        <w:t xml:space="preserve">(0.023). This ranking closely mirrors the structure of the ODE's </w:t>
      </w:r>
      <m:oMath>
        <m:sSub>
          <m:sSubPr>
            <m:ctrlPr>
              <w:rPr>
                <w:rFonts w:ascii="Cambria Math" w:hAnsi="Cambria Math"/>
                <w:bCs/>
                <w:i/>
                <w:iCs/>
                <w:color w:val="0E2841" w:themeColor="text2"/>
                <w:sz w:val="20"/>
                <w:szCs w:val="20"/>
                <w:lang w:val="en-IE"/>
              </w:rPr>
            </m:ctrlPr>
          </m:sSubPr>
          <m:e>
            <m:r>
              <m:rPr>
                <m:sty m:val="p"/>
              </m:rPr>
              <w:rPr>
                <w:rFonts w:ascii="Cambria Math" w:hAnsi="Cambria Math"/>
                <w:sz w:val="20"/>
                <w:szCs w:val="20"/>
                <w:lang w:val="en-IE"/>
              </w:rPr>
              <m:t>BRCA</m:t>
            </m:r>
          </m:e>
          <m:sub>
            <m:r>
              <m:rPr>
                <m:sty m:val="p"/>
              </m:rPr>
              <w:rPr>
                <w:rFonts w:ascii="Cambria Math" w:hAnsi="Cambria Math"/>
                <w:sz w:val="20"/>
                <w:szCs w:val="20"/>
                <w:lang w:val="en-IE"/>
              </w:rPr>
              <m:t>cap</m:t>
            </m:r>
          </m:sub>
        </m:sSub>
        <m:r>
          <w:rPr>
            <w:rFonts w:ascii="Cambria Math" w:hAnsi="Cambria Math"/>
            <w:color w:val="0E2841" w:themeColor="text2"/>
            <w:sz w:val="20"/>
            <w:szCs w:val="20"/>
            <w:lang w:val="en-IE"/>
          </w:rPr>
          <m:t xml:space="preserve"> </m:t>
        </m:r>
      </m:oMath>
      <w:r w:rsidRPr="007537E6">
        <w:rPr>
          <w:lang w:val="en-IE"/>
        </w:rPr>
        <w:t xml:space="preserve">parameter, which is computed as the geometric mean of BRCA1, BRCA2, RAD51, PALB2, and BRIP1 </w:t>
      </w:r>
      <w:r>
        <w:rPr>
          <w:lang w:val="en-IE"/>
        </w:rPr>
        <w:t xml:space="preserve">– </w:t>
      </w:r>
      <w:r w:rsidRPr="007537E6">
        <w:rPr>
          <w:lang w:val="en-IE"/>
        </w:rPr>
        <w:t>exactly the genes that emerge as most important in the data-driven model. The convergence between an independently trained ensemble model and a literature-derived mechanistic parameterisation provides strong evidence that these genes are carrying genuine biological signal, not cohort-specific noise.</w:t>
      </w:r>
    </w:p>
    <w:p w14:paraId="090323E4" w14:textId="749C698B" w:rsidR="007537E6" w:rsidRPr="007537E6" w:rsidRDefault="007537E6" w:rsidP="007537E6">
      <w:pPr>
        <w:rPr>
          <w:lang w:val="en-IE"/>
        </w:rPr>
      </w:pPr>
      <w:r w:rsidRPr="007537E6">
        <w:rPr>
          <w:lang w:val="en-IE"/>
        </w:rPr>
        <w:t xml:space="preserve">The apoptotic regulators (BCL2, BAX, BAD, BCL2L1) show consistently low importance in the RSF and small coefficients in the LASSO, suggesting that the </w:t>
      </w:r>
      <m:oMath>
        <m:sSub>
          <m:sSubPr>
            <m:ctrlPr>
              <w:rPr>
                <w:rFonts w:ascii="Cambria Math" w:hAnsi="Cambria Math"/>
                <w:bCs/>
                <w:i/>
                <w:iCs/>
                <w:color w:val="0E2841" w:themeColor="text2"/>
                <w:sz w:val="20"/>
                <w:szCs w:val="20"/>
                <w:lang w:val="en-IE"/>
              </w:rPr>
            </m:ctrlPr>
          </m:sSubPr>
          <m:e>
            <m:r>
              <m:rPr>
                <m:sty m:val="p"/>
              </m:rPr>
              <w:rPr>
                <w:rFonts w:ascii="Cambria Math" w:hAnsi="Cambria Math"/>
                <w:sz w:val="20"/>
                <w:szCs w:val="20"/>
                <w:lang w:val="en-IE"/>
              </w:rPr>
              <m:t>BCL2</m:t>
            </m:r>
          </m:e>
          <m:sub>
            <m:r>
              <m:rPr>
                <m:sty m:val="p"/>
              </m:rPr>
              <w:rPr>
                <w:rFonts w:ascii="Cambria Math" w:hAnsi="Cambria Math"/>
                <w:sz w:val="20"/>
                <w:szCs w:val="20"/>
                <w:lang w:val="en-IE"/>
              </w:rPr>
              <m:t>ratio</m:t>
            </m:r>
          </m:sub>
        </m:sSub>
        <m:r>
          <w:rPr>
            <w:rFonts w:ascii="Cambria Math" w:hAnsi="Cambria Math"/>
            <w:color w:val="0E2841" w:themeColor="text2"/>
            <w:sz w:val="20"/>
            <w:szCs w:val="20"/>
            <w:lang w:val="en-IE"/>
          </w:rPr>
          <m:t xml:space="preserve"> </m:t>
        </m:r>
      </m:oMath>
      <w:r w:rsidRPr="007537E6">
        <w:rPr>
          <w:lang w:val="en-IE"/>
        </w:rPr>
        <w:t xml:space="preserve">parameter contributes minimally to the survival signal in this cohort. This may reflect the complexity of BCL-2 family regulation in cancer, where post-translational modifications and protein-protein interactions </w:t>
      </w:r>
      <w:r>
        <w:rPr>
          <w:lang w:val="en-IE"/>
        </w:rPr>
        <w:t xml:space="preserve">(which are </w:t>
      </w:r>
      <w:r w:rsidRPr="007537E6">
        <w:rPr>
          <w:lang w:val="en-IE"/>
        </w:rPr>
        <w:t>not captured by steady-state mRNA expression</w:t>
      </w:r>
      <w:r>
        <w:rPr>
          <w:lang w:val="en-IE"/>
        </w:rPr>
        <w:t>)</w:t>
      </w:r>
      <w:r w:rsidRPr="007537E6">
        <w:rPr>
          <w:lang w:val="en-IE"/>
        </w:rPr>
        <w:t xml:space="preserve"> dominate functional anti-apoptotic buffering.</w:t>
      </w:r>
    </w:p>
    <w:p w14:paraId="39E7C1D0" w14:textId="320FDE67" w:rsidR="00D20D91" w:rsidRPr="00D20D91" w:rsidRDefault="00D20D91" w:rsidP="00D20D91">
      <w:pPr>
        <w:pStyle w:val="Heading2"/>
        <w:rPr>
          <w:lang w:val="en-IE"/>
        </w:rPr>
      </w:pPr>
      <w:r>
        <w:rPr>
          <w:lang w:val="en-IE"/>
        </w:rPr>
        <w:t>4</w:t>
      </w:r>
      <w:r w:rsidRPr="00D20D91">
        <w:rPr>
          <w:lang w:val="en-IE"/>
        </w:rPr>
        <w:t>.5 Limitations</w:t>
      </w:r>
    </w:p>
    <w:p w14:paraId="0B032E05" w14:textId="77777777" w:rsidR="00D20D91" w:rsidRPr="00D20D91" w:rsidRDefault="00D20D91" w:rsidP="00D20D91">
      <w:pPr>
        <w:rPr>
          <w:lang w:val="en-IE"/>
        </w:rPr>
      </w:pPr>
      <w:r w:rsidRPr="00D20D91">
        <w:rPr>
          <w:lang w:val="en-IE"/>
        </w:rPr>
        <w:t>Several limitations constrain the interpretation of these findings.</w:t>
      </w:r>
    </w:p>
    <w:p w14:paraId="1409270C" w14:textId="41BF82B2" w:rsidR="00D20D91" w:rsidRDefault="00D20D91" w:rsidP="00D20D91">
      <w:pPr>
        <w:rPr>
          <w:lang w:val="en-IE"/>
        </w:rPr>
      </w:pPr>
      <w:r w:rsidRPr="00D20D91">
        <w:rPr>
          <w:b/>
          <w:bCs/>
          <w:lang w:val="en-IE"/>
        </w:rPr>
        <w:t>Fixed kinetic parameters.</w:t>
      </w:r>
      <w:r w:rsidRPr="00D20D91">
        <w:rPr>
          <w:lang w:val="en-IE"/>
        </w:rPr>
        <w:t xml:space="preserve"> All global kinetic rate constants (damage induction rate, ATM/ATR activation, CHK1/2 dynamics, and apoptotic threshold) are </w:t>
      </w:r>
      <w:r w:rsidR="009312AC">
        <w:rPr>
          <w:lang w:val="en-IE"/>
        </w:rPr>
        <w:t>inspired</w:t>
      </w:r>
      <w:r w:rsidRPr="00D20D91">
        <w:rPr>
          <w:lang w:val="en-IE"/>
        </w:rPr>
        <w:t xml:space="preserve"> from </w:t>
      </w:r>
      <w:r w:rsidRPr="00D20D91">
        <w:rPr>
          <w:i/>
          <w:iCs/>
          <w:lang w:val="en-IE"/>
        </w:rPr>
        <w:t>in vitro</w:t>
      </w:r>
      <w:r w:rsidRPr="00D20D91">
        <w:rPr>
          <w:lang w:val="en-IE"/>
        </w:rPr>
        <w:t xml:space="preserve"> mechanistic studies and held constant across all patients. This assumption is a structural simplification: kinetic rates vary between cell types, are modulated by somatic mutations beyond BRCA1/2, and are perturbed by the tumour microenvironment. Patient-specific calibration of these parameters </w:t>
      </w:r>
      <w:r w:rsidR="009312AC">
        <w:rPr>
          <w:lang w:val="en-IE"/>
        </w:rPr>
        <w:t>(e.g.</w:t>
      </w:r>
      <w:r w:rsidRPr="00D20D91">
        <w:rPr>
          <w:lang w:val="en-IE"/>
        </w:rPr>
        <w:t xml:space="preserve"> using protein-level proteomic data or </w:t>
      </w:r>
      <w:r w:rsidRPr="009312AC">
        <w:rPr>
          <w:i/>
          <w:iCs/>
          <w:lang w:val="en-IE"/>
        </w:rPr>
        <w:t>ex vivo</w:t>
      </w:r>
      <w:r w:rsidRPr="00D20D91">
        <w:rPr>
          <w:lang w:val="en-IE"/>
        </w:rPr>
        <w:t xml:space="preserve"> drug response measurements</w:t>
      </w:r>
      <w:r w:rsidR="009312AC">
        <w:rPr>
          <w:lang w:val="en-IE"/>
        </w:rPr>
        <w:t>)</w:t>
      </w:r>
      <w:r w:rsidRPr="00D20D91">
        <w:rPr>
          <w:lang w:val="en-IE"/>
        </w:rPr>
        <w:t xml:space="preserve"> would likely improve discriminatory performance but would require additional data sources not available in the TCGA cohort.</w:t>
      </w:r>
    </w:p>
    <w:p w14:paraId="60423E48" w14:textId="5AA1E0C2" w:rsidR="009312AC" w:rsidRDefault="009312AC" w:rsidP="009312AC">
      <w:pPr>
        <w:rPr>
          <w:lang w:val="en-IE"/>
        </w:rPr>
      </w:pPr>
      <w:r w:rsidRPr="009312AC">
        <w:rPr>
          <w:b/>
          <w:bCs/>
          <w:lang w:val="en-IE"/>
        </w:rPr>
        <w:t>Transcriptomic proxies for protein-level activity.</w:t>
      </w:r>
      <w:r w:rsidRPr="009312AC">
        <w:rPr>
          <w:lang w:val="en-IE"/>
        </w:rPr>
        <w:t xml:space="preserve"> The ODE parameters (</w:t>
      </w:r>
      <m:oMath>
        <m:sSub>
          <m:sSubPr>
            <m:ctrlPr>
              <w:rPr>
                <w:rFonts w:ascii="Cambria Math" w:hAnsi="Cambria Math"/>
                <w:bCs/>
                <w:i/>
                <w:iCs/>
                <w:color w:val="0E2841" w:themeColor="text2"/>
                <w:sz w:val="20"/>
                <w:szCs w:val="20"/>
                <w:lang w:val="en-IE"/>
              </w:rPr>
            </m:ctrlPr>
          </m:sSubPr>
          <m:e>
            <m:r>
              <m:rPr>
                <m:sty m:val="p"/>
              </m:rPr>
              <w:rPr>
                <w:rFonts w:ascii="Cambria Math" w:hAnsi="Cambria Math"/>
                <w:sz w:val="20"/>
                <w:szCs w:val="20"/>
                <w:lang w:val="en-IE"/>
              </w:rPr>
              <m:t>BRCA</m:t>
            </m:r>
          </m:e>
          <m:sub>
            <m:r>
              <m:rPr>
                <m:sty m:val="p"/>
              </m:rPr>
              <w:rPr>
                <w:rFonts w:ascii="Cambria Math" w:hAnsi="Cambria Math"/>
                <w:sz w:val="20"/>
                <w:szCs w:val="20"/>
                <w:lang w:val="en-IE"/>
              </w:rPr>
              <m:t>cap</m:t>
            </m:r>
          </m:sub>
        </m:sSub>
      </m:oMath>
      <w:r w:rsidRPr="009312AC">
        <w:rPr>
          <w:lang w:val="en-IE"/>
        </w:rPr>
        <w:t>,</w:t>
      </w:r>
      <w:r w:rsidRPr="00E70A0F">
        <w:rPr>
          <w:bCs/>
          <w:lang w:val="en-IE"/>
        </w:rPr>
        <w:t xml:space="preserve"> </w:t>
      </w:r>
      <m:oMath>
        <m:sSub>
          <m:sSubPr>
            <m:ctrlPr>
              <w:rPr>
                <w:rFonts w:ascii="Cambria Math" w:hAnsi="Cambria Math"/>
                <w:bCs/>
                <w:i/>
                <w:iCs/>
                <w:color w:val="0E2841" w:themeColor="text2"/>
                <w:sz w:val="20"/>
                <w:szCs w:val="20"/>
                <w:lang w:val="en-IE"/>
              </w:rPr>
            </m:ctrlPr>
          </m:sSubPr>
          <m:e>
            <m:r>
              <m:rPr>
                <m:sty m:val="p"/>
              </m:rPr>
              <w:rPr>
                <w:rFonts w:ascii="Cambria Math" w:hAnsi="Cambria Math"/>
                <w:sz w:val="20"/>
                <w:szCs w:val="20"/>
                <w:lang w:val="en-IE"/>
              </w:rPr>
              <m:t>ATM</m:t>
            </m:r>
          </m:e>
          <m:sub>
            <m:r>
              <m:rPr>
                <m:sty m:val="p"/>
              </m:rPr>
              <w:rPr>
                <w:rFonts w:ascii="Cambria Math" w:hAnsi="Cambria Math"/>
                <w:sz w:val="20"/>
                <w:szCs w:val="20"/>
                <w:lang w:val="en-IE"/>
              </w:rPr>
              <m:t>tot</m:t>
            </m:r>
          </m:sub>
        </m:sSub>
      </m:oMath>
      <w:r w:rsidRPr="009312AC">
        <w:rPr>
          <w:lang w:val="en-IE"/>
        </w:rPr>
        <w:t xml:space="preserve">, </w:t>
      </w:r>
      <m:oMath>
        <m:sSub>
          <m:sSubPr>
            <m:ctrlPr>
              <w:rPr>
                <w:rFonts w:ascii="Cambria Math" w:hAnsi="Cambria Math"/>
                <w:bCs/>
                <w:i/>
                <w:iCs/>
                <w:color w:val="0E2841" w:themeColor="text2"/>
                <w:sz w:val="20"/>
                <w:szCs w:val="20"/>
                <w:lang w:val="en-IE"/>
              </w:rPr>
            </m:ctrlPr>
          </m:sSubPr>
          <m:e>
            <m:r>
              <m:rPr>
                <m:sty m:val="p"/>
              </m:rPr>
              <w:rPr>
                <w:rFonts w:ascii="Cambria Math" w:hAnsi="Cambria Math"/>
                <w:sz w:val="20"/>
                <w:szCs w:val="20"/>
                <w:lang w:val="en-IE"/>
              </w:rPr>
              <m:t>CHK</m:t>
            </m:r>
          </m:e>
          <m:sub>
            <m:r>
              <m:rPr>
                <m:sty m:val="p"/>
              </m:rPr>
              <w:rPr>
                <w:rFonts w:ascii="Cambria Math" w:hAnsi="Cambria Math"/>
                <w:sz w:val="20"/>
                <w:szCs w:val="20"/>
                <w:lang w:val="en-IE"/>
              </w:rPr>
              <m:t>tot</m:t>
            </m:r>
          </m:sub>
        </m:sSub>
      </m:oMath>
      <w:r w:rsidRPr="009312AC">
        <w:rPr>
          <w:lang w:val="en-IE"/>
        </w:rPr>
        <w:t xml:space="preserve">, </w:t>
      </w:r>
      <m:oMath>
        <m:sSub>
          <m:sSubPr>
            <m:ctrlPr>
              <w:rPr>
                <w:rFonts w:ascii="Cambria Math" w:hAnsi="Cambria Math"/>
                <w:bCs/>
                <w:i/>
                <w:iCs/>
                <w:color w:val="0E2841" w:themeColor="text2"/>
                <w:sz w:val="20"/>
                <w:szCs w:val="20"/>
                <w:lang w:val="en-IE"/>
              </w:rPr>
            </m:ctrlPr>
          </m:sSubPr>
          <m:e>
            <m:r>
              <m:rPr>
                <m:sty m:val="p"/>
              </m:rPr>
              <w:rPr>
                <w:rFonts w:ascii="Cambria Math" w:hAnsi="Cambria Math"/>
                <w:sz w:val="20"/>
                <w:szCs w:val="20"/>
                <w:lang w:val="en-IE"/>
              </w:rPr>
              <m:t>BCL2</m:t>
            </m:r>
          </m:e>
          <m:sub>
            <m:r>
              <m:rPr>
                <m:sty m:val="p"/>
              </m:rPr>
              <w:rPr>
                <w:rFonts w:ascii="Cambria Math" w:hAnsi="Cambria Math"/>
                <w:sz w:val="20"/>
                <w:szCs w:val="20"/>
                <w:lang w:val="en-IE"/>
              </w:rPr>
              <m:t>ratio</m:t>
            </m:r>
          </m:sub>
        </m:sSub>
      </m:oMath>
      <w:r w:rsidRPr="009312AC">
        <w:rPr>
          <w:lang w:val="en-IE"/>
        </w:rPr>
        <w:t xml:space="preserve">) are computed from steady-state FPKM RNA expression values. Transcript abundance is an imperfect proxy for the functional protein activity that governs kinetic rates, due to post-transcriptional regulation, protein stability differences, and context-dependent activity modulation. </w:t>
      </w:r>
    </w:p>
    <w:p w14:paraId="7CA26483" w14:textId="72E34EA3" w:rsidR="00730200" w:rsidRDefault="00730200" w:rsidP="00730200">
      <w:pPr>
        <w:rPr>
          <w:lang w:val="en-IE"/>
        </w:rPr>
      </w:pPr>
      <w:r w:rsidRPr="00730200">
        <w:rPr>
          <w:b/>
          <w:bCs/>
          <w:lang w:val="en-IE"/>
        </w:rPr>
        <w:lastRenderedPageBreak/>
        <w:t xml:space="preserve">Residual damage and </w:t>
      </w:r>
      <m:oMath>
        <m:sSub>
          <m:sSubPr>
            <m:ctrlPr>
              <w:rPr>
                <w:rFonts w:ascii="Cambria Math" w:hAnsi="Cambria Math"/>
                <w:bCs/>
                <w:lang w:val="en-IE"/>
              </w:rPr>
            </m:ctrlPr>
          </m:sSubPr>
          <m:e>
            <m:r>
              <w:rPr>
                <w:rFonts w:ascii="Cambria Math" w:hAnsi="Cambria Math"/>
                <w:lang w:val="en-IE"/>
              </w:rPr>
              <m:t>T</m:t>
            </m:r>
          </m:e>
          <m:sub>
            <m:r>
              <m:rPr>
                <m:nor/>
              </m:rPr>
              <w:rPr>
                <w:bCs/>
                <w:lang w:val="en-IE"/>
              </w:rPr>
              <m:t>repair</m:t>
            </m:r>
          </m:sub>
        </m:sSub>
      </m:oMath>
      <w:r>
        <w:rPr>
          <w:rFonts w:eastAsiaTheme="minorEastAsia"/>
          <w:bCs/>
          <w:lang w:val="en-IE"/>
        </w:rPr>
        <w:t xml:space="preserve"> </w:t>
      </w:r>
      <w:r w:rsidRPr="00730200">
        <w:rPr>
          <w:b/>
          <w:bCs/>
          <w:lang w:val="en-IE"/>
        </w:rPr>
        <w:t>as discrete outputs.</w:t>
      </w:r>
      <w:r w:rsidRPr="00730200">
        <w:rPr>
          <w:lang w:val="en-IE"/>
        </w:rPr>
        <w:t xml:space="preserve"> </w:t>
      </w:r>
      <m:oMath>
        <m:sSub>
          <m:sSubPr>
            <m:ctrlPr>
              <w:rPr>
                <w:rFonts w:ascii="Cambria Math" w:hAnsi="Cambria Math"/>
                <w:lang w:val="en-IE"/>
              </w:rPr>
            </m:ctrlPr>
          </m:sSubPr>
          <m:e>
            <m:r>
              <w:rPr>
                <w:rFonts w:ascii="Cambria Math" w:hAnsi="Cambria Math"/>
                <w:lang w:val="en-IE"/>
              </w:rPr>
              <m:t>D</m:t>
            </m:r>
          </m:e>
          <m:sub>
            <m:r>
              <m:rPr>
                <m:nor/>
              </m:rPr>
              <w:rPr>
                <w:rFonts w:ascii="Cambria Math"/>
                <w:lang w:val="en-IE"/>
              </w:rPr>
              <m:t>resid</m:t>
            </m:r>
          </m:sub>
        </m:sSub>
      </m:oMath>
      <w:r w:rsidRPr="00730200">
        <w:rPr>
          <w:lang w:val="en-IE"/>
        </w:rPr>
        <w:t xml:space="preserve"> showed no significant survival association, which is partly attributable to the ODE architecture: with the fixed damage resolution kinetics used here, all patients converge to near-zero residual damage by 120 hours, leaving very little inter-patient variance. Similarly, </w:t>
      </w:r>
      <m:oMath>
        <m:sSub>
          <m:sSubPr>
            <m:ctrlPr>
              <w:rPr>
                <w:rFonts w:ascii="Cambria Math" w:hAnsi="Cambria Math"/>
                <w:lang w:val="en-IE"/>
              </w:rPr>
            </m:ctrlPr>
          </m:sSubPr>
          <m:e>
            <m:r>
              <w:rPr>
                <w:rFonts w:ascii="Cambria Math" w:hAnsi="Cambria Math"/>
                <w:lang w:val="en-IE"/>
              </w:rPr>
              <m:t>T</m:t>
            </m:r>
          </m:e>
          <m:sub>
            <m:r>
              <m:rPr>
                <m:nor/>
              </m:rPr>
              <w:rPr>
                <w:lang w:val="en-IE"/>
              </w:rPr>
              <m:t>repair</m:t>
            </m:r>
          </m:sub>
        </m:sSub>
        <m:r>
          <w:rPr>
            <w:rFonts w:ascii="Cambria Math" w:hAnsi="Cambria Math"/>
            <w:lang w:val="en-IE"/>
          </w:rPr>
          <m:t xml:space="preserve"> </m:t>
        </m:r>
      </m:oMath>
      <w:r w:rsidRPr="00730200">
        <w:rPr>
          <w:lang w:val="en-IE"/>
        </w:rPr>
        <w:t>is a threshold-crossing time (discretised to simulation time steps of 1 hour), which limits its resolution and contributes to the tight clustering of values around 61 hours. Future model extensions could incorporate slower NHEJ repair kinetics or extend the simulation window to better differentiate residual damage phenotypes.</w:t>
      </w:r>
    </w:p>
    <w:p w14:paraId="165DD3CA" w14:textId="77777777" w:rsidR="00730200" w:rsidRPr="00730200" w:rsidRDefault="00730200" w:rsidP="00730200">
      <w:pPr>
        <w:rPr>
          <w:lang w:val="en-IE"/>
        </w:rPr>
      </w:pPr>
      <w:r w:rsidRPr="00730200">
        <w:rPr>
          <w:b/>
          <w:bCs/>
          <w:lang w:val="en-IE"/>
        </w:rPr>
        <w:t>Multiple testing and exploratory cutpoints.</w:t>
      </w:r>
      <w:r w:rsidRPr="00730200">
        <w:rPr>
          <w:lang w:val="en-IE"/>
        </w:rPr>
        <w:t xml:space="preserve"> The statistically significant log-rank p-values from the scan-optimised cutpoint analyses are subject to multiple-testing inflation because the cutpoint was selected post-hoc from the outcome data. These findings are explicitly labelled as exploratory throughout and should not be interpreted as prospectively validated thresholds. Confirmatory validation in an independent HGSOC cohort (e.g., the ICON7 or AGO-OVAR11 trial datasets) would be required before any clinically actionable cutpoint could be proposed.</w:t>
      </w:r>
    </w:p>
    <w:p w14:paraId="7122A529" w14:textId="093ED579" w:rsidR="00730200" w:rsidRPr="00730200" w:rsidRDefault="00730200" w:rsidP="00730200">
      <w:pPr>
        <w:rPr>
          <w:lang w:val="en-IE"/>
        </w:rPr>
      </w:pPr>
      <w:r w:rsidRPr="00730200">
        <w:rPr>
          <w:b/>
          <w:bCs/>
          <w:lang w:val="en-IE"/>
        </w:rPr>
        <w:t>Cohort size and BRCA subgroup power.</w:t>
      </w:r>
      <w:r w:rsidRPr="00730200">
        <w:rPr>
          <w:lang w:val="en-IE"/>
        </w:rPr>
        <w:t xml:space="preserve"> The final analysis cohort of 420 patients with 262 events provides adequate power for Cox regression but limits the statistical resolution of subgroup analyses. The observed BRCA1/2 mutation prevalence of </w:t>
      </w:r>
      <w:r w:rsidR="00186B45">
        <w:rPr>
          <w:lang w:val="en-IE"/>
        </w:rPr>
        <w:t>4.0</w:t>
      </w:r>
      <w:r w:rsidRPr="00730200">
        <w:rPr>
          <w:lang w:val="en-IE"/>
        </w:rPr>
        <w:t>% (</w:t>
      </w:r>
      <w:r w:rsidR="00186B45">
        <w:rPr>
          <w:lang w:val="en-IE"/>
        </w:rPr>
        <w:t>17</w:t>
      </w:r>
      <w:r w:rsidRPr="00730200">
        <w:rPr>
          <w:lang w:val="en-IE"/>
        </w:rPr>
        <w:t xml:space="preserve"> patients) is substantially lower than the 15–20% typically reported in clinical HGSOC series, likely reflecting ascertainment biases in the TCGA towards sporadic cases and the incomplete capture of germline variants by somatic sequencing panels. This low prevalence substantially limits the power of BRCA-stratified comparisons and may explain the absence of statistically significant group differences in the box plot analyses despite the directionally consistent effect sizes.</w:t>
      </w:r>
    </w:p>
    <w:p w14:paraId="55BC6FA8" w14:textId="4CA7315C" w:rsidR="00887E20" w:rsidRPr="00887E20" w:rsidRDefault="00887E20" w:rsidP="00887E20">
      <w:pPr>
        <w:pStyle w:val="Heading2"/>
        <w:rPr>
          <w:lang w:val="en-IE"/>
        </w:rPr>
      </w:pPr>
      <w:r>
        <w:rPr>
          <w:lang w:val="en-IE"/>
        </w:rPr>
        <w:t>4</w:t>
      </w:r>
      <w:r w:rsidRPr="00887E20">
        <w:rPr>
          <w:lang w:val="en-IE"/>
        </w:rPr>
        <w:t>.6 Conclusions</w:t>
      </w:r>
    </w:p>
    <w:p w14:paraId="39145228" w14:textId="0C546B1E" w:rsidR="00887E20" w:rsidRPr="00887E20" w:rsidRDefault="00887E20" w:rsidP="00887E20">
      <w:pPr>
        <w:rPr>
          <w:lang w:val="en-IE"/>
        </w:rPr>
      </w:pPr>
      <w:r w:rsidRPr="00887E20">
        <w:rPr>
          <w:lang w:val="en-IE"/>
        </w:rPr>
        <w:t xml:space="preserve">This study demonstrates that a mechanistic HR-DDR ODE model can extract prognostically informative signal from pre-treatment RNA-seq data in HGSOC without requiring any outcome-based parameter fitting. On a restricted 14-gene feature set, the zero-shot ODE achieves higher discriminatory performance than comparably </w:t>
      </w:r>
      <w:r w:rsidRPr="00887E20">
        <w:rPr>
          <w:lang w:val="en-IE"/>
        </w:rPr>
        <w:lastRenderedPageBreak/>
        <w:t xml:space="preserve">constrained data-trained survival models, validating the role of biological structure as an effective regulariser in small feature spaces. The convergence between the ODE parameterisation logic and the data-driven feature importance rankings from Cox LASSO and RSF provides independent evidence that the HR-DDR pathway genes used in the ODE carry genuine survival signal. Together, these results support the broader case for </w:t>
      </w:r>
      <w:r>
        <w:rPr>
          <w:lang w:val="en-IE"/>
        </w:rPr>
        <w:t xml:space="preserve">MM </w:t>
      </w:r>
      <w:r w:rsidRPr="00887E20">
        <w:rPr>
          <w:lang w:val="en-IE"/>
        </w:rPr>
        <w:t>as a complement to</w:t>
      </w:r>
      <w:r>
        <w:rPr>
          <w:lang w:val="en-IE"/>
        </w:rPr>
        <w:t xml:space="preserve">, </w:t>
      </w:r>
      <w:r w:rsidRPr="00887E20">
        <w:rPr>
          <w:lang w:val="en-IE"/>
        </w:rPr>
        <w:t>rather than replacement for</w:t>
      </w:r>
      <w:r>
        <w:rPr>
          <w:lang w:val="en-IE"/>
        </w:rPr>
        <w:t>,</w:t>
      </w:r>
      <w:r w:rsidRPr="00887E20">
        <w:rPr>
          <w:lang w:val="en-IE"/>
        </w:rPr>
        <w:t xml:space="preserve"> conventional </w:t>
      </w:r>
      <w:r>
        <w:rPr>
          <w:lang w:val="en-IE"/>
        </w:rPr>
        <w:t>ML</w:t>
      </w:r>
      <w:r w:rsidRPr="00887E20">
        <w:rPr>
          <w:lang w:val="en-IE"/>
        </w:rPr>
        <w:t xml:space="preserve"> in clinical genomic survival prediction, particularly in settings where training cohorts are small, feature sets are biologically constrained, or model interpretability is required.</w:t>
      </w:r>
    </w:p>
    <w:p w14:paraId="2CE0CFF2" w14:textId="77777777" w:rsidR="00730200" w:rsidRPr="009312AC" w:rsidRDefault="00730200" w:rsidP="009312AC">
      <w:pPr>
        <w:rPr>
          <w:lang w:val="en-IE"/>
        </w:rPr>
      </w:pPr>
    </w:p>
    <w:p w14:paraId="5604AE8D" w14:textId="77777777" w:rsidR="009312AC" w:rsidRPr="00D20D91" w:rsidRDefault="009312AC" w:rsidP="00D20D91">
      <w:pPr>
        <w:rPr>
          <w:lang w:val="en-IE"/>
        </w:rPr>
      </w:pPr>
    </w:p>
    <w:p w14:paraId="5F47B4E2" w14:textId="77777777" w:rsidR="00BF02F4" w:rsidRPr="00A16BBC" w:rsidRDefault="00BF02F4" w:rsidP="00A16BBC">
      <w:pPr>
        <w:rPr>
          <w:lang w:val="en-IE"/>
        </w:rPr>
      </w:pPr>
    </w:p>
    <w:p w14:paraId="7D2B5739" w14:textId="77777777" w:rsidR="002324B1" w:rsidRPr="002324B1" w:rsidRDefault="002324B1" w:rsidP="002324B1">
      <w:pPr>
        <w:rPr>
          <w:lang w:val="en-IE"/>
        </w:rPr>
      </w:pPr>
    </w:p>
    <w:p w14:paraId="603C1CCD" w14:textId="77777777" w:rsidR="00011003" w:rsidRDefault="00011003" w:rsidP="00110737"/>
    <w:p w14:paraId="1F490D3E" w14:textId="6571A809" w:rsidR="001A328C" w:rsidRPr="0019627A" w:rsidRDefault="001A328C" w:rsidP="00110737">
      <w:pPr>
        <w:sectPr w:rsidR="001A328C" w:rsidRPr="0019627A" w:rsidSect="00656300">
          <w:pgSz w:w="11906" w:h="16838"/>
          <w:pgMar w:top="1440" w:right="1440" w:bottom="1440" w:left="1440" w:header="708" w:footer="708" w:gutter="0"/>
          <w:pgNumType w:start="1"/>
          <w:cols w:space="708"/>
          <w:docGrid w:linePitch="360"/>
        </w:sectPr>
      </w:pPr>
    </w:p>
    <w:p w14:paraId="72165FBC" w14:textId="77777777" w:rsidR="007258DF" w:rsidRPr="0019627A" w:rsidRDefault="007258DF" w:rsidP="000E3BFD">
      <w:pPr>
        <w:pStyle w:val="Heading1"/>
      </w:pPr>
      <w:r w:rsidRPr="0019627A">
        <w:lastRenderedPageBreak/>
        <w:t>References</w:t>
      </w:r>
    </w:p>
    <w:p w14:paraId="283F6DFC" w14:textId="77777777" w:rsidR="00481DA0" w:rsidRPr="00481DA0" w:rsidRDefault="007258DF" w:rsidP="00481DA0">
      <w:pPr>
        <w:pStyle w:val="Bibliography"/>
      </w:pPr>
      <w:r w:rsidRPr="00155DA4">
        <w:rPr>
          <w:szCs w:val="20"/>
        </w:rPr>
        <w:fldChar w:fldCharType="begin"/>
      </w:r>
      <w:r w:rsidR="00481DA0">
        <w:rPr>
          <w:szCs w:val="20"/>
        </w:rPr>
        <w:instrText xml:space="preserve"> ADDIN ZOTERO_BIBL {"uncited":[],"omitted":[],"custom":[]} CSL_BIBLIOGRAPHY </w:instrText>
      </w:r>
      <w:r w:rsidRPr="00155DA4">
        <w:rPr>
          <w:szCs w:val="20"/>
        </w:rPr>
        <w:fldChar w:fldCharType="separate"/>
      </w:r>
      <w:r w:rsidR="00481DA0" w:rsidRPr="00481DA0">
        <w:t>1.</w:t>
      </w:r>
      <w:r w:rsidR="00481DA0" w:rsidRPr="00481DA0">
        <w:tab/>
        <w:t>Bates M, Mohamed BM, Lewis F, O’Toole S, O’Leary JJ. Biomarkers in high grade serous ovarian cancer. Biochim Biophys Acta Rev Cancer. 2024 Nov;1879(6):189224. doi:10.1016/j.bbcan.2024.189224 PubMed PMID: 39581234.</w:t>
      </w:r>
    </w:p>
    <w:p w14:paraId="246B1A98" w14:textId="77777777" w:rsidR="00481DA0" w:rsidRPr="00481DA0" w:rsidRDefault="00481DA0" w:rsidP="00481DA0">
      <w:pPr>
        <w:pStyle w:val="Bibliography"/>
      </w:pPr>
      <w:r w:rsidRPr="00481DA0">
        <w:t>2.</w:t>
      </w:r>
      <w:r w:rsidRPr="00481DA0">
        <w:tab/>
        <w:t>Lisio MA, Fu L, Goyeneche A, Gao ZH, Telleria C. High-grade serous ovarian cancer: basic sciences, clinical and therapeutic standpoints. Int J Mol Sci. 2019 Feb 22;20(4):952. doi:10.3390/ijms20040952 PubMed PMID: 30813239; PubMed Central PMCID: PMC6412907.</w:t>
      </w:r>
    </w:p>
    <w:p w14:paraId="3BE7EC9F" w14:textId="77777777" w:rsidR="00481DA0" w:rsidRPr="00481DA0" w:rsidRDefault="00481DA0" w:rsidP="00481DA0">
      <w:pPr>
        <w:pStyle w:val="Bibliography"/>
      </w:pPr>
      <w:r w:rsidRPr="00481DA0">
        <w:t>3.</w:t>
      </w:r>
      <w:r w:rsidRPr="00481DA0">
        <w:tab/>
        <w:t>Kang J, D’Andrea AD, Kozono D. A DNA repair pathway–focused score for prediction of outcomes in ovarian cancer treated with platinum-based chemotherapy. J Natl Cancer Inst. 2012 May 2;104(9):670–81. doi:10.1093/jnci/djs177 PubMed PMID: 22505474; PubMed Central PMCID: PMC3341307.</w:t>
      </w:r>
    </w:p>
    <w:p w14:paraId="4B6D5A77" w14:textId="77777777" w:rsidR="00481DA0" w:rsidRPr="00481DA0" w:rsidRDefault="00481DA0" w:rsidP="00481DA0">
      <w:pPr>
        <w:pStyle w:val="Bibliography"/>
      </w:pPr>
      <w:r w:rsidRPr="00481DA0">
        <w:t>4.</w:t>
      </w:r>
      <w:r w:rsidRPr="00481DA0">
        <w:tab/>
        <w:t>Ghosh S. Cisplatin: The first metal based anticancer drug. Bioorganic Chem. 2019 Jul;88:102925. doi:10.1016/j.bioorg.2019.102925 PubMed PMID: 31003078.</w:t>
      </w:r>
    </w:p>
    <w:p w14:paraId="3D3464BE" w14:textId="77777777" w:rsidR="00481DA0" w:rsidRPr="00481DA0" w:rsidRDefault="00481DA0" w:rsidP="00481DA0">
      <w:pPr>
        <w:pStyle w:val="Bibliography"/>
      </w:pPr>
      <w:r w:rsidRPr="00481DA0">
        <w:t>5.</w:t>
      </w:r>
      <w:r w:rsidRPr="00481DA0">
        <w:tab/>
        <w:t>Gachechiladze M, Skarda J, Bouchalova K, Soltermann A, Joerger M. Predictive and prognostic value of DNA damage response associated kinases in solid tumors. Front Oncol. 2020 Nov 3;10:581217. doi:10.3389/fonc.2020.581217 PubMed PMID: 33224881; PubMed Central PMCID: PMC7670868.</w:t>
      </w:r>
    </w:p>
    <w:p w14:paraId="1E099AE0" w14:textId="77777777" w:rsidR="00481DA0" w:rsidRPr="00481DA0" w:rsidRDefault="00481DA0" w:rsidP="00481DA0">
      <w:pPr>
        <w:pStyle w:val="Bibliography"/>
      </w:pPr>
      <w:r w:rsidRPr="00481DA0">
        <w:t>6.</w:t>
      </w:r>
      <w:r w:rsidRPr="00481DA0">
        <w:tab/>
        <w:t>Cerniglia M, Xiu J, Grothey A, Pishvaian MJ, Baca Y, Hwang JJ, et al. Association of homologous recombination-DNA damage response gene mutations with immune biomarkers in gastroesophageal cancers. Mol Cancer Ther. 2022 Jan;21(1):227–36. doi:10.1158/1535-7163.MCT-20-0879 PubMed PMID: 34725190; PubMed Central PMCID: PMC9506445.</w:t>
      </w:r>
    </w:p>
    <w:p w14:paraId="718752A5" w14:textId="77777777" w:rsidR="00481DA0" w:rsidRPr="00481DA0" w:rsidRDefault="00481DA0" w:rsidP="00481DA0">
      <w:pPr>
        <w:pStyle w:val="Bibliography"/>
      </w:pPr>
      <w:r w:rsidRPr="00481DA0">
        <w:t>7.</w:t>
      </w:r>
      <w:r w:rsidRPr="00481DA0">
        <w:tab/>
        <w:t>Lecca P, Ihekwaba-Ndibe AEC. Dynamic modelling of DNA repair pathway at the molecular level: a new perspective. Front Mol Biosci. 2022 Sep 13;9:878148. doi:10.3389/fmolb.2022.878148 PubMed PMID: 36177351; PubMed Central PMCID: PMC9513183.</w:t>
      </w:r>
    </w:p>
    <w:p w14:paraId="6F7A8AE2" w14:textId="77777777" w:rsidR="00481DA0" w:rsidRPr="00481DA0" w:rsidRDefault="00481DA0" w:rsidP="00481DA0">
      <w:pPr>
        <w:pStyle w:val="Bibliography"/>
      </w:pPr>
      <w:r w:rsidRPr="00481DA0">
        <w:t>8.</w:t>
      </w:r>
      <w:r w:rsidRPr="00481DA0">
        <w:tab/>
        <w:t>Wassing IE, Esashi F. RAD51: Beyond the break. Semin Cell Dev Biol. 2021 May 1;Genome stability113:38–46. doi:10.1016/j.semcdb.2020.08.010 PubMed PMID: 32938550; PubMed Central PMCID: PMC8082279.</w:t>
      </w:r>
    </w:p>
    <w:p w14:paraId="4B2F058C" w14:textId="77777777" w:rsidR="00481DA0" w:rsidRPr="00481DA0" w:rsidRDefault="00481DA0" w:rsidP="00481DA0">
      <w:pPr>
        <w:pStyle w:val="Bibliography"/>
      </w:pPr>
      <w:r w:rsidRPr="00481DA0">
        <w:t>9.</w:t>
      </w:r>
      <w:r w:rsidRPr="00481DA0">
        <w:tab/>
        <w:t>Luo X, O’Neill KL, Huang K. The third model of Bax/Bak activation: a Bcl-2 family feud finally resolved? F1000Research. 2020;9:F1000 Faculty Rev-935. doi:10.12688/f1000research.25607.1 PubMed PMID: 32802314; PubMed Central PMCID: PMC7411521.</w:t>
      </w:r>
    </w:p>
    <w:p w14:paraId="65F4B907" w14:textId="77777777" w:rsidR="00481DA0" w:rsidRPr="00481DA0" w:rsidRDefault="00481DA0" w:rsidP="00481DA0">
      <w:pPr>
        <w:pStyle w:val="Bibliography"/>
      </w:pPr>
      <w:r w:rsidRPr="00481DA0">
        <w:t>10.</w:t>
      </w:r>
      <w:r w:rsidRPr="00481DA0">
        <w:tab/>
        <w:t xml:space="preserve">Smith J, Tho LM, Xu N, Gillespie DA. The ATM-Chk2 and ATR-Chk1 pathways in DNA damage signaling and cancer. In: Advances in Cancer Research [Internet]. Academic Press; 2010. p. 73–112. Available from: </w:t>
      </w:r>
      <w:r w:rsidRPr="00481DA0">
        <w:lastRenderedPageBreak/>
        <w:t>https://www.sciencedirect.com/science/article/pii/B9780123808882000030 doi:10.1016/B978-0-12-380888-2.00003-0</w:t>
      </w:r>
    </w:p>
    <w:p w14:paraId="786B3454" w14:textId="77777777" w:rsidR="00481DA0" w:rsidRPr="00481DA0" w:rsidRDefault="00481DA0" w:rsidP="00481DA0">
      <w:pPr>
        <w:pStyle w:val="Bibliography"/>
      </w:pPr>
      <w:r w:rsidRPr="00481DA0">
        <w:t>11.</w:t>
      </w:r>
      <w:r w:rsidRPr="00481DA0">
        <w:tab/>
        <w:t>Wallis B, Bowman KR, Lu P, Lim CS. The challenges and prospects of p53-based therapies in ovarian cancer. Biomolecules. 2023 Jan 12;13(1):159. doi:10.3390/biom13010159 PubMed PMID: 36671544; PubMed Central PMCID: PMC9855757.</w:t>
      </w:r>
    </w:p>
    <w:p w14:paraId="43C38535" w14:textId="77777777" w:rsidR="00481DA0" w:rsidRPr="00481DA0" w:rsidRDefault="00481DA0" w:rsidP="00481DA0">
      <w:pPr>
        <w:pStyle w:val="Bibliography"/>
      </w:pPr>
      <w:r w:rsidRPr="00481DA0">
        <w:t>12.</w:t>
      </w:r>
      <w:r w:rsidRPr="00481DA0">
        <w:tab/>
        <w:t>Cai W, Qi Y, Zheng L, Wu H, Yang C, Zhang R, et al. Comparison of random survival forest based-overall survival with deep learning and Cox proportional hazard models in HER-2-positive HR-negative breast cancer. Cancer Rep. 2025;8(7):e70262. doi:10.1002/cnr2.70262 PubMed PMID: 40624807; PubMed Central PMCID: PMC12234386.</w:t>
      </w:r>
    </w:p>
    <w:p w14:paraId="3EDA247C" w14:textId="77777777" w:rsidR="00481DA0" w:rsidRPr="00481DA0" w:rsidRDefault="00481DA0" w:rsidP="00481DA0">
      <w:pPr>
        <w:pStyle w:val="Bibliography"/>
      </w:pPr>
      <w:r w:rsidRPr="00481DA0">
        <w:t>13.</w:t>
      </w:r>
      <w:r w:rsidRPr="00481DA0">
        <w:tab/>
        <w:t>Procopio A, Cesarelli G, Donisi L, Merola A, Amato F, Cosentino C. Combined mechanistic modeling and machine-learning approaches in systems biology – A systematic literature review. Comput Methods Programs Biomed. 2023 Oct 1;240:107681. doi:10.1016/j.cmpb.2023.107681 PubMed PMID: 37385142.</w:t>
      </w:r>
    </w:p>
    <w:p w14:paraId="51B687E8" w14:textId="77777777" w:rsidR="00481DA0" w:rsidRPr="00481DA0" w:rsidRDefault="00481DA0" w:rsidP="00481DA0">
      <w:pPr>
        <w:pStyle w:val="Bibliography"/>
      </w:pPr>
      <w:r w:rsidRPr="00481DA0">
        <w:t>14.</w:t>
      </w:r>
      <w:r w:rsidRPr="00481DA0">
        <w:tab/>
        <w:t>Purvis JE, Karhohs KW, Mock C, Batchelor E, Loewer A, Lahav G. p53 dynamics control cell fate. Science. 2012 Jun 15;336(6087):1440–4. doi:10.1126/science.1218351 PubMed PMID: 22700930; PubMed Central PMCID: PMC4162876.</w:t>
      </w:r>
    </w:p>
    <w:p w14:paraId="6288A778" w14:textId="77777777" w:rsidR="00481DA0" w:rsidRPr="00481DA0" w:rsidRDefault="00481DA0" w:rsidP="00481DA0">
      <w:pPr>
        <w:pStyle w:val="Bibliography"/>
      </w:pPr>
      <w:r w:rsidRPr="00481DA0">
        <w:t>15.</w:t>
      </w:r>
      <w:r w:rsidRPr="00481DA0">
        <w:tab/>
        <w:t>Batchelor E, Mock CS, Bhan I, Loewer A, Lahav G. Recurrent initiation: a mechanism for triggering p53 pulses in response to DNA damage. Mol Cell. 2008 May 9;30(3):277–89. doi:10.1016/j.molcel.2008.03.016 PubMed PMID: 18471974; PubMed Central PMCID: PMC2579769.</w:t>
      </w:r>
    </w:p>
    <w:p w14:paraId="2F8D9EC8" w14:textId="77777777" w:rsidR="00481DA0" w:rsidRPr="00481DA0" w:rsidRDefault="00481DA0" w:rsidP="00481DA0">
      <w:pPr>
        <w:pStyle w:val="Bibliography"/>
      </w:pPr>
      <w:r w:rsidRPr="00481DA0">
        <w:t>16.</w:t>
      </w:r>
      <w:r w:rsidRPr="00481DA0">
        <w:tab/>
        <w:t>Schramm A, Köster J, Assenov Y, Althoff K, Peifer M, Mahlow E, et al. Mutational dynamics between primary and relapse neuroblastomas. Nat Genet. 2015 Aug;47(8):872–7. doi:10.1038/ng.3349 PubMed PMID: 26121086.</w:t>
      </w:r>
    </w:p>
    <w:p w14:paraId="67111F9E" w14:textId="77777777" w:rsidR="00481DA0" w:rsidRPr="00481DA0" w:rsidRDefault="00481DA0" w:rsidP="00481DA0">
      <w:pPr>
        <w:pStyle w:val="Bibliography"/>
      </w:pPr>
      <w:r w:rsidRPr="00481DA0">
        <w:t>17.</w:t>
      </w:r>
      <w:r w:rsidRPr="00481DA0">
        <w:tab/>
        <w:t>Harris CR, Millman KJ, van der Walt SJ, Gommers R, Virtanen P, Cournapeau D, et al. Array programming with NumPy. Nature. 2020 Sep;585(7825):357–62. doi:10.1038/s41586-020-2649-2 PubMed PMID: 32939066; PubMed Central PMCID: PMC7759461.</w:t>
      </w:r>
    </w:p>
    <w:p w14:paraId="16F6DCBF" w14:textId="77777777" w:rsidR="00481DA0" w:rsidRPr="00481DA0" w:rsidRDefault="00481DA0" w:rsidP="00481DA0">
      <w:pPr>
        <w:pStyle w:val="Bibliography"/>
      </w:pPr>
      <w:r w:rsidRPr="00481DA0">
        <w:t>18.</w:t>
      </w:r>
      <w:r w:rsidRPr="00481DA0">
        <w:tab/>
        <w:t>McKinney W. Data structures for statistical computing in Python. SciPy 2010. 2010 May 1. doi:10.25080/Majora-92bf1922-00a</w:t>
      </w:r>
    </w:p>
    <w:p w14:paraId="177F57E4" w14:textId="77777777" w:rsidR="00481DA0" w:rsidRPr="00481DA0" w:rsidRDefault="00481DA0" w:rsidP="00481DA0">
      <w:pPr>
        <w:pStyle w:val="Bibliography"/>
      </w:pPr>
      <w:r w:rsidRPr="00481DA0">
        <w:t>19.</w:t>
      </w:r>
      <w:r w:rsidRPr="00481DA0">
        <w:tab/>
        <w:t>Virtanen P, Gommers R, Oliphant TE, Haberland M, Reddy T, Cournapeau D, et al. SciPy 1.0: fundamental algorithms for scientific computing in Python. Nat Methods. 2020 Mar;17(3):261–72. doi:10.1038/s41592-019-0686-2 PubMed PMID: 32015543; PubMed Central PMCID: PMC7056644.</w:t>
      </w:r>
    </w:p>
    <w:p w14:paraId="0B5B8AC4" w14:textId="77777777" w:rsidR="00481DA0" w:rsidRPr="00481DA0" w:rsidRDefault="00481DA0" w:rsidP="00481DA0">
      <w:pPr>
        <w:pStyle w:val="Bibliography"/>
      </w:pPr>
      <w:r w:rsidRPr="00481DA0">
        <w:t>20.</w:t>
      </w:r>
      <w:r w:rsidRPr="00481DA0">
        <w:tab/>
        <w:t xml:space="preserve">Xin J, Mark A, Afrasiabi C, Tsueng G, Juchler M, Gopal N, et al. High-performance web services for querying gene and variant annotation. Genome Biol. 2016 May </w:t>
      </w:r>
      <w:r w:rsidRPr="00481DA0">
        <w:lastRenderedPageBreak/>
        <w:t>6;17(1):91. doi:10.1186/s13059-016-0953-9 PubMed PMID: 27154141; PubMed Central PMCID: PMC4858870.</w:t>
      </w:r>
    </w:p>
    <w:p w14:paraId="51E738E0" w14:textId="77777777" w:rsidR="00481DA0" w:rsidRPr="00481DA0" w:rsidRDefault="00481DA0" w:rsidP="00481DA0">
      <w:pPr>
        <w:pStyle w:val="Bibliography"/>
      </w:pPr>
      <w:r w:rsidRPr="00481DA0">
        <w:t>21.</w:t>
      </w:r>
      <w:r w:rsidRPr="00481DA0">
        <w:tab/>
        <w:t>Davidson-Pilon C. lifelines: survival analysis in Python. J Open Source Softw. 2019 Aug 4;4(40):1317. doi:10.21105/joss.01317</w:t>
      </w:r>
    </w:p>
    <w:p w14:paraId="2E7DC1A4" w14:textId="77777777" w:rsidR="00481DA0" w:rsidRPr="00481DA0" w:rsidRDefault="00481DA0" w:rsidP="00481DA0">
      <w:pPr>
        <w:pStyle w:val="Bibliography"/>
      </w:pPr>
      <w:r w:rsidRPr="00481DA0">
        <w:t>22.</w:t>
      </w:r>
      <w:r w:rsidRPr="00481DA0">
        <w:tab/>
        <w:t>Pölsterl S. scikit-survival: a library for time-to-event analysis built on top of scikit-learn. J Mach Learn Res [Internet]. 2020 [cited 2026 Jun 30];21(212):1–6. Available from: http://jmlr.org/papers/v21/20-729.html</w:t>
      </w:r>
    </w:p>
    <w:p w14:paraId="297A895F" w14:textId="77777777" w:rsidR="00481DA0" w:rsidRPr="00481DA0" w:rsidRDefault="00481DA0" w:rsidP="00481DA0">
      <w:pPr>
        <w:pStyle w:val="Bibliography"/>
      </w:pPr>
      <w:r w:rsidRPr="00481DA0">
        <w:t>23.</w:t>
      </w:r>
      <w:r w:rsidRPr="00481DA0">
        <w:tab/>
        <w:t>Pedregosa F, Varoquaux G, Gramfort A, Michel V, Thirion B, Grisel O, et al. Scikit-learn: machine learning in Python. J Mach Learn Res [Internet]. 2011 [cited 2026 Jun 30];12(85):2825–30. Available from: http://jmlr.org/papers/v12/pedregosa11a.html</w:t>
      </w:r>
    </w:p>
    <w:p w14:paraId="5CF4BE5A" w14:textId="77777777" w:rsidR="00481DA0" w:rsidRPr="00481DA0" w:rsidRDefault="00481DA0" w:rsidP="00481DA0">
      <w:pPr>
        <w:pStyle w:val="Bibliography"/>
      </w:pPr>
      <w:r w:rsidRPr="00481DA0">
        <w:t>24.</w:t>
      </w:r>
      <w:r w:rsidRPr="00481DA0">
        <w:tab/>
        <w:t>Hunter JD. Matplotlib: a 2D graphics environment. Comput Sci Eng. 2007 May;9(3):90–5. doi:10.1109/MCSE.2007.55</w:t>
      </w:r>
    </w:p>
    <w:p w14:paraId="09E40634" w14:textId="4DBA24DA" w:rsidR="007258DF" w:rsidRPr="00155DA4" w:rsidRDefault="007258DF" w:rsidP="00155DA4">
      <w:pPr>
        <w:pStyle w:val="Appendix"/>
      </w:pPr>
      <w:r w:rsidRPr="00155DA4">
        <w:fldChar w:fldCharType="end"/>
      </w:r>
    </w:p>
    <w:p w14:paraId="344943D3" w14:textId="77777777" w:rsidR="004B56A5" w:rsidRDefault="004B56A5">
      <w:pPr>
        <w:spacing w:after="160" w:line="259" w:lineRule="auto"/>
        <w:rPr>
          <w:rFonts w:eastAsiaTheme="majorEastAsia"/>
          <w:b/>
          <w:bCs/>
          <w:spacing w:val="-10"/>
          <w:kern w:val="28"/>
          <w:sz w:val="32"/>
          <w:szCs w:val="32"/>
        </w:rPr>
      </w:pPr>
      <w:r>
        <w:br w:type="page"/>
      </w:r>
    </w:p>
    <w:p w14:paraId="7A8818A5" w14:textId="314B6408" w:rsidR="00656300" w:rsidRPr="0019627A" w:rsidRDefault="00656300" w:rsidP="000E3BFD">
      <w:pPr>
        <w:pStyle w:val="Heading1"/>
      </w:pPr>
      <w:r w:rsidRPr="0019627A">
        <w:lastRenderedPageBreak/>
        <w:t>Appendix 1. Abbreviations</w:t>
      </w:r>
    </w:p>
    <w:p w14:paraId="6380EA86" w14:textId="77777777" w:rsidR="0019627A" w:rsidRPr="00155DA4" w:rsidRDefault="0019627A" w:rsidP="00155DA4">
      <w:pPr>
        <w:pStyle w:val="Appendix"/>
      </w:pPr>
      <w:r w:rsidRPr="00155DA4">
        <w:t>ATM</w:t>
      </w:r>
      <w:r w:rsidRPr="00155DA4">
        <w:tab/>
      </w:r>
      <w:r w:rsidRPr="00155DA4">
        <w:tab/>
        <w:t xml:space="preserve">ataxia telangiectasia mutated </w:t>
      </w:r>
    </w:p>
    <w:p w14:paraId="6DDECE45" w14:textId="57F1C4D4" w:rsidR="0019627A" w:rsidRPr="00155DA4" w:rsidRDefault="0019627A" w:rsidP="007B24C9">
      <w:pPr>
        <w:spacing w:after="120" w:line="240" w:lineRule="auto"/>
        <w:rPr>
          <w:sz w:val="20"/>
          <w:szCs w:val="20"/>
        </w:rPr>
      </w:pPr>
      <w:r w:rsidRPr="00155DA4">
        <w:rPr>
          <w:sz w:val="20"/>
          <w:szCs w:val="20"/>
        </w:rPr>
        <w:t>ATR</w:t>
      </w:r>
      <w:r w:rsidRPr="00155DA4">
        <w:rPr>
          <w:sz w:val="20"/>
          <w:szCs w:val="20"/>
        </w:rPr>
        <w:tab/>
      </w:r>
      <w:r w:rsidRPr="00155DA4">
        <w:rPr>
          <w:sz w:val="20"/>
          <w:szCs w:val="20"/>
        </w:rPr>
        <w:tab/>
        <w:t>ataxia telangiectasia and Rad3-related protein</w:t>
      </w:r>
    </w:p>
    <w:p w14:paraId="6E012BE0" w14:textId="7AAF69CE" w:rsidR="00995313" w:rsidRPr="00155DA4" w:rsidRDefault="00995313" w:rsidP="007B24C9">
      <w:pPr>
        <w:spacing w:after="120" w:line="240" w:lineRule="auto"/>
        <w:rPr>
          <w:sz w:val="20"/>
          <w:szCs w:val="20"/>
        </w:rPr>
      </w:pPr>
      <w:r w:rsidRPr="00155DA4">
        <w:rPr>
          <w:sz w:val="20"/>
          <w:szCs w:val="20"/>
        </w:rPr>
        <w:t>AUC</w:t>
      </w:r>
      <w:r w:rsidRPr="00155DA4">
        <w:rPr>
          <w:sz w:val="20"/>
          <w:szCs w:val="20"/>
        </w:rPr>
        <w:tab/>
      </w:r>
      <w:r w:rsidRPr="00155DA4">
        <w:rPr>
          <w:sz w:val="20"/>
          <w:szCs w:val="20"/>
        </w:rPr>
        <w:tab/>
        <w:t>area under the curve</w:t>
      </w:r>
    </w:p>
    <w:p w14:paraId="2D5EC48C" w14:textId="5CA05861" w:rsidR="008C02A2" w:rsidRPr="00155DA4" w:rsidRDefault="008C02A2" w:rsidP="007B24C9">
      <w:pPr>
        <w:spacing w:after="120" w:line="240" w:lineRule="auto"/>
        <w:rPr>
          <w:sz w:val="20"/>
          <w:szCs w:val="20"/>
          <w:highlight w:val="yellow"/>
        </w:rPr>
      </w:pPr>
      <w:r w:rsidRPr="00155DA4">
        <w:rPr>
          <w:sz w:val="20"/>
          <w:szCs w:val="20"/>
        </w:rPr>
        <w:t>BAX</w:t>
      </w:r>
      <w:r w:rsidR="003C20AA" w:rsidRPr="00155DA4">
        <w:rPr>
          <w:sz w:val="20"/>
          <w:szCs w:val="20"/>
        </w:rPr>
        <w:tab/>
      </w:r>
      <w:r w:rsidR="003C20AA" w:rsidRPr="00155DA4">
        <w:rPr>
          <w:sz w:val="20"/>
          <w:szCs w:val="20"/>
        </w:rPr>
        <w:tab/>
        <w:t>BCL-2 associated X-protein</w:t>
      </w:r>
    </w:p>
    <w:p w14:paraId="7D74248C" w14:textId="3F207DD4" w:rsidR="008C02A2" w:rsidRPr="00155DA4" w:rsidRDefault="008C02A2" w:rsidP="007B24C9">
      <w:pPr>
        <w:spacing w:after="120" w:line="240" w:lineRule="auto"/>
        <w:rPr>
          <w:sz w:val="20"/>
          <w:szCs w:val="20"/>
        </w:rPr>
      </w:pPr>
      <w:r w:rsidRPr="00155DA4">
        <w:rPr>
          <w:sz w:val="20"/>
          <w:szCs w:val="20"/>
        </w:rPr>
        <w:t>BAD</w:t>
      </w:r>
      <w:r w:rsidR="003C20AA" w:rsidRPr="00155DA4">
        <w:rPr>
          <w:sz w:val="20"/>
          <w:szCs w:val="20"/>
        </w:rPr>
        <w:tab/>
      </w:r>
      <w:r w:rsidR="003C20AA" w:rsidRPr="00155DA4">
        <w:rPr>
          <w:sz w:val="20"/>
          <w:szCs w:val="20"/>
        </w:rPr>
        <w:tab/>
        <w:t>BCL-2 associated agonist of cell death</w:t>
      </w:r>
    </w:p>
    <w:p w14:paraId="62BF2542" w14:textId="5D897AA1" w:rsidR="008C02A2" w:rsidRPr="00155DA4" w:rsidRDefault="008C02A2" w:rsidP="007B24C9">
      <w:pPr>
        <w:spacing w:after="120" w:line="240" w:lineRule="auto"/>
        <w:rPr>
          <w:sz w:val="20"/>
          <w:szCs w:val="20"/>
        </w:rPr>
      </w:pPr>
      <w:r w:rsidRPr="00155DA4">
        <w:rPr>
          <w:sz w:val="20"/>
          <w:szCs w:val="20"/>
        </w:rPr>
        <w:t>BCL-2</w:t>
      </w:r>
      <w:r w:rsidR="003C20AA" w:rsidRPr="00155DA4">
        <w:rPr>
          <w:sz w:val="20"/>
          <w:szCs w:val="20"/>
        </w:rPr>
        <w:tab/>
      </w:r>
      <w:r w:rsidR="003C20AA" w:rsidRPr="00155DA4">
        <w:rPr>
          <w:sz w:val="20"/>
          <w:szCs w:val="20"/>
        </w:rPr>
        <w:tab/>
        <w:t>B cell leuk</w:t>
      </w:r>
      <w:r w:rsidR="004B56A5" w:rsidRPr="00155DA4">
        <w:rPr>
          <w:sz w:val="20"/>
          <w:szCs w:val="20"/>
        </w:rPr>
        <w:t>a</w:t>
      </w:r>
      <w:r w:rsidR="003C20AA" w:rsidRPr="00155DA4">
        <w:rPr>
          <w:sz w:val="20"/>
          <w:szCs w:val="20"/>
        </w:rPr>
        <w:t>emia/lymphoma-2</w:t>
      </w:r>
    </w:p>
    <w:p w14:paraId="680675A8" w14:textId="73FACDF3" w:rsidR="00173F98" w:rsidRPr="00155DA4" w:rsidRDefault="00814F9F" w:rsidP="007B24C9">
      <w:pPr>
        <w:spacing w:after="120" w:line="240" w:lineRule="auto"/>
        <w:rPr>
          <w:sz w:val="20"/>
          <w:szCs w:val="20"/>
        </w:rPr>
      </w:pPr>
      <w:r w:rsidRPr="00155DA4">
        <w:rPr>
          <w:sz w:val="20"/>
          <w:szCs w:val="20"/>
        </w:rPr>
        <w:t>BRCA1/2</w:t>
      </w:r>
      <w:r w:rsidR="003C20AA" w:rsidRPr="00155DA4">
        <w:rPr>
          <w:sz w:val="20"/>
          <w:szCs w:val="20"/>
        </w:rPr>
        <w:tab/>
        <w:t>breast cancer type 1/2 susceptibility protein</w:t>
      </w:r>
    </w:p>
    <w:p w14:paraId="30C0E4C1" w14:textId="3D844DE8" w:rsidR="00DD3A0C" w:rsidRPr="00155DA4" w:rsidRDefault="00DD3A0C" w:rsidP="007B24C9">
      <w:pPr>
        <w:spacing w:after="120" w:line="240" w:lineRule="auto"/>
        <w:rPr>
          <w:sz w:val="20"/>
          <w:szCs w:val="20"/>
        </w:rPr>
      </w:pPr>
      <w:r w:rsidRPr="00155DA4">
        <w:rPr>
          <w:sz w:val="20"/>
          <w:szCs w:val="20"/>
        </w:rPr>
        <w:t>CI(s)</w:t>
      </w:r>
      <w:r w:rsidRPr="00155DA4">
        <w:rPr>
          <w:sz w:val="20"/>
          <w:szCs w:val="20"/>
        </w:rPr>
        <w:tab/>
      </w:r>
      <w:r w:rsidRPr="00155DA4">
        <w:rPr>
          <w:sz w:val="20"/>
          <w:szCs w:val="20"/>
        </w:rPr>
        <w:tab/>
        <w:t>confidence interval(s)</w:t>
      </w:r>
    </w:p>
    <w:p w14:paraId="51900948" w14:textId="52F230F0" w:rsidR="00F84DB2" w:rsidRPr="00155DA4" w:rsidRDefault="00F84DB2" w:rsidP="007B24C9">
      <w:pPr>
        <w:spacing w:after="120" w:line="240" w:lineRule="auto"/>
        <w:rPr>
          <w:sz w:val="20"/>
          <w:szCs w:val="20"/>
        </w:rPr>
      </w:pPr>
      <w:r w:rsidRPr="00155DA4">
        <w:rPr>
          <w:sz w:val="20"/>
          <w:szCs w:val="20"/>
        </w:rPr>
        <w:t>C-index</w:t>
      </w:r>
      <w:r w:rsidRPr="00155DA4">
        <w:rPr>
          <w:sz w:val="20"/>
          <w:szCs w:val="20"/>
        </w:rPr>
        <w:tab/>
      </w:r>
      <w:r w:rsidR="00155DA4">
        <w:rPr>
          <w:sz w:val="20"/>
          <w:szCs w:val="20"/>
        </w:rPr>
        <w:tab/>
      </w:r>
      <w:r w:rsidRPr="00155DA4">
        <w:rPr>
          <w:sz w:val="20"/>
          <w:szCs w:val="20"/>
          <w:lang w:val="en-IE"/>
        </w:rPr>
        <w:t>concordance index</w:t>
      </w:r>
    </w:p>
    <w:p w14:paraId="52716BE7" w14:textId="24163F2A" w:rsidR="00814F9F" w:rsidRPr="00155DA4" w:rsidRDefault="00814F9F" w:rsidP="007B24C9">
      <w:pPr>
        <w:spacing w:after="120" w:line="240" w:lineRule="auto"/>
        <w:rPr>
          <w:sz w:val="20"/>
          <w:szCs w:val="20"/>
        </w:rPr>
      </w:pPr>
      <w:r w:rsidRPr="00155DA4">
        <w:rPr>
          <w:sz w:val="20"/>
          <w:szCs w:val="20"/>
        </w:rPr>
        <w:t>CHK1/2</w:t>
      </w:r>
      <w:r w:rsidR="003C20AA" w:rsidRPr="00155DA4">
        <w:rPr>
          <w:sz w:val="20"/>
          <w:szCs w:val="20"/>
        </w:rPr>
        <w:tab/>
      </w:r>
      <w:r w:rsidR="00155DA4">
        <w:rPr>
          <w:sz w:val="20"/>
          <w:szCs w:val="20"/>
        </w:rPr>
        <w:tab/>
      </w:r>
      <w:r w:rsidR="003C20AA" w:rsidRPr="00155DA4">
        <w:rPr>
          <w:sz w:val="20"/>
          <w:szCs w:val="20"/>
        </w:rPr>
        <w:t xml:space="preserve">checkpoint kinase </w:t>
      </w:r>
      <w:r w:rsidR="00155DA4">
        <w:rPr>
          <w:sz w:val="20"/>
          <w:szCs w:val="20"/>
        </w:rPr>
        <w:t>1/2</w:t>
      </w:r>
    </w:p>
    <w:p w14:paraId="78EA496C" w14:textId="40F882E1" w:rsidR="00476B40" w:rsidRPr="00155DA4" w:rsidRDefault="00476B40" w:rsidP="007B24C9">
      <w:pPr>
        <w:spacing w:after="120" w:line="240" w:lineRule="auto"/>
        <w:rPr>
          <w:sz w:val="20"/>
          <w:szCs w:val="20"/>
        </w:rPr>
      </w:pPr>
      <w:r w:rsidRPr="00155DA4">
        <w:rPr>
          <w:sz w:val="20"/>
          <w:szCs w:val="20"/>
        </w:rPr>
        <w:t>CoxPH</w:t>
      </w:r>
      <w:r w:rsidRPr="00155DA4">
        <w:rPr>
          <w:sz w:val="20"/>
          <w:szCs w:val="20"/>
        </w:rPr>
        <w:tab/>
      </w:r>
      <w:r w:rsidRPr="00155DA4">
        <w:rPr>
          <w:sz w:val="20"/>
          <w:szCs w:val="20"/>
        </w:rPr>
        <w:tab/>
        <w:t>Cox proportional hazards regression/model</w:t>
      </w:r>
    </w:p>
    <w:p w14:paraId="3691AB90" w14:textId="459E4319" w:rsidR="00117DD2" w:rsidRPr="00155DA4" w:rsidRDefault="00117DD2" w:rsidP="007B24C9">
      <w:pPr>
        <w:spacing w:after="120" w:line="240" w:lineRule="auto"/>
        <w:rPr>
          <w:sz w:val="20"/>
          <w:szCs w:val="20"/>
        </w:rPr>
      </w:pPr>
      <w:r w:rsidRPr="00155DA4">
        <w:rPr>
          <w:sz w:val="20"/>
          <w:szCs w:val="20"/>
        </w:rPr>
        <w:t>DDR</w:t>
      </w:r>
      <w:r w:rsidRPr="00155DA4">
        <w:rPr>
          <w:sz w:val="20"/>
          <w:szCs w:val="20"/>
        </w:rPr>
        <w:tab/>
      </w:r>
      <w:r w:rsidRPr="00155DA4">
        <w:rPr>
          <w:sz w:val="20"/>
          <w:szCs w:val="20"/>
        </w:rPr>
        <w:tab/>
        <w:t>DNA damage response</w:t>
      </w:r>
    </w:p>
    <w:p w14:paraId="31B43B28" w14:textId="29261F76" w:rsidR="007B24C9" w:rsidRPr="00155DA4" w:rsidRDefault="007B24C9" w:rsidP="007B24C9">
      <w:pPr>
        <w:spacing w:after="120" w:line="240" w:lineRule="auto"/>
        <w:rPr>
          <w:sz w:val="20"/>
          <w:szCs w:val="20"/>
        </w:rPr>
      </w:pPr>
      <w:r w:rsidRPr="00155DA4">
        <w:rPr>
          <w:sz w:val="20"/>
          <w:szCs w:val="20"/>
        </w:rPr>
        <w:t>DNA</w:t>
      </w:r>
      <w:r w:rsidRPr="00155DA4">
        <w:rPr>
          <w:sz w:val="20"/>
          <w:szCs w:val="20"/>
        </w:rPr>
        <w:tab/>
      </w:r>
      <w:r w:rsidRPr="00155DA4">
        <w:rPr>
          <w:sz w:val="20"/>
          <w:szCs w:val="20"/>
        </w:rPr>
        <w:tab/>
        <w:t>deoxyribonucleic acid</w:t>
      </w:r>
    </w:p>
    <w:p w14:paraId="00C40D55" w14:textId="7A5D22B8" w:rsidR="00117DD2" w:rsidRPr="00155DA4" w:rsidRDefault="00117DD2" w:rsidP="007B24C9">
      <w:pPr>
        <w:spacing w:after="120" w:line="240" w:lineRule="auto"/>
        <w:rPr>
          <w:sz w:val="20"/>
          <w:szCs w:val="20"/>
        </w:rPr>
      </w:pPr>
      <w:r w:rsidRPr="00155DA4">
        <w:rPr>
          <w:sz w:val="20"/>
          <w:szCs w:val="20"/>
        </w:rPr>
        <w:t>DSB(s)</w:t>
      </w:r>
      <w:r w:rsidRPr="00155DA4">
        <w:rPr>
          <w:sz w:val="20"/>
          <w:szCs w:val="20"/>
        </w:rPr>
        <w:tab/>
      </w:r>
      <w:r w:rsidRPr="00155DA4">
        <w:rPr>
          <w:sz w:val="20"/>
          <w:szCs w:val="20"/>
        </w:rPr>
        <w:tab/>
        <w:t>double-stranded break(s)</w:t>
      </w:r>
    </w:p>
    <w:p w14:paraId="419E26C5" w14:textId="6605310B" w:rsidR="00995313" w:rsidRPr="00155DA4" w:rsidRDefault="00995313" w:rsidP="007B24C9">
      <w:pPr>
        <w:spacing w:after="120" w:line="240" w:lineRule="auto"/>
        <w:rPr>
          <w:sz w:val="20"/>
          <w:szCs w:val="20"/>
        </w:rPr>
      </w:pPr>
      <w:r w:rsidRPr="00155DA4">
        <w:rPr>
          <w:sz w:val="20"/>
          <w:szCs w:val="20"/>
        </w:rPr>
        <w:t>FPKM</w:t>
      </w:r>
      <w:r w:rsidR="00E06C86" w:rsidRPr="00155DA4">
        <w:rPr>
          <w:sz w:val="20"/>
          <w:szCs w:val="20"/>
        </w:rPr>
        <w:tab/>
      </w:r>
      <w:r w:rsidR="00E06C86" w:rsidRPr="00155DA4">
        <w:rPr>
          <w:sz w:val="20"/>
          <w:szCs w:val="20"/>
        </w:rPr>
        <w:tab/>
      </w:r>
      <w:r w:rsidR="00E06C86" w:rsidRPr="00155DA4">
        <w:rPr>
          <w:sz w:val="20"/>
          <w:szCs w:val="20"/>
        </w:rPr>
        <w:t>Fragments Per Kilobase of transcript per Million mapped reads</w:t>
      </w:r>
    </w:p>
    <w:p w14:paraId="149B790B" w14:textId="0481EA94" w:rsidR="00656300" w:rsidRPr="00155DA4" w:rsidRDefault="00656300" w:rsidP="007B24C9">
      <w:pPr>
        <w:spacing w:after="120" w:line="240" w:lineRule="auto"/>
        <w:rPr>
          <w:sz w:val="20"/>
          <w:szCs w:val="20"/>
        </w:rPr>
      </w:pPr>
      <w:r w:rsidRPr="00155DA4">
        <w:rPr>
          <w:sz w:val="20"/>
          <w:szCs w:val="20"/>
        </w:rPr>
        <w:t>HGSOC</w:t>
      </w:r>
      <w:r w:rsidRPr="00155DA4">
        <w:rPr>
          <w:sz w:val="20"/>
          <w:szCs w:val="20"/>
        </w:rPr>
        <w:tab/>
      </w:r>
      <w:r w:rsidR="00155DA4">
        <w:rPr>
          <w:sz w:val="20"/>
          <w:szCs w:val="20"/>
        </w:rPr>
        <w:tab/>
      </w:r>
      <w:r w:rsidR="00117DD2" w:rsidRPr="00155DA4">
        <w:rPr>
          <w:sz w:val="20"/>
          <w:szCs w:val="20"/>
        </w:rPr>
        <w:t>h</w:t>
      </w:r>
      <w:r w:rsidRPr="00155DA4">
        <w:rPr>
          <w:sz w:val="20"/>
          <w:szCs w:val="20"/>
        </w:rPr>
        <w:t>igh-</w:t>
      </w:r>
      <w:r w:rsidR="00117DD2" w:rsidRPr="00155DA4">
        <w:rPr>
          <w:sz w:val="20"/>
          <w:szCs w:val="20"/>
        </w:rPr>
        <w:t>g</w:t>
      </w:r>
      <w:r w:rsidRPr="00155DA4">
        <w:rPr>
          <w:sz w:val="20"/>
          <w:szCs w:val="20"/>
        </w:rPr>
        <w:t xml:space="preserve">rade </w:t>
      </w:r>
      <w:r w:rsidR="00117DD2" w:rsidRPr="00155DA4">
        <w:rPr>
          <w:sz w:val="20"/>
          <w:szCs w:val="20"/>
        </w:rPr>
        <w:t>s</w:t>
      </w:r>
      <w:r w:rsidRPr="00155DA4">
        <w:rPr>
          <w:sz w:val="20"/>
          <w:szCs w:val="20"/>
        </w:rPr>
        <w:t xml:space="preserve">erous </w:t>
      </w:r>
      <w:r w:rsidR="00117DD2" w:rsidRPr="00155DA4">
        <w:rPr>
          <w:sz w:val="20"/>
          <w:szCs w:val="20"/>
        </w:rPr>
        <w:t>o</w:t>
      </w:r>
      <w:r w:rsidRPr="00155DA4">
        <w:rPr>
          <w:sz w:val="20"/>
          <w:szCs w:val="20"/>
        </w:rPr>
        <w:t xml:space="preserve">varian </w:t>
      </w:r>
      <w:r w:rsidR="00117DD2" w:rsidRPr="00155DA4">
        <w:rPr>
          <w:sz w:val="20"/>
          <w:szCs w:val="20"/>
        </w:rPr>
        <w:t>c</w:t>
      </w:r>
      <w:r w:rsidRPr="00155DA4">
        <w:rPr>
          <w:sz w:val="20"/>
          <w:szCs w:val="20"/>
        </w:rPr>
        <w:t>arcinoma</w:t>
      </w:r>
    </w:p>
    <w:p w14:paraId="2F5CD7DB" w14:textId="6CF5F3CE" w:rsidR="00D809FA" w:rsidRPr="00155DA4" w:rsidRDefault="00D809FA" w:rsidP="007B24C9">
      <w:pPr>
        <w:spacing w:after="120" w:line="240" w:lineRule="auto"/>
        <w:rPr>
          <w:sz w:val="20"/>
          <w:szCs w:val="20"/>
        </w:rPr>
      </w:pPr>
      <w:r w:rsidRPr="00155DA4">
        <w:rPr>
          <w:sz w:val="20"/>
          <w:szCs w:val="20"/>
        </w:rPr>
        <w:t>HR</w:t>
      </w:r>
      <w:r w:rsidRPr="00155DA4">
        <w:rPr>
          <w:sz w:val="20"/>
          <w:szCs w:val="20"/>
        </w:rPr>
        <w:tab/>
      </w:r>
      <w:r w:rsidRPr="00155DA4">
        <w:rPr>
          <w:sz w:val="20"/>
          <w:szCs w:val="20"/>
        </w:rPr>
        <w:tab/>
        <w:t>homologous recombination</w:t>
      </w:r>
    </w:p>
    <w:p w14:paraId="00CD45DC" w14:textId="022060A5" w:rsidR="00F6627C" w:rsidRPr="00155DA4" w:rsidRDefault="00F6627C" w:rsidP="007B24C9">
      <w:pPr>
        <w:spacing w:after="120" w:line="240" w:lineRule="auto"/>
        <w:rPr>
          <w:sz w:val="20"/>
          <w:szCs w:val="20"/>
        </w:rPr>
      </w:pPr>
      <w:r w:rsidRPr="00155DA4">
        <w:rPr>
          <w:sz w:val="20"/>
          <w:szCs w:val="20"/>
        </w:rPr>
        <w:t>KM</w:t>
      </w:r>
      <w:r w:rsidRPr="00155DA4">
        <w:rPr>
          <w:sz w:val="20"/>
          <w:szCs w:val="20"/>
        </w:rPr>
        <w:tab/>
      </w:r>
      <w:r w:rsidRPr="00155DA4">
        <w:rPr>
          <w:sz w:val="20"/>
          <w:szCs w:val="20"/>
        </w:rPr>
        <w:tab/>
      </w:r>
      <w:r w:rsidRPr="00155DA4">
        <w:rPr>
          <w:sz w:val="20"/>
          <w:szCs w:val="20"/>
        </w:rPr>
        <w:t>Kaplan-Meier</w:t>
      </w:r>
    </w:p>
    <w:p w14:paraId="70858028" w14:textId="5233ABAC" w:rsidR="00DD3A0C" w:rsidRPr="00155DA4" w:rsidRDefault="00DD3A0C" w:rsidP="007B24C9">
      <w:pPr>
        <w:spacing w:after="120" w:line="240" w:lineRule="auto"/>
        <w:rPr>
          <w:sz w:val="20"/>
          <w:szCs w:val="20"/>
        </w:rPr>
      </w:pPr>
      <w:r w:rsidRPr="00155DA4">
        <w:rPr>
          <w:sz w:val="20"/>
          <w:szCs w:val="20"/>
        </w:rPr>
        <w:t>LASSO</w:t>
      </w:r>
      <w:r w:rsidR="002425AD" w:rsidRPr="00155DA4">
        <w:rPr>
          <w:sz w:val="20"/>
          <w:szCs w:val="20"/>
        </w:rPr>
        <w:tab/>
      </w:r>
      <w:r w:rsidR="002425AD" w:rsidRPr="00155DA4">
        <w:rPr>
          <w:sz w:val="20"/>
          <w:szCs w:val="20"/>
        </w:rPr>
        <w:tab/>
        <w:t>l</w:t>
      </w:r>
      <w:r w:rsidR="002425AD" w:rsidRPr="00155DA4">
        <w:rPr>
          <w:sz w:val="20"/>
          <w:szCs w:val="20"/>
        </w:rPr>
        <w:t xml:space="preserve">east </w:t>
      </w:r>
      <w:r w:rsidR="002425AD" w:rsidRPr="00155DA4">
        <w:rPr>
          <w:sz w:val="20"/>
          <w:szCs w:val="20"/>
        </w:rPr>
        <w:t>a</w:t>
      </w:r>
      <w:r w:rsidR="002425AD" w:rsidRPr="00155DA4">
        <w:rPr>
          <w:sz w:val="20"/>
          <w:szCs w:val="20"/>
        </w:rPr>
        <w:t xml:space="preserve">bsolute </w:t>
      </w:r>
      <w:r w:rsidR="002425AD" w:rsidRPr="00155DA4">
        <w:rPr>
          <w:sz w:val="20"/>
          <w:szCs w:val="20"/>
        </w:rPr>
        <w:t>s</w:t>
      </w:r>
      <w:r w:rsidR="002425AD" w:rsidRPr="00155DA4">
        <w:rPr>
          <w:sz w:val="20"/>
          <w:szCs w:val="20"/>
        </w:rPr>
        <w:t xml:space="preserve">hrinkage and </w:t>
      </w:r>
      <w:r w:rsidR="002425AD" w:rsidRPr="00155DA4">
        <w:rPr>
          <w:sz w:val="20"/>
          <w:szCs w:val="20"/>
        </w:rPr>
        <w:t>s</w:t>
      </w:r>
      <w:r w:rsidR="002425AD" w:rsidRPr="00155DA4">
        <w:rPr>
          <w:sz w:val="20"/>
          <w:szCs w:val="20"/>
        </w:rPr>
        <w:t xml:space="preserve">election </w:t>
      </w:r>
      <w:r w:rsidR="002425AD" w:rsidRPr="00155DA4">
        <w:rPr>
          <w:sz w:val="20"/>
          <w:szCs w:val="20"/>
        </w:rPr>
        <w:t>o</w:t>
      </w:r>
      <w:r w:rsidR="002425AD" w:rsidRPr="00155DA4">
        <w:rPr>
          <w:sz w:val="20"/>
          <w:szCs w:val="20"/>
        </w:rPr>
        <w:t>perator</w:t>
      </w:r>
    </w:p>
    <w:p w14:paraId="4DD9D43C" w14:textId="70F6B092" w:rsidR="00173F98" w:rsidRPr="00155DA4" w:rsidRDefault="00173F98" w:rsidP="007B24C9">
      <w:pPr>
        <w:spacing w:after="120" w:line="240" w:lineRule="auto"/>
        <w:rPr>
          <w:sz w:val="20"/>
          <w:szCs w:val="20"/>
        </w:rPr>
      </w:pPr>
      <w:r w:rsidRPr="00155DA4">
        <w:rPr>
          <w:sz w:val="20"/>
          <w:szCs w:val="20"/>
        </w:rPr>
        <w:t>MAF</w:t>
      </w:r>
      <w:r w:rsidR="005672A5" w:rsidRPr="00155DA4">
        <w:rPr>
          <w:sz w:val="20"/>
          <w:szCs w:val="20"/>
        </w:rPr>
        <w:tab/>
      </w:r>
      <w:r w:rsidR="005672A5" w:rsidRPr="00155DA4">
        <w:rPr>
          <w:sz w:val="20"/>
          <w:szCs w:val="20"/>
        </w:rPr>
        <w:tab/>
        <w:t>mutation annotation format</w:t>
      </w:r>
    </w:p>
    <w:p w14:paraId="3E5A56F2" w14:textId="77760346" w:rsidR="004E53A3" w:rsidRPr="00155DA4" w:rsidRDefault="004E53A3" w:rsidP="007B24C9">
      <w:pPr>
        <w:spacing w:after="120" w:line="240" w:lineRule="auto"/>
        <w:rPr>
          <w:sz w:val="20"/>
          <w:szCs w:val="20"/>
        </w:rPr>
      </w:pPr>
      <w:r w:rsidRPr="00155DA4">
        <w:rPr>
          <w:sz w:val="20"/>
          <w:szCs w:val="20"/>
        </w:rPr>
        <w:t>ML</w:t>
      </w:r>
      <w:r w:rsidRPr="00155DA4">
        <w:rPr>
          <w:sz w:val="20"/>
          <w:szCs w:val="20"/>
        </w:rPr>
        <w:tab/>
      </w:r>
      <w:r w:rsidRPr="00155DA4">
        <w:rPr>
          <w:sz w:val="20"/>
          <w:szCs w:val="20"/>
        </w:rPr>
        <w:tab/>
        <w:t>machine learning</w:t>
      </w:r>
    </w:p>
    <w:p w14:paraId="356A651B" w14:textId="1F4169D4" w:rsidR="004E53A3" w:rsidRPr="00155DA4" w:rsidRDefault="004E53A3" w:rsidP="007B24C9">
      <w:pPr>
        <w:spacing w:after="120" w:line="240" w:lineRule="auto"/>
        <w:rPr>
          <w:sz w:val="20"/>
          <w:szCs w:val="20"/>
        </w:rPr>
      </w:pPr>
      <w:r w:rsidRPr="00155DA4">
        <w:rPr>
          <w:sz w:val="20"/>
          <w:szCs w:val="20"/>
        </w:rPr>
        <w:t>MM</w:t>
      </w:r>
      <w:r w:rsidRPr="00155DA4">
        <w:rPr>
          <w:sz w:val="20"/>
          <w:szCs w:val="20"/>
        </w:rPr>
        <w:tab/>
      </w:r>
      <w:r w:rsidRPr="00155DA4">
        <w:rPr>
          <w:sz w:val="20"/>
          <w:szCs w:val="20"/>
        </w:rPr>
        <w:tab/>
        <w:t>mechanistic model</w:t>
      </w:r>
    </w:p>
    <w:p w14:paraId="2D7A9B73" w14:textId="6C47B9A9" w:rsidR="00D00CCA" w:rsidRPr="00155DA4" w:rsidRDefault="00D00CCA" w:rsidP="007B24C9">
      <w:pPr>
        <w:spacing w:after="120" w:line="240" w:lineRule="auto"/>
        <w:rPr>
          <w:sz w:val="20"/>
          <w:szCs w:val="20"/>
        </w:rPr>
      </w:pPr>
      <w:r w:rsidRPr="00155DA4">
        <w:rPr>
          <w:sz w:val="20"/>
          <w:szCs w:val="20"/>
        </w:rPr>
        <w:t xml:space="preserve">NHEJ </w:t>
      </w:r>
      <w:r w:rsidRPr="00155DA4">
        <w:rPr>
          <w:sz w:val="20"/>
          <w:szCs w:val="20"/>
        </w:rPr>
        <w:tab/>
      </w:r>
      <w:r w:rsidRPr="00155DA4">
        <w:rPr>
          <w:sz w:val="20"/>
          <w:szCs w:val="20"/>
        </w:rPr>
        <w:tab/>
        <w:t>non-homologous end joining</w:t>
      </w:r>
    </w:p>
    <w:p w14:paraId="1E86EAAD" w14:textId="234C6093" w:rsidR="00173F98" w:rsidRPr="00155DA4" w:rsidRDefault="00173F98" w:rsidP="007B24C9">
      <w:pPr>
        <w:spacing w:after="120" w:line="240" w:lineRule="auto"/>
        <w:rPr>
          <w:sz w:val="20"/>
          <w:szCs w:val="20"/>
        </w:rPr>
      </w:pPr>
      <w:r w:rsidRPr="00155DA4">
        <w:rPr>
          <w:sz w:val="20"/>
          <w:szCs w:val="20"/>
        </w:rPr>
        <w:t>ODE</w:t>
      </w:r>
      <w:r w:rsidRPr="00155DA4">
        <w:rPr>
          <w:sz w:val="20"/>
          <w:szCs w:val="20"/>
        </w:rPr>
        <w:tab/>
      </w:r>
      <w:r w:rsidRPr="00155DA4">
        <w:rPr>
          <w:sz w:val="20"/>
          <w:szCs w:val="20"/>
        </w:rPr>
        <w:tab/>
        <w:t>ordinary differential equation</w:t>
      </w:r>
    </w:p>
    <w:p w14:paraId="11EB0750" w14:textId="578E1540" w:rsidR="00DD3A0C" w:rsidRPr="00155DA4" w:rsidRDefault="00DD3A0C" w:rsidP="007B24C9">
      <w:pPr>
        <w:spacing w:after="120" w:line="240" w:lineRule="auto"/>
        <w:rPr>
          <w:sz w:val="20"/>
          <w:szCs w:val="20"/>
        </w:rPr>
      </w:pPr>
      <w:r w:rsidRPr="00155DA4">
        <w:rPr>
          <w:sz w:val="20"/>
          <w:szCs w:val="20"/>
        </w:rPr>
        <w:t>OOF</w:t>
      </w:r>
      <w:r w:rsidRPr="00155DA4">
        <w:rPr>
          <w:sz w:val="20"/>
          <w:szCs w:val="20"/>
        </w:rPr>
        <w:tab/>
      </w:r>
      <w:r w:rsidRPr="00155DA4">
        <w:rPr>
          <w:sz w:val="20"/>
          <w:szCs w:val="20"/>
        </w:rPr>
        <w:tab/>
        <w:t>out-of-fold</w:t>
      </w:r>
    </w:p>
    <w:p w14:paraId="4A8A104B" w14:textId="29C00470" w:rsidR="00DD1699" w:rsidRPr="00155DA4" w:rsidRDefault="00DD1699" w:rsidP="007B24C9">
      <w:pPr>
        <w:spacing w:after="120" w:line="240" w:lineRule="auto"/>
        <w:rPr>
          <w:sz w:val="20"/>
          <w:szCs w:val="20"/>
        </w:rPr>
      </w:pPr>
      <w:r w:rsidRPr="00155DA4">
        <w:rPr>
          <w:sz w:val="20"/>
          <w:szCs w:val="20"/>
        </w:rPr>
        <w:t>PALB2</w:t>
      </w:r>
      <w:r w:rsidRPr="00155DA4">
        <w:rPr>
          <w:sz w:val="20"/>
          <w:szCs w:val="20"/>
        </w:rPr>
        <w:tab/>
      </w:r>
      <w:r w:rsidRPr="00155DA4">
        <w:rPr>
          <w:sz w:val="20"/>
          <w:szCs w:val="20"/>
        </w:rPr>
        <w:tab/>
        <w:t>partner and localizer of BRCA2</w:t>
      </w:r>
    </w:p>
    <w:p w14:paraId="7F70896E" w14:textId="22189D65" w:rsidR="008C02A2" w:rsidRPr="00155DA4" w:rsidRDefault="008C02A2" w:rsidP="007B24C9">
      <w:pPr>
        <w:spacing w:after="120" w:line="240" w:lineRule="auto"/>
        <w:rPr>
          <w:sz w:val="20"/>
          <w:szCs w:val="20"/>
        </w:rPr>
      </w:pPr>
      <w:r w:rsidRPr="00155DA4">
        <w:rPr>
          <w:sz w:val="20"/>
          <w:szCs w:val="20"/>
        </w:rPr>
        <w:t>RAD51</w:t>
      </w:r>
      <w:r w:rsidR="00DD1699" w:rsidRPr="00155DA4">
        <w:rPr>
          <w:sz w:val="20"/>
          <w:szCs w:val="20"/>
        </w:rPr>
        <w:tab/>
      </w:r>
      <w:r w:rsidR="00DD1699" w:rsidRPr="00155DA4">
        <w:rPr>
          <w:sz w:val="20"/>
          <w:szCs w:val="20"/>
        </w:rPr>
        <w:tab/>
        <w:t>radiation sensitive protein 51</w:t>
      </w:r>
    </w:p>
    <w:p w14:paraId="70762C42" w14:textId="756E5111" w:rsidR="004B56A5" w:rsidRPr="00155DA4" w:rsidRDefault="004B56A5" w:rsidP="007B24C9">
      <w:pPr>
        <w:spacing w:after="120" w:line="240" w:lineRule="auto"/>
        <w:rPr>
          <w:sz w:val="20"/>
          <w:szCs w:val="20"/>
        </w:rPr>
      </w:pPr>
      <w:r w:rsidRPr="00155DA4">
        <w:rPr>
          <w:sz w:val="20"/>
          <w:szCs w:val="20"/>
        </w:rPr>
        <w:t>RSF(s)</w:t>
      </w:r>
      <w:r w:rsidRPr="00155DA4">
        <w:rPr>
          <w:sz w:val="20"/>
          <w:szCs w:val="20"/>
        </w:rPr>
        <w:tab/>
      </w:r>
      <w:r w:rsidRPr="00155DA4">
        <w:rPr>
          <w:sz w:val="20"/>
          <w:szCs w:val="20"/>
        </w:rPr>
        <w:tab/>
        <w:t>Random Survival Forest(s)</w:t>
      </w:r>
    </w:p>
    <w:p w14:paraId="36C49F9F" w14:textId="62728515" w:rsidR="00173F98" w:rsidRPr="00155DA4" w:rsidRDefault="00173F98" w:rsidP="007B24C9">
      <w:pPr>
        <w:spacing w:after="120" w:line="240" w:lineRule="auto"/>
        <w:rPr>
          <w:sz w:val="20"/>
          <w:szCs w:val="20"/>
        </w:rPr>
      </w:pPr>
      <w:r w:rsidRPr="00155DA4">
        <w:rPr>
          <w:sz w:val="20"/>
          <w:szCs w:val="20"/>
        </w:rPr>
        <w:t>TCGA</w:t>
      </w:r>
      <w:r w:rsidR="005E0469" w:rsidRPr="00155DA4">
        <w:rPr>
          <w:sz w:val="20"/>
          <w:szCs w:val="20"/>
        </w:rPr>
        <w:tab/>
      </w:r>
      <w:r w:rsidR="005E0469" w:rsidRPr="00155DA4">
        <w:rPr>
          <w:sz w:val="20"/>
          <w:szCs w:val="20"/>
        </w:rPr>
        <w:tab/>
        <w:t>The Cancer Genome Atlas</w:t>
      </w:r>
    </w:p>
    <w:p w14:paraId="66BCEF19" w14:textId="77BBDFBB" w:rsidR="00A74AF8" w:rsidRDefault="0037659A" w:rsidP="00155DA4">
      <w:pPr>
        <w:spacing w:after="120" w:line="240" w:lineRule="auto"/>
        <w:rPr>
          <w:sz w:val="20"/>
          <w:szCs w:val="20"/>
        </w:rPr>
      </w:pPr>
      <w:r w:rsidRPr="00155DA4">
        <w:rPr>
          <w:sz w:val="20"/>
          <w:szCs w:val="20"/>
        </w:rPr>
        <w:t>TP53</w:t>
      </w:r>
      <w:r w:rsidRPr="00155DA4">
        <w:rPr>
          <w:sz w:val="20"/>
          <w:szCs w:val="20"/>
        </w:rPr>
        <w:tab/>
      </w:r>
      <w:r w:rsidRPr="00155DA4">
        <w:rPr>
          <w:sz w:val="20"/>
          <w:szCs w:val="20"/>
        </w:rPr>
        <w:tab/>
        <w:t>tumour protein p53</w:t>
      </w:r>
    </w:p>
    <w:p w14:paraId="0EE7C131" w14:textId="77777777" w:rsidR="00130971" w:rsidRDefault="00130971" w:rsidP="00155DA4">
      <w:pPr>
        <w:spacing w:after="120" w:line="240" w:lineRule="auto"/>
        <w:rPr>
          <w:sz w:val="20"/>
          <w:szCs w:val="20"/>
        </w:rPr>
      </w:pPr>
    </w:p>
    <w:p w14:paraId="0C99C84A" w14:textId="77777777" w:rsidR="00130971" w:rsidRDefault="00130971">
      <w:pPr>
        <w:spacing w:after="160" w:line="259" w:lineRule="auto"/>
        <w:rPr>
          <w:rFonts w:eastAsiaTheme="majorEastAsia"/>
          <w:b/>
          <w:bCs/>
          <w:spacing w:val="-10"/>
          <w:kern w:val="28"/>
          <w:sz w:val="32"/>
          <w:szCs w:val="32"/>
        </w:rPr>
      </w:pPr>
      <w:r>
        <w:br w:type="page"/>
      </w:r>
    </w:p>
    <w:p w14:paraId="3971C693" w14:textId="40154F8E" w:rsidR="00130971" w:rsidRPr="00130971" w:rsidRDefault="00130971" w:rsidP="00130971">
      <w:pPr>
        <w:pStyle w:val="Heading1"/>
      </w:pPr>
      <w:r w:rsidRPr="00130971">
        <w:lastRenderedPageBreak/>
        <w:t>Appendix 2. Model variables and symbols</w:t>
      </w:r>
    </w:p>
    <w:tbl>
      <w:tblPr>
        <w:tblW w:w="7938" w:type="dxa"/>
        <w:tblCellSpacing w:w="15" w:type="dxa"/>
        <w:tblCellMar>
          <w:top w:w="15" w:type="dxa"/>
          <w:left w:w="15" w:type="dxa"/>
          <w:bottom w:w="15" w:type="dxa"/>
          <w:right w:w="15" w:type="dxa"/>
        </w:tblCellMar>
        <w:tblLook w:val="04A0" w:firstRow="1" w:lastRow="0" w:firstColumn="1" w:lastColumn="0" w:noHBand="0" w:noVBand="1"/>
      </w:tblPr>
      <w:tblGrid>
        <w:gridCol w:w="732"/>
        <w:gridCol w:w="7206"/>
      </w:tblGrid>
      <w:tr w:rsidR="00130971" w:rsidRPr="00F0227C" w14:paraId="05513453" w14:textId="77777777" w:rsidTr="00F0227C">
        <w:trPr>
          <w:tblCellSpacing w:w="15" w:type="dxa"/>
        </w:trPr>
        <w:tc>
          <w:tcPr>
            <w:tcW w:w="0" w:type="auto"/>
            <w:vAlign w:val="center"/>
            <w:hideMark/>
          </w:tcPr>
          <w:p w14:paraId="205C43BA" w14:textId="77777777" w:rsidR="00130971" w:rsidRPr="00F0227C" w:rsidRDefault="00130971" w:rsidP="00130971">
            <w:pPr>
              <w:spacing w:after="120" w:line="240" w:lineRule="auto"/>
              <w:rPr>
                <w:sz w:val="20"/>
                <w:szCs w:val="20"/>
                <w:lang w:val="en-IE"/>
              </w:rPr>
            </w:pPr>
            <w:r w:rsidRPr="00F0227C">
              <w:rPr>
                <w:sz w:val="20"/>
                <w:szCs w:val="20"/>
                <w:lang w:val="en-IE"/>
              </w:rPr>
              <w:t>D(t)</w:t>
            </w:r>
          </w:p>
        </w:tc>
        <w:tc>
          <w:tcPr>
            <w:tcW w:w="7161" w:type="dxa"/>
            <w:vAlign w:val="center"/>
            <w:hideMark/>
          </w:tcPr>
          <w:p w14:paraId="0E9F0360" w14:textId="77777777" w:rsidR="00130971" w:rsidRPr="00F0227C" w:rsidRDefault="00130971" w:rsidP="00130971">
            <w:pPr>
              <w:spacing w:after="120" w:line="240" w:lineRule="auto"/>
              <w:rPr>
                <w:sz w:val="20"/>
                <w:szCs w:val="20"/>
                <w:lang w:val="en-IE"/>
              </w:rPr>
            </w:pPr>
            <w:r w:rsidRPr="00F0227C">
              <w:rPr>
                <w:sz w:val="20"/>
                <w:szCs w:val="20"/>
                <w:lang w:val="en-IE"/>
              </w:rPr>
              <w:t>DNA damage load over time</w:t>
            </w:r>
          </w:p>
        </w:tc>
      </w:tr>
      <w:tr w:rsidR="00130971" w:rsidRPr="00F0227C" w14:paraId="28189138" w14:textId="77777777" w:rsidTr="00F0227C">
        <w:trPr>
          <w:tblCellSpacing w:w="15" w:type="dxa"/>
        </w:trPr>
        <w:tc>
          <w:tcPr>
            <w:tcW w:w="0" w:type="auto"/>
            <w:vAlign w:val="center"/>
            <w:hideMark/>
          </w:tcPr>
          <w:p w14:paraId="1750FB58" w14:textId="77777777" w:rsidR="00130971" w:rsidRPr="00F0227C" w:rsidRDefault="00130971" w:rsidP="00130971">
            <w:pPr>
              <w:spacing w:after="120" w:line="240" w:lineRule="auto"/>
              <w:rPr>
                <w:sz w:val="20"/>
                <w:szCs w:val="20"/>
                <w:lang w:val="en-IE"/>
              </w:rPr>
            </w:pPr>
            <w:r w:rsidRPr="00F0227C">
              <w:rPr>
                <w:sz w:val="20"/>
                <w:szCs w:val="20"/>
                <w:lang w:val="en-IE"/>
              </w:rPr>
              <w:t>A(t)</w:t>
            </w:r>
          </w:p>
        </w:tc>
        <w:tc>
          <w:tcPr>
            <w:tcW w:w="7161" w:type="dxa"/>
            <w:vAlign w:val="center"/>
            <w:hideMark/>
          </w:tcPr>
          <w:p w14:paraId="18C7125F" w14:textId="5F585EE9" w:rsidR="00130971" w:rsidRPr="00F0227C" w:rsidRDefault="00130971" w:rsidP="00130971">
            <w:pPr>
              <w:spacing w:after="120" w:line="240" w:lineRule="auto"/>
              <w:rPr>
                <w:sz w:val="20"/>
                <w:szCs w:val="20"/>
                <w:lang w:val="en-IE"/>
              </w:rPr>
            </w:pPr>
            <w:r w:rsidRPr="00F0227C">
              <w:rPr>
                <w:sz w:val="20"/>
                <w:szCs w:val="20"/>
                <w:lang w:val="en-IE"/>
              </w:rPr>
              <w:t>ATM/ATR checkpoint activation</w:t>
            </w:r>
            <w:r w:rsidR="00995EE8" w:rsidRPr="00F0227C">
              <w:rPr>
                <w:sz w:val="20"/>
                <w:szCs w:val="20"/>
                <w:lang w:val="en-IE"/>
              </w:rPr>
              <w:t xml:space="preserve"> over time</w:t>
            </w:r>
          </w:p>
        </w:tc>
      </w:tr>
      <w:tr w:rsidR="00130971" w:rsidRPr="00F0227C" w14:paraId="23E56467" w14:textId="77777777" w:rsidTr="00F0227C">
        <w:trPr>
          <w:tblCellSpacing w:w="15" w:type="dxa"/>
        </w:trPr>
        <w:tc>
          <w:tcPr>
            <w:tcW w:w="0" w:type="auto"/>
            <w:vAlign w:val="center"/>
            <w:hideMark/>
          </w:tcPr>
          <w:p w14:paraId="5187C87D" w14:textId="77777777" w:rsidR="00130971" w:rsidRPr="00F0227C" w:rsidRDefault="00130971" w:rsidP="00130971">
            <w:pPr>
              <w:spacing w:after="120" w:line="240" w:lineRule="auto"/>
              <w:rPr>
                <w:sz w:val="20"/>
                <w:szCs w:val="20"/>
                <w:lang w:val="en-IE"/>
              </w:rPr>
            </w:pPr>
            <w:r w:rsidRPr="00F0227C">
              <w:rPr>
                <w:sz w:val="20"/>
                <w:szCs w:val="20"/>
                <w:lang w:val="en-IE"/>
              </w:rPr>
              <w:t>C(t)</w:t>
            </w:r>
          </w:p>
        </w:tc>
        <w:tc>
          <w:tcPr>
            <w:tcW w:w="7161" w:type="dxa"/>
            <w:vAlign w:val="center"/>
            <w:hideMark/>
          </w:tcPr>
          <w:p w14:paraId="6123579F" w14:textId="0A42BDDF" w:rsidR="00130971" w:rsidRPr="00F0227C" w:rsidRDefault="00130971" w:rsidP="00130971">
            <w:pPr>
              <w:spacing w:after="120" w:line="240" w:lineRule="auto"/>
              <w:rPr>
                <w:sz w:val="20"/>
                <w:szCs w:val="20"/>
                <w:lang w:val="en-IE"/>
              </w:rPr>
            </w:pPr>
            <w:r w:rsidRPr="00F0227C">
              <w:rPr>
                <w:sz w:val="20"/>
                <w:szCs w:val="20"/>
                <w:lang w:val="en-IE"/>
              </w:rPr>
              <w:t>CHK1/CHK2 signalling</w:t>
            </w:r>
            <w:r w:rsidR="00995EE8" w:rsidRPr="00F0227C">
              <w:rPr>
                <w:sz w:val="20"/>
                <w:szCs w:val="20"/>
                <w:lang w:val="en-IE"/>
              </w:rPr>
              <w:t xml:space="preserve"> over time</w:t>
            </w:r>
          </w:p>
        </w:tc>
      </w:tr>
      <w:tr w:rsidR="00130971" w:rsidRPr="00F0227C" w14:paraId="00E631D7" w14:textId="77777777" w:rsidTr="00F0227C">
        <w:trPr>
          <w:tblCellSpacing w:w="15" w:type="dxa"/>
        </w:trPr>
        <w:tc>
          <w:tcPr>
            <w:tcW w:w="0" w:type="auto"/>
            <w:vAlign w:val="center"/>
            <w:hideMark/>
          </w:tcPr>
          <w:p w14:paraId="32497DA3" w14:textId="77777777" w:rsidR="00130971" w:rsidRPr="00F0227C" w:rsidRDefault="00130971" w:rsidP="00130971">
            <w:pPr>
              <w:spacing w:after="120" w:line="240" w:lineRule="auto"/>
              <w:rPr>
                <w:sz w:val="20"/>
                <w:szCs w:val="20"/>
                <w:lang w:val="en-IE"/>
              </w:rPr>
            </w:pPr>
            <w:r w:rsidRPr="00F0227C">
              <w:rPr>
                <w:sz w:val="20"/>
                <w:szCs w:val="20"/>
                <w:lang w:val="en-IE"/>
              </w:rPr>
              <w:t>R(t)</w:t>
            </w:r>
          </w:p>
        </w:tc>
        <w:tc>
          <w:tcPr>
            <w:tcW w:w="7161" w:type="dxa"/>
            <w:vAlign w:val="center"/>
            <w:hideMark/>
          </w:tcPr>
          <w:p w14:paraId="4865B539" w14:textId="1DEF5F38" w:rsidR="00130971" w:rsidRPr="00F0227C" w:rsidRDefault="00995EE8" w:rsidP="00130971">
            <w:pPr>
              <w:spacing w:after="120" w:line="240" w:lineRule="auto"/>
              <w:rPr>
                <w:sz w:val="20"/>
                <w:szCs w:val="20"/>
                <w:lang w:val="en-IE"/>
              </w:rPr>
            </w:pPr>
            <w:r w:rsidRPr="00F0227C">
              <w:rPr>
                <w:sz w:val="20"/>
                <w:szCs w:val="20"/>
                <w:lang w:val="en-IE"/>
              </w:rPr>
              <w:t xml:space="preserve">Function </w:t>
            </w:r>
            <w:r w:rsidR="00130971" w:rsidRPr="00F0227C">
              <w:rPr>
                <w:sz w:val="20"/>
                <w:szCs w:val="20"/>
                <w:lang w:val="en-IE"/>
              </w:rPr>
              <w:t>HR repair complex capacity</w:t>
            </w:r>
            <w:r w:rsidRPr="00F0227C">
              <w:rPr>
                <w:sz w:val="20"/>
                <w:szCs w:val="20"/>
                <w:lang w:val="en-IE"/>
              </w:rPr>
              <w:t xml:space="preserve"> over time</w:t>
            </w:r>
          </w:p>
        </w:tc>
      </w:tr>
      <w:tr w:rsidR="00130971" w:rsidRPr="00F0227C" w14:paraId="4748C417" w14:textId="77777777" w:rsidTr="00F0227C">
        <w:trPr>
          <w:tblCellSpacing w:w="15" w:type="dxa"/>
        </w:trPr>
        <w:tc>
          <w:tcPr>
            <w:tcW w:w="0" w:type="auto"/>
            <w:vAlign w:val="center"/>
            <w:hideMark/>
          </w:tcPr>
          <w:p w14:paraId="1A12A853" w14:textId="77777777" w:rsidR="00130971" w:rsidRPr="00F0227C" w:rsidRDefault="00130971" w:rsidP="00130971">
            <w:pPr>
              <w:spacing w:after="120" w:line="240" w:lineRule="auto"/>
              <w:rPr>
                <w:sz w:val="20"/>
                <w:szCs w:val="20"/>
                <w:lang w:val="en-IE"/>
              </w:rPr>
            </w:pPr>
            <w:r w:rsidRPr="00F0227C">
              <w:rPr>
                <w:sz w:val="20"/>
                <w:szCs w:val="20"/>
                <w:lang w:val="en-IE"/>
              </w:rPr>
              <w:t>X(t)</w:t>
            </w:r>
          </w:p>
        </w:tc>
        <w:tc>
          <w:tcPr>
            <w:tcW w:w="7161" w:type="dxa"/>
            <w:vAlign w:val="center"/>
            <w:hideMark/>
          </w:tcPr>
          <w:p w14:paraId="58D039DD" w14:textId="70846E11" w:rsidR="00130971" w:rsidRPr="00F0227C" w:rsidRDefault="00130971" w:rsidP="00130971">
            <w:pPr>
              <w:spacing w:after="120" w:line="240" w:lineRule="auto"/>
              <w:rPr>
                <w:sz w:val="20"/>
                <w:szCs w:val="20"/>
                <w:lang w:val="en-IE"/>
              </w:rPr>
            </w:pPr>
            <w:r w:rsidRPr="00F0227C">
              <w:rPr>
                <w:sz w:val="20"/>
                <w:szCs w:val="20"/>
                <w:lang w:val="en-IE"/>
              </w:rPr>
              <w:t>Apoptotic commitment signal</w:t>
            </w:r>
            <w:r w:rsidR="00995EE8" w:rsidRPr="00F0227C">
              <w:rPr>
                <w:sz w:val="20"/>
                <w:szCs w:val="20"/>
                <w:lang w:val="en-IE"/>
              </w:rPr>
              <w:t xml:space="preserve"> over time</w:t>
            </w:r>
          </w:p>
        </w:tc>
      </w:tr>
      <w:tr w:rsidR="00130971" w:rsidRPr="00F0227C" w14:paraId="2EF46E6E" w14:textId="77777777" w:rsidTr="00F0227C">
        <w:trPr>
          <w:tblCellSpacing w:w="15" w:type="dxa"/>
        </w:trPr>
        <w:tc>
          <w:tcPr>
            <w:tcW w:w="0" w:type="auto"/>
            <w:vAlign w:val="center"/>
            <w:hideMark/>
          </w:tcPr>
          <w:p w14:paraId="4D977E9F" w14:textId="6B2E26D6" w:rsidR="00130971" w:rsidRPr="00F0227C" w:rsidRDefault="00130971" w:rsidP="00130971">
            <w:pPr>
              <w:spacing w:after="120" w:line="240" w:lineRule="auto"/>
              <w:rPr>
                <w:sz w:val="20"/>
                <w:szCs w:val="20"/>
                <w:lang w:val="en-IE"/>
              </w:rPr>
            </w:pPr>
            <m:oMathPara>
              <m:oMathParaPr>
                <m:jc m:val="left"/>
              </m:oMathParaPr>
              <m:oMath>
                <m:sSub>
                  <m:sSubPr>
                    <m:ctrlPr>
                      <w:rPr>
                        <w:rFonts w:ascii="Cambria Math" w:hAnsi="Cambria Math"/>
                        <w:i/>
                        <w:sz w:val="20"/>
                        <w:szCs w:val="20"/>
                        <w:lang w:val="en-IE"/>
                      </w:rPr>
                    </m:ctrlPr>
                  </m:sSubPr>
                  <m:e>
                    <m:r>
                      <w:rPr>
                        <w:rFonts w:ascii="Cambria Math" w:hAnsi="Cambria Math"/>
                        <w:sz w:val="20"/>
                        <w:szCs w:val="20"/>
                        <w:lang w:val="en-IE"/>
                      </w:rPr>
                      <m:t>AUC</m:t>
                    </m:r>
                  </m:e>
                  <m:sub>
                    <m:r>
                      <w:rPr>
                        <w:rFonts w:ascii="Cambria Math" w:hAnsi="Cambria Math"/>
                        <w:sz w:val="20"/>
                        <w:szCs w:val="20"/>
                        <w:lang w:val="en-IE"/>
                      </w:rPr>
                      <m:t>X</m:t>
                    </m:r>
                  </m:sub>
                </m:sSub>
              </m:oMath>
            </m:oMathPara>
          </w:p>
        </w:tc>
        <w:tc>
          <w:tcPr>
            <w:tcW w:w="7161" w:type="dxa"/>
            <w:vAlign w:val="center"/>
            <w:hideMark/>
          </w:tcPr>
          <w:p w14:paraId="47E1728D" w14:textId="77777777" w:rsidR="00130971" w:rsidRPr="00F0227C" w:rsidRDefault="00130971" w:rsidP="00130971">
            <w:pPr>
              <w:spacing w:after="120" w:line="240" w:lineRule="auto"/>
              <w:rPr>
                <w:sz w:val="20"/>
                <w:szCs w:val="20"/>
                <w:lang w:val="en-IE"/>
              </w:rPr>
            </w:pPr>
            <w:r w:rsidRPr="00F0227C">
              <w:rPr>
                <w:sz w:val="20"/>
                <w:szCs w:val="20"/>
                <w:lang w:val="en-IE"/>
              </w:rPr>
              <w:t>Area under the apoptotic commitment curve (primary ODE score)</w:t>
            </w:r>
          </w:p>
        </w:tc>
      </w:tr>
      <w:tr w:rsidR="00130971" w:rsidRPr="00F0227C" w14:paraId="585ADE68" w14:textId="77777777" w:rsidTr="00F0227C">
        <w:trPr>
          <w:tblCellSpacing w:w="15" w:type="dxa"/>
        </w:trPr>
        <w:tc>
          <w:tcPr>
            <w:tcW w:w="0" w:type="auto"/>
            <w:vAlign w:val="center"/>
            <w:hideMark/>
          </w:tcPr>
          <w:p w14:paraId="723D3851" w14:textId="6BB8A05D" w:rsidR="00130971" w:rsidRPr="00F0227C" w:rsidRDefault="00130971" w:rsidP="00130971">
            <w:pPr>
              <w:spacing w:after="120" w:line="240" w:lineRule="auto"/>
              <w:rPr>
                <w:sz w:val="20"/>
                <w:szCs w:val="20"/>
                <w:lang w:val="en-IE"/>
              </w:rPr>
            </w:pPr>
            <m:oMathPara>
              <m:oMathParaPr>
                <m:jc m:val="left"/>
              </m:oMathParaPr>
              <m:oMath>
                <m:sSub>
                  <m:sSubPr>
                    <m:ctrlPr>
                      <w:rPr>
                        <w:rFonts w:ascii="Cambria Math" w:hAnsi="Cambria Math"/>
                        <w:sz w:val="20"/>
                        <w:szCs w:val="20"/>
                        <w:lang w:val="en-IE"/>
                      </w:rPr>
                    </m:ctrlPr>
                  </m:sSubPr>
                  <m:e>
                    <m:r>
                      <w:rPr>
                        <w:rFonts w:ascii="Cambria Math" w:hAnsi="Cambria Math"/>
                        <w:sz w:val="20"/>
                        <w:szCs w:val="20"/>
                        <w:lang w:val="en-IE"/>
                      </w:rPr>
                      <m:t>X</m:t>
                    </m:r>
                  </m:e>
                  <m:sub>
                    <m:r>
                      <w:rPr>
                        <w:rFonts w:ascii="Cambria Math" w:hAnsi="Cambria Math"/>
                        <w:sz w:val="20"/>
                        <w:szCs w:val="20"/>
                        <w:lang w:val="en-IE"/>
                      </w:rPr>
                      <m:t>peak</m:t>
                    </m:r>
                  </m:sub>
                </m:sSub>
              </m:oMath>
            </m:oMathPara>
          </w:p>
        </w:tc>
        <w:tc>
          <w:tcPr>
            <w:tcW w:w="7161" w:type="dxa"/>
            <w:vAlign w:val="center"/>
            <w:hideMark/>
          </w:tcPr>
          <w:p w14:paraId="31A66AC5" w14:textId="77777777" w:rsidR="00130971" w:rsidRPr="00F0227C" w:rsidRDefault="00130971" w:rsidP="00130971">
            <w:pPr>
              <w:spacing w:after="120" w:line="240" w:lineRule="auto"/>
              <w:rPr>
                <w:sz w:val="20"/>
                <w:szCs w:val="20"/>
                <w:lang w:val="en-IE"/>
              </w:rPr>
            </w:pPr>
            <w:r w:rsidRPr="00F0227C">
              <w:rPr>
                <w:sz w:val="20"/>
                <w:szCs w:val="20"/>
                <w:lang w:val="en-IE"/>
              </w:rPr>
              <w:t>Maximum apoptotic signal reached</w:t>
            </w:r>
          </w:p>
        </w:tc>
      </w:tr>
      <w:tr w:rsidR="00130971" w:rsidRPr="00F0227C" w14:paraId="34D85A86" w14:textId="77777777" w:rsidTr="00F0227C">
        <w:trPr>
          <w:tblCellSpacing w:w="15" w:type="dxa"/>
        </w:trPr>
        <w:tc>
          <w:tcPr>
            <w:tcW w:w="0" w:type="auto"/>
            <w:vAlign w:val="center"/>
            <w:hideMark/>
          </w:tcPr>
          <w:p w14:paraId="311329A1" w14:textId="6714F4C6" w:rsidR="00130971" w:rsidRPr="00F0227C" w:rsidRDefault="00130971" w:rsidP="00130971">
            <w:pPr>
              <w:spacing w:after="120" w:line="240" w:lineRule="auto"/>
              <w:rPr>
                <w:sz w:val="20"/>
                <w:szCs w:val="20"/>
                <w:lang w:val="en-IE"/>
              </w:rPr>
            </w:pPr>
            <m:oMathPara>
              <m:oMathParaPr>
                <m:jc m:val="left"/>
              </m:oMathParaPr>
              <m:oMath>
                <m:sSub>
                  <m:sSubPr>
                    <m:ctrlPr>
                      <w:rPr>
                        <w:rFonts w:ascii="Cambria Math" w:hAnsi="Cambria Math"/>
                        <w:sz w:val="20"/>
                        <w:szCs w:val="20"/>
                        <w:lang w:val="en-IE"/>
                      </w:rPr>
                    </m:ctrlPr>
                  </m:sSubPr>
                  <m:e>
                    <m:r>
                      <w:rPr>
                        <w:rFonts w:ascii="Cambria Math" w:hAnsi="Cambria Math"/>
                        <w:sz w:val="20"/>
                        <w:szCs w:val="20"/>
                        <w:lang w:val="en-IE"/>
                      </w:rPr>
                      <m:t>T</m:t>
                    </m:r>
                  </m:e>
                  <m:sub>
                    <m:r>
                      <m:rPr>
                        <m:nor/>
                      </m:rPr>
                      <w:rPr>
                        <w:sz w:val="20"/>
                        <w:szCs w:val="20"/>
                        <w:lang w:val="en-IE"/>
                      </w:rPr>
                      <m:t>repair</m:t>
                    </m:r>
                  </m:sub>
                </m:sSub>
              </m:oMath>
            </m:oMathPara>
          </w:p>
        </w:tc>
        <w:tc>
          <w:tcPr>
            <w:tcW w:w="7161" w:type="dxa"/>
            <w:vAlign w:val="center"/>
            <w:hideMark/>
          </w:tcPr>
          <w:p w14:paraId="4730C3E7" w14:textId="77777777" w:rsidR="00130971" w:rsidRPr="00F0227C" w:rsidRDefault="00130971" w:rsidP="00130971">
            <w:pPr>
              <w:spacing w:after="120" w:line="240" w:lineRule="auto"/>
              <w:rPr>
                <w:sz w:val="20"/>
                <w:szCs w:val="20"/>
                <w:lang w:val="en-IE"/>
              </w:rPr>
            </w:pPr>
            <w:r w:rsidRPr="00F0227C">
              <w:rPr>
                <w:sz w:val="20"/>
                <w:szCs w:val="20"/>
                <w:lang w:val="en-IE"/>
              </w:rPr>
              <w:t>Duration HR complex remains significantly depleted below baseline</w:t>
            </w:r>
          </w:p>
        </w:tc>
      </w:tr>
      <w:tr w:rsidR="00130971" w:rsidRPr="00F0227C" w14:paraId="63A1855F" w14:textId="77777777" w:rsidTr="00F0227C">
        <w:trPr>
          <w:tblCellSpacing w:w="15" w:type="dxa"/>
        </w:trPr>
        <w:tc>
          <w:tcPr>
            <w:tcW w:w="0" w:type="auto"/>
            <w:vAlign w:val="center"/>
            <w:hideMark/>
          </w:tcPr>
          <w:p w14:paraId="6B1585D8" w14:textId="71FC2986" w:rsidR="00130971" w:rsidRPr="00F0227C" w:rsidRDefault="00995EE8" w:rsidP="00130971">
            <w:pPr>
              <w:spacing w:after="120" w:line="240" w:lineRule="auto"/>
              <w:rPr>
                <w:sz w:val="20"/>
                <w:szCs w:val="20"/>
                <w:lang w:val="en-IE"/>
              </w:rPr>
            </w:pPr>
            <m:oMathPara>
              <m:oMathParaPr>
                <m:jc m:val="left"/>
              </m:oMathParaPr>
              <m:oMath>
                <m:sSub>
                  <m:sSubPr>
                    <m:ctrlPr>
                      <w:rPr>
                        <w:rFonts w:ascii="Cambria Math" w:hAnsi="Cambria Math"/>
                        <w:sz w:val="20"/>
                        <w:szCs w:val="20"/>
                        <w:lang w:val="en-IE"/>
                      </w:rPr>
                    </m:ctrlPr>
                  </m:sSubPr>
                  <m:e>
                    <m:r>
                      <w:rPr>
                        <w:rFonts w:ascii="Cambria Math" w:hAnsi="Cambria Math"/>
                        <w:sz w:val="20"/>
                        <w:szCs w:val="20"/>
                        <w:lang w:val="en-IE"/>
                      </w:rPr>
                      <m:t>D</m:t>
                    </m:r>
                  </m:e>
                  <m:sub>
                    <m:r>
                      <m:rPr>
                        <m:nor/>
                      </m:rPr>
                      <w:rPr>
                        <w:sz w:val="20"/>
                        <w:szCs w:val="20"/>
                        <w:lang w:val="en-IE"/>
                      </w:rPr>
                      <m:t>resid</m:t>
                    </m:r>
                  </m:sub>
                </m:sSub>
              </m:oMath>
            </m:oMathPara>
          </w:p>
        </w:tc>
        <w:tc>
          <w:tcPr>
            <w:tcW w:w="7161" w:type="dxa"/>
            <w:vAlign w:val="center"/>
            <w:hideMark/>
          </w:tcPr>
          <w:p w14:paraId="33BC8E08" w14:textId="77777777" w:rsidR="00130971" w:rsidRPr="00F0227C" w:rsidRDefault="00130971" w:rsidP="00130971">
            <w:pPr>
              <w:spacing w:after="120" w:line="240" w:lineRule="auto"/>
              <w:rPr>
                <w:sz w:val="20"/>
                <w:szCs w:val="20"/>
                <w:lang w:val="en-IE"/>
              </w:rPr>
            </w:pPr>
            <w:r w:rsidRPr="00F0227C">
              <w:rPr>
                <w:sz w:val="20"/>
                <w:szCs w:val="20"/>
                <w:lang w:val="en-IE"/>
              </w:rPr>
              <w:t>Residual DNA damage at end of simulation</w:t>
            </w:r>
          </w:p>
        </w:tc>
      </w:tr>
      <w:tr w:rsidR="00F0227C" w:rsidRPr="00F0227C" w14:paraId="446BA277" w14:textId="77777777" w:rsidTr="00F0227C">
        <w:trPr>
          <w:tblCellSpacing w:w="15" w:type="dxa"/>
        </w:trPr>
        <w:tc>
          <w:tcPr>
            <w:tcW w:w="0" w:type="auto"/>
            <w:vAlign w:val="center"/>
          </w:tcPr>
          <w:p w14:paraId="7E26826D" w14:textId="406E0ECC" w:rsidR="00F0227C" w:rsidRPr="00F0227C" w:rsidRDefault="00F0227C" w:rsidP="00130971">
            <w:pPr>
              <w:spacing w:after="120" w:line="240" w:lineRule="auto"/>
              <w:rPr>
                <w:sz w:val="20"/>
                <w:szCs w:val="20"/>
                <w:lang w:val="en-IE"/>
              </w:rPr>
            </w:pPr>
            <w:r w:rsidRPr="00F0227C">
              <w:rPr>
                <w:sz w:val="20"/>
                <w:szCs w:val="20"/>
                <w:lang w:val="en-IE"/>
              </w:rPr>
              <w:t>τ</w:t>
            </w:r>
            <w:r w:rsidRPr="00F0227C">
              <w:rPr>
                <w:sz w:val="20"/>
                <w:szCs w:val="20"/>
                <w:vertAlign w:val="subscript"/>
                <w:lang w:val="en-IE"/>
              </w:rPr>
              <w:t>drug</w:t>
            </w:r>
          </w:p>
        </w:tc>
        <w:tc>
          <w:tcPr>
            <w:tcW w:w="7161" w:type="dxa"/>
            <w:vAlign w:val="center"/>
          </w:tcPr>
          <w:p w14:paraId="26667A39" w14:textId="7BA66AF1" w:rsidR="00F0227C" w:rsidRPr="00F0227C" w:rsidRDefault="00F0227C" w:rsidP="00130971">
            <w:pPr>
              <w:spacing w:after="120" w:line="240" w:lineRule="auto"/>
              <w:rPr>
                <w:sz w:val="20"/>
                <w:szCs w:val="20"/>
                <w:lang w:val="en-IE"/>
              </w:rPr>
            </w:pPr>
            <w:r w:rsidRPr="00F0227C">
              <w:rPr>
                <w:sz w:val="20"/>
                <w:szCs w:val="20"/>
                <w:lang w:val="en-IE"/>
              </w:rPr>
              <w:t>Carboplatin plasma half-life</w:t>
            </w:r>
          </w:p>
        </w:tc>
      </w:tr>
      <w:tr w:rsidR="00F0227C" w:rsidRPr="00F0227C" w14:paraId="128A064D" w14:textId="39E2EF2D" w:rsidTr="00F0227C">
        <w:trPr>
          <w:tblCellSpacing w:w="15" w:type="dxa"/>
        </w:trPr>
        <w:tc>
          <w:tcPr>
            <w:tcW w:w="0" w:type="auto"/>
          </w:tcPr>
          <w:p w14:paraId="35D81391" w14:textId="280D3E0B" w:rsidR="00F0227C" w:rsidRPr="00F0227C" w:rsidRDefault="00F0227C" w:rsidP="00F0227C">
            <w:pPr>
              <w:spacing w:after="120" w:line="240" w:lineRule="auto"/>
              <w:rPr>
                <w:sz w:val="20"/>
                <w:szCs w:val="20"/>
                <w:lang w:val="en-IE"/>
              </w:rPr>
            </w:pPr>
            <w:r w:rsidRPr="00F0227C">
              <w:rPr>
                <w:rFonts w:eastAsiaTheme="minorEastAsia"/>
                <w:sz w:val="20"/>
                <w:szCs w:val="20"/>
                <w:lang w:val="en-IE"/>
              </w:rPr>
              <w:t>k</w:t>
            </w:r>
            <w:r w:rsidRPr="00F0227C">
              <w:rPr>
                <w:rFonts w:eastAsiaTheme="minorEastAsia"/>
                <w:sz w:val="20"/>
                <w:szCs w:val="20"/>
                <w:vertAlign w:val="subscript"/>
                <w:lang w:val="en-IE"/>
              </w:rPr>
              <w:t>a</w:t>
            </w:r>
          </w:p>
        </w:tc>
        <w:tc>
          <w:tcPr>
            <w:tcW w:w="7161" w:type="dxa"/>
          </w:tcPr>
          <w:p w14:paraId="267D17F8" w14:textId="5BBA4541" w:rsidR="00F0227C" w:rsidRPr="00F0227C" w:rsidRDefault="00F0227C" w:rsidP="00F0227C">
            <w:pPr>
              <w:spacing w:after="160" w:line="259" w:lineRule="auto"/>
              <w:rPr>
                <w:sz w:val="20"/>
                <w:szCs w:val="20"/>
                <w:lang w:val="en-IE"/>
              </w:rPr>
            </w:pPr>
            <w:r w:rsidRPr="00F0227C">
              <w:rPr>
                <w:rFonts w:eastAsiaTheme="minorEastAsia"/>
                <w:sz w:val="20"/>
                <w:szCs w:val="20"/>
                <w:lang w:val="en-IE"/>
              </w:rPr>
              <w:t>ATM/ATR activation rate</w:t>
            </w:r>
          </w:p>
        </w:tc>
      </w:tr>
      <w:tr w:rsidR="00F0227C" w:rsidRPr="00F0227C" w14:paraId="7F962A86" w14:textId="77777777" w:rsidTr="00F0227C">
        <w:trPr>
          <w:tblCellSpacing w:w="15" w:type="dxa"/>
        </w:trPr>
        <w:tc>
          <w:tcPr>
            <w:tcW w:w="0" w:type="auto"/>
          </w:tcPr>
          <w:p w14:paraId="11560F7D" w14:textId="3EEA60A0" w:rsidR="00F0227C" w:rsidRPr="00F0227C" w:rsidRDefault="00F0227C" w:rsidP="00F0227C">
            <w:pPr>
              <w:spacing w:after="120" w:line="240" w:lineRule="auto"/>
              <w:rPr>
                <w:rFonts w:eastAsiaTheme="minorEastAsia"/>
                <w:sz w:val="20"/>
                <w:szCs w:val="20"/>
                <w:lang w:val="en-IE"/>
              </w:rPr>
            </w:pPr>
            <w:r w:rsidRPr="00F0227C">
              <w:rPr>
                <w:rFonts w:eastAsiaTheme="minorEastAsia"/>
                <w:sz w:val="20"/>
                <w:szCs w:val="20"/>
                <w:lang w:val="en-IE"/>
              </w:rPr>
              <w:t>d</w:t>
            </w:r>
            <w:r w:rsidRPr="00F0227C">
              <w:rPr>
                <w:rFonts w:eastAsiaTheme="minorEastAsia"/>
                <w:sz w:val="20"/>
                <w:szCs w:val="20"/>
                <w:vertAlign w:val="subscript"/>
                <w:lang w:val="en-IE"/>
              </w:rPr>
              <w:t>a</w:t>
            </w:r>
          </w:p>
        </w:tc>
        <w:tc>
          <w:tcPr>
            <w:tcW w:w="7161" w:type="dxa"/>
          </w:tcPr>
          <w:p w14:paraId="6DC0269C" w14:textId="3AC001CA" w:rsidR="00F0227C" w:rsidRPr="00F0227C" w:rsidRDefault="00F0227C" w:rsidP="00F0227C">
            <w:pPr>
              <w:spacing w:after="160" w:line="259" w:lineRule="auto"/>
              <w:rPr>
                <w:rFonts w:eastAsiaTheme="minorEastAsia"/>
                <w:sz w:val="20"/>
                <w:szCs w:val="20"/>
                <w:lang w:val="en-IE"/>
              </w:rPr>
            </w:pPr>
            <w:r w:rsidRPr="00F0227C">
              <w:rPr>
                <w:rFonts w:eastAsiaTheme="minorEastAsia"/>
                <w:sz w:val="20"/>
                <w:szCs w:val="20"/>
                <w:lang w:val="en-IE"/>
              </w:rPr>
              <w:t>ATM deactivation</w:t>
            </w:r>
          </w:p>
        </w:tc>
      </w:tr>
      <w:tr w:rsidR="00F0227C" w:rsidRPr="00F0227C" w14:paraId="343F3D8E" w14:textId="77777777" w:rsidTr="00F0227C">
        <w:trPr>
          <w:tblCellSpacing w:w="15" w:type="dxa"/>
        </w:trPr>
        <w:tc>
          <w:tcPr>
            <w:tcW w:w="0" w:type="auto"/>
          </w:tcPr>
          <w:p w14:paraId="7F7B5E82" w14:textId="792933CB" w:rsidR="00F0227C" w:rsidRPr="00F0227C" w:rsidRDefault="00F0227C" w:rsidP="00F0227C">
            <w:pPr>
              <w:spacing w:after="120" w:line="240" w:lineRule="auto"/>
              <w:rPr>
                <w:rFonts w:eastAsiaTheme="minorEastAsia"/>
                <w:sz w:val="20"/>
                <w:szCs w:val="20"/>
                <w:lang w:val="en-IE"/>
              </w:rPr>
            </w:pPr>
            <w:r w:rsidRPr="00F0227C">
              <w:rPr>
                <w:rFonts w:eastAsiaTheme="minorEastAsia"/>
                <w:sz w:val="20"/>
                <w:szCs w:val="20"/>
                <w:lang w:val="en-IE"/>
              </w:rPr>
              <w:t>k</w:t>
            </w:r>
            <w:r w:rsidRPr="00F0227C">
              <w:rPr>
                <w:rFonts w:eastAsiaTheme="minorEastAsia"/>
                <w:sz w:val="20"/>
                <w:szCs w:val="20"/>
                <w:vertAlign w:val="subscript"/>
                <w:lang w:val="en-IE"/>
              </w:rPr>
              <w:t>c</w:t>
            </w:r>
          </w:p>
        </w:tc>
        <w:tc>
          <w:tcPr>
            <w:tcW w:w="7161" w:type="dxa"/>
          </w:tcPr>
          <w:p w14:paraId="705CD408" w14:textId="05F13A7F" w:rsidR="00F0227C" w:rsidRPr="00F0227C" w:rsidRDefault="00F0227C" w:rsidP="00F0227C">
            <w:pPr>
              <w:spacing w:after="160" w:line="259" w:lineRule="auto"/>
              <w:rPr>
                <w:rFonts w:eastAsiaTheme="minorEastAsia"/>
                <w:sz w:val="20"/>
                <w:szCs w:val="20"/>
                <w:lang w:val="en-IE"/>
              </w:rPr>
            </w:pPr>
            <w:r w:rsidRPr="00F0227C">
              <w:rPr>
                <w:rFonts w:eastAsiaTheme="minorEastAsia"/>
                <w:sz w:val="20"/>
                <w:szCs w:val="20"/>
                <w:lang w:val="en-IE"/>
              </w:rPr>
              <w:t>CHK1/2 activation rate</w:t>
            </w:r>
          </w:p>
        </w:tc>
      </w:tr>
      <w:tr w:rsidR="00F0227C" w:rsidRPr="00F0227C" w14:paraId="7125EB5D" w14:textId="77777777" w:rsidTr="00F0227C">
        <w:trPr>
          <w:tblCellSpacing w:w="15" w:type="dxa"/>
        </w:trPr>
        <w:tc>
          <w:tcPr>
            <w:tcW w:w="0" w:type="auto"/>
          </w:tcPr>
          <w:p w14:paraId="4D1C7408" w14:textId="56C350DC" w:rsidR="00F0227C" w:rsidRPr="00F0227C" w:rsidRDefault="00F0227C" w:rsidP="00F0227C">
            <w:pPr>
              <w:spacing w:after="120" w:line="240" w:lineRule="auto"/>
              <w:rPr>
                <w:rFonts w:eastAsiaTheme="minorEastAsia"/>
                <w:sz w:val="20"/>
                <w:szCs w:val="20"/>
                <w:lang w:val="en-IE"/>
              </w:rPr>
            </w:pPr>
            <w:r w:rsidRPr="00F0227C">
              <w:rPr>
                <w:rFonts w:eastAsiaTheme="minorEastAsia"/>
                <w:sz w:val="20"/>
                <w:szCs w:val="20"/>
                <w:lang w:val="en-IE"/>
              </w:rPr>
              <w:t>d</w:t>
            </w:r>
            <w:r w:rsidRPr="00F0227C">
              <w:rPr>
                <w:rFonts w:eastAsiaTheme="minorEastAsia"/>
                <w:sz w:val="20"/>
                <w:szCs w:val="20"/>
                <w:vertAlign w:val="subscript"/>
                <w:lang w:val="en-IE"/>
              </w:rPr>
              <w:t>c</w:t>
            </w:r>
          </w:p>
        </w:tc>
        <w:tc>
          <w:tcPr>
            <w:tcW w:w="7161" w:type="dxa"/>
          </w:tcPr>
          <w:p w14:paraId="1EBA6E4B" w14:textId="4227A530" w:rsidR="00F0227C" w:rsidRPr="00F0227C" w:rsidRDefault="00F0227C" w:rsidP="00F0227C">
            <w:pPr>
              <w:spacing w:after="160" w:line="259" w:lineRule="auto"/>
              <w:rPr>
                <w:rFonts w:eastAsiaTheme="minorEastAsia"/>
                <w:sz w:val="20"/>
                <w:szCs w:val="20"/>
                <w:lang w:val="en-IE"/>
              </w:rPr>
            </w:pPr>
            <w:r w:rsidRPr="00F0227C">
              <w:rPr>
                <w:rFonts w:eastAsiaTheme="minorEastAsia"/>
                <w:sz w:val="20"/>
                <w:szCs w:val="20"/>
                <w:lang w:val="en-IE"/>
              </w:rPr>
              <w:t xml:space="preserve">CHK1/2 deactivation </w:t>
            </w:r>
          </w:p>
        </w:tc>
      </w:tr>
      <w:tr w:rsidR="00F0227C" w:rsidRPr="00F0227C" w14:paraId="7F06D212" w14:textId="77777777" w:rsidTr="00F0227C">
        <w:trPr>
          <w:tblCellSpacing w:w="15" w:type="dxa"/>
        </w:trPr>
        <w:tc>
          <w:tcPr>
            <w:tcW w:w="0" w:type="auto"/>
          </w:tcPr>
          <w:p w14:paraId="438C5A8F" w14:textId="43B604AF" w:rsidR="00F0227C" w:rsidRPr="00F0227C" w:rsidRDefault="00F0227C" w:rsidP="00F0227C">
            <w:pPr>
              <w:spacing w:after="120" w:line="240" w:lineRule="auto"/>
              <w:rPr>
                <w:rFonts w:eastAsiaTheme="minorEastAsia"/>
                <w:sz w:val="20"/>
                <w:szCs w:val="20"/>
                <w:lang w:val="en-IE"/>
              </w:rPr>
            </w:pPr>
            <w:r w:rsidRPr="00F0227C">
              <w:rPr>
                <w:rFonts w:eastAsiaTheme="minorEastAsia"/>
                <w:sz w:val="20"/>
                <w:szCs w:val="20"/>
                <w:lang w:val="en-IE"/>
              </w:rPr>
              <w:t>k</w:t>
            </w:r>
            <w:r w:rsidRPr="00F0227C">
              <w:rPr>
                <w:rFonts w:eastAsiaTheme="minorEastAsia"/>
                <w:sz w:val="20"/>
                <w:szCs w:val="20"/>
                <w:vertAlign w:val="subscript"/>
                <w:lang w:val="en-IE"/>
              </w:rPr>
              <w:t>HR</w:t>
            </w:r>
          </w:p>
        </w:tc>
        <w:tc>
          <w:tcPr>
            <w:tcW w:w="7161" w:type="dxa"/>
          </w:tcPr>
          <w:p w14:paraId="227BB621" w14:textId="5AA93AB2" w:rsidR="00F0227C" w:rsidRPr="00F0227C" w:rsidRDefault="00F0227C" w:rsidP="00F0227C">
            <w:pPr>
              <w:spacing w:after="160" w:line="259" w:lineRule="auto"/>
              <w:rPr>
                <w:rFonts w:eastAsiaTheme="minorEastAsia"/>
                <w:sz w:val="20"/>
                <w:szCs w:val="20"/>
                <w:lang w:val="en-IE"/>
              </w:rPr>
            </w:pPr>
            <w:r w:rsidRPr="00F0227C">
              <w:rPr>
                <w:rFonts w:eastAsiaTheme="minorEastAsia"/>
                <w:sz w:val="20"/>
                <w:szCs w:val="20"/>
                <w:lang w:val="en-IE"/>
              </w:rPr>
              <w:t>HR repair rate per unit R</w:t>
            </w:r>
          </w:p>
        </w:tc>
      </w:tr>
      <w:tr w:rsidR="00F0227C" w:rsidRPr="00F0227C" w14:paraId="389780CC" w14:textId="77777777" w:rsidTr="00F0227C">
        <w:trPr>
          <w:tblCellSpacing w:w="15" w:type="dxa"/>
        </w:trPr>
        <w:tc>
          <w:tcPr>
            <w:tcW w:w="0" w:type="auto"/>
          </w:tcPr>
          <w:p w14:paraId="5253DB69" w14:textId="2734F4CB" w:rsidR="00F0227C" w:rsidRPr="00F0227C" w:rsidRDefault="00F0227C" w:rsidP="00F0227C">
            <w:pPr>
              <w:spacing w:after="120" w:line="240" w:lineRule="auto"/>
              <w:rPr>
                <w:rFonts w:eastAsiaTheme="minorEastAsia"/>
                <w:sz w:val="20"/>
                <w:szCs w:val="20"/>
                <w:lang w:val="en-IE"/>
              </w:rPr>
            </w:pPr>
            <w:r w:rsidRPr="00F0227C">
              <w:rPr>
                <w:rFonts w:eastAsiaTheme="minorEastAsia"/>
                <w:sz w:val="20"/>
                <w:szCs w:val="20"/>
                <w:lang w:val="en-IE"/>
              </w:rPr>
              <w:t>k</w:t>
            </w:r>
            <w:r w:rsidRPr="00F0227C">
              <w:rPr>
                <w:rFonts w:eastAsiaTheme="minorEastAsia"/>
                <w:sz w:val="20"/>
                <w:szCs w:val="20"/>
                <w:vertAlign w:val="subscript"/>
                <w:lang w:val="en-IE"/>
              </w:rPr>
              <w:t>NHEJ</w:t>
            </w:r>
          </w:p>
        </w:tc>
        <w:tc>
          <w:tcPr>
            <w:tcW w:w="7161" w:type="dxa"/>
          </w:tcPr>
          <w:p w14:paraId="5258ED61" w14:textId="5501A746" w:rsidR="00F0227C" w:rsidRPr="00F0227C" w:rsidRDefault="00F0227C" w:rsidP="00F0227C">
            <w:pPr>
              <w:spacing w:after="160" w:line="259" w:lineRule="auto"/>
              <w:rPr>
                <w:rFonts w:eastAsiaTheme="minorEastAsia"/>
                <w:sz w:val="20"/>
                <w:szCs w:val="20"/>
                <w:lang w:val="en-IE"/>
              </w:rPr>
            </w:pPr>
            <w:r w:rsidRPr="00F0227C">
              <w:rPr>
                <w:rFonts w:eastAsiaTheme="minorEastAsia"/>
                <w:sz w:val="20"/>
                <w:szCs w:val="20"/>
                <w:lang w:val="en-IE"/>
              </w:rPr>
              <w:t>NHEJ repair rate (R-independent)</w:t>
            </w:r>
          </w:p>
        </w:tc>
      </w:tr>
      <w:tr w:rsidR="00F0227C" w:rsidRPr="00F0227C" w14:paraId="3BDEC8A6" w14:textId="77777777" w:rsidTr="00F0227C">
        <w:trPr>
          <w:tblCellSpacing w:w="15" w:type="dxa"/>
        </w:trPr>
        <w:tc>
          <w:tcPr>
            <w:tcW w:w="0" w:type="auto"/>
          </w:tcPr>
          <w:p w14:paraId="6CB7FC56" w14:textId="6CC45315" w:rsidR="00F0227C" w:rsidRPr="00F0227C" w:rsidRDefault="00F0227C" w:rsidP="00F0227C">
            <w:pPr>
              <w:spacing w:after="120" w:line="240" w:lineRule="auto"/>
              <w:rPr>
                <w:rFonts w:eastAsiaTheme="minorEastAsia"/>
                <w:sz w:val="20"/>
                <w:szCs w:val="20"/>
                <w:lang w:val="en-IE"/>
              </w:rPr>
            </w:pPr>
            <w:r w:rsidRPr="00F0227C">
              <w:rPr>
                <w:rFonts w:eastAsiaTheme="minorEastAsia"/>
                <w:sz w:val="20"/>
                <w:szCs w:val="20"/>
                <w:lang w:val="en-IE"/>
              </w:rPr>
              <w:t>k</w:t>
            </w:r>
            <w:r w:rsidRPr="00F0227C">
              <w:rPr>
                <w:rFonts w:eastAsiaTheme="minorEastAsia"/>
                <w:sz w:val="20"/>
                <w:szCs w:val="20"/>
                <w:vertAlign w:val="subscript"/>
                <w:lang w:val="en-IE"/>
              </w:rPr>
              <w:t>load</w:t>
            </w:r>
          </w:p>
        </w:tc>
        <w:tc>
          <w:tcPr>
            <w:tcW w:w="7161" w:type="dxa"/>
          </w:tcPr>
          <w:p w14:paraId="01EEA93A" w14:textId="2AB51201" w:rsidR="00F0227C" w:rsidRPr="00F0227C" w:rsidRDefault="00F0227C" w:rsidP="00F0227C">
            <w:pPr>
              <w:spacing w:after="160" w:line="259" w:lineRule="auto"/>
              <w:rPr>
                <w:rFonts w:eastAsiaTheme="minorEastAsia"/>
                <w:sz w:val="20"/>
                <w:szCs w:val="20"/>
                <w:lang w:val="en-IE"/>
              </w:rPr>
            </w:pPr>
            <w:r w:rsidRPr="00F0227C">
              <w:rPr>
                <w:rFonts w:eastAsiaTheme="minorEastAsia"/>
                <w:sz w:val="20"/>
                <w:szCs w:val="20"/>
                <w:lang w:val="en-IE"/>
              </w:rPr>
              <w:t>CHK-driven HR complex depletion</w:t>
            </w:r>
          </w:p>
        </w:tc>
      </w:tr>
      <w:tr w:rsidR="00F0227C" w:rsidRPr="00F0227C" w14:paraId="1C84ED44" w14:textId="77777777" w:rsidTr="00F0227C">
        <w:trPr>
          <w:tblCellSpacing w:w="15" w:type="dxa"/>
        </w:trPr>
        <w:tc>
          <w:tcPr>
            <w:tcW w:w="0" w:type="auto"/>
          </w:tcPr>
          <w:p w14:paraId="0517879A" w14:textId="328F0160" w:rsidR="00F0227C" w:rsidRPr="00F0227C" w:rsidRDefault="00F0227C" w:rsidP="00F0227C">
            <w:pPr>
              <w:spacing w:after="120" w:line="240" w:lineRule="auto"/>
              <w:rPr>
                <w:rFonts w:eastAsiaTheme="minorEastAsia"/>
                <w:sz w:val="20"/>
                <w:szCs w:val="20"/>
                <w:lang w:val="en-IE"/>
              </w:rPr>
            </w:pPr>
            <w:r w:rsidRPr="00F0227C">
              <w:rPr>
                <w:rFonts w:eastAsiaTheme="minorEastAsia"/>
                <w:sz w:val="20"/>
                <w:szCs w:val="20"/>
                <w:lang w:val="en-IE"/>
              </w:rPr>
              <w:t>d</w:t>
            </w:r>
            <w:r w:rsidRPr="00F0227C">
              <w:rPr>
                <w:rFonts w:eastAsiaTheme="minorEastAsia"/>
                <w:sz w:val="20"/>
                <w:szCs w:val="20"/>
                <w:vertAlign w:val="subscript"/>
                <w:lang w:val="en-IE"/>
              </w:rPr>
              <w:t>r</w:t>
            </w:r>
          </w:p>
        </w:tc>
        <w:tc>
          <w:tcPr>
            <w:tcW w:w="7161" w:type="dxa"/>
          </w:tcPr>
          <w:p w14:paraId="50A31C63" w14:textId="165FA8DB" w:rsidR="00F0227C" w:rsidRPr="00F0227C" w:rsidRDefault="00F0227C" w:rsidP="00F0227C">
            <w:pPr>
              <w:spacing w:after="160" w:line="259" w:lineRule="auto"/>
              <w:rPr>
                <w:rFonts w:eastAsiaTheme="minorEastAsia"/>
                <w:sz w:val="20"/>
                <w:szCs w:val="20"/>
                <w:lang w:val="en-IE"/>
              </w:rPr>
            </w:pPr>
            <w:r w:rsidRPr="00F0227C">
              <w:rPr>
                <w:rFonts w:eastAsiaTheme="minorEastAsia"/>
                <w:sz w:val="20"/>
                <w:szCs w:val="20"/>
                <w:lang w:val="en-IE"/>
              </w:rPr>
              <w:t>HR complex basal turnover</w:t>
            </w:r>
          </w:p>
        </w:tc>
      </w:tr>
      <w:tr w:rsidR="00F0227C" w:rsidRPr="00F0227C" w14:paraId="5BEC2F74" w14:textId="77777777" w:rsidTr="00F0227C">
        <w:trPr>
          <w:tblCellSpacing w:w="15" w:type="dxa"/>
        </w:trPr>
        <w:tc>
          <w:tcPr>
            <w:tcW w:w="0" w:type="auto"/>
          </w:tcPr>
          <w:p w14:paraId="2773E6D1" w14:textId="0EE552A8" w:rsidR="00F0227C" w:rsidRPr="00F0227C" w:rsidRDefault="00F0227C" w:rsidP="00F0227C">
            <w:pPr>
              <w:spacing w:after="120" w:line="240" w:lineRule="auto"/>
              <w:rPr>
                <w:rFonts w:eastAsiaTheme="minorEastAsia"/>
                <w:sz w:val="20"/>
                <w:szCs w:val="20"/>
                <w:lang w:val="en-IE"/>
              </w:rPr>
            </w:pPr>
            <w:r w:rsidRPr="00F0227C">
              <w:rPr>
                <w:rFonts w:eastAsiaTheme="minorEastAsia"/>
                <w:sz w:val="20"/>
                <w:szCs w:val="20"/>
                <w:lang w:val="en-IE"/>
              </w:rPr>
              <w:t>k</w:t>
            </w:r>
            <w:r w:rsidRPr="00F0227C">
              <w:rPr>
                <w:rFonts w:eastAsiaTheme="minorEastAsia"/>
                <w:sz w:val="20"/>
                <w:szCs w:val="20"/>
                <w:vertAlign w:val="subscript"/>
                <w:lang w:val="en-IE"/>
              </w:rPr>
              <w:t>x</w:t>
            </w:r>
          </w:p>
        </w:tc>
        <w:tc>
          <w:tcPr>
            <w:tcW w:w="7161" w:type="dxa"/>
          </w:tcPr>
          <w:p w14:paraId="3C852BC0" w14:textId="44D83870" w:rsidR="00F0227C" w:rsidRPr="00F0227C" w:rsidRDefault="00F0227C" w:rsidP="00F0227C">
            <w:pPr>
              <w:spacing w:after="160" w:line="259" w:lineRule="auto"/>
              <w:rPr>
                <w:rFonts w:eastAsiaTheme="minorEastAsia"/>
                <w:sz w:val="20"/>
                <w:szCs w:val="20"/>
                <w:lang w:val="en-IE"/>
              </w:rPr>
            </w:pPr>
            <w:r w:rsidRPr="00F0227C">
              <w:rPr>
                <w:rFonts w:eastAsiaTheme="minorEastAsia"/>
                <w:sz w:val="20"/>
                <w:szCs w:val="20"/>
                <w:lang w:val="en-IE"/>
              </w:rPr>
              <w:t>Checkpoint-driven apoptotic rate</w:t>
            </w:r>
          </w:p>
        </w:tc>
      </w:tr>
      <w:tr w:rsidR="00F0227C" w:rsidRPr="00F0227C" w14:paraId="4EA1EB31" w14:textId="77777777" w:rsidTr="00F0227C">
        <w:trPr>
          <w:tblCellSpacing w:w="15" w:type="dxa"/>
        </w:trPr>
        <w:tc>
          <w:tcPr>
            <w:tcW w:w="0" w:type="auto"/>
          </w:tcPr>
          <w:p w14:paraId="4AF0345F" w14:textId="34C8A10D" w:rsidR="00F0227C" w:rsidRPr="00F0227C" w:rsidRDefault="00F0227C" w:rsidP="00F0227C">
            <w:pPr>
              <w:spacing w:after="120" w:line="240" w:lineRule="auto"/>
              <w:rPr>
                <w:rFonts w:eastAsiaTheme="minorEastAsia"/>
                <w:sz w:val="20"/>
                <w:szCs w:val="20"/>
                <w:lang w:val="en-IE"/>
              </w:rPr>
            </w:pPr>
            <w:r w:rsidRPr="00F0227C">
              <w:rPr>
                <w:rFonts w:eastAsiaTheme="minorEastAsia"/>
                <w:sz w:val="20"/>
                <w:szCs w:val="20"/>
                <w:lang w:val="en-IE"/>
              </w:rPr>
              <w:t>d</w:t>
            </w:r>
            <w:r w:rsidRPr="00F0227C">
              <w:rPr>
                <w:rFonts w:eastAsiaTheme="minorEastAsia"/>
                <w:sz w:val="20"/>
                <w:szCs w:val="20"/>
                <w:vertAlign w:val="subscript"/>
                <w:lang w:val="en-IE"/>
              </w:rPr>
              <w:t>x</w:t>
            </w:r>
          </w:p>
        </w:tc>
        <w:tc>
          <w:tcPr>
            <w:tcW w:w="7161" w:type="dxa"/>
          </w:tcPr>
          <w:p w14:paraId="097AFF54" w14:textId="488CCB35" w:rsidR="00F0227C" w:rsidRPr="00F0227C" w:rsidRDefault="00F0227C" w:rsidP="00F0227C">
            <w:pPr>
              <w:spacing w:after="160" w:line="259" w:lineRule="auto"/>
              <w:rPr>
                <w:rFonts w:eastAsiaTheme="minorEastAsia"/>
                <w:sz w:val="20"/>
                <w:szCs w:val="20"/>
                <w:lang w:val="en-IE"/>
              </w:rPr>
            </w:pPr>
            <w:r w:rsidRPr="00F0227C">
              <w:rPr>
                <w:rFonts w:eastAsiaTheme="minorEastAsia"/>
                <w:sz w:val="20"/>
                <w:szCs w:val="20"/>
                <w:lang w:val="en-IE"/>
              </w:rPr>
              <w:t>Apoptotic signal decay</w:t>
            </w:r>
          </w:p>
        </w:tc>
      </w:tr>
      <w:tr w:rsidR="00F0227C" w:rsidRPr="00F0227C" w14:paraId="4D7120BB" w14:textId="77777777" w:rsidTr="00F0227C">
        <w:trPr>
          <w:tblCellSpacing w:w="15" w:type="dxa"/>
        </w:trPr>
        <w:tc>
          <w:tcPr>
            <w:tcW w:w="0" w:type="auto"/>
          </w:tcPr>
          <w:p w14:paraId="56B4B14A" w14:textId="0801773C" w:rsidR="00F0227C" w:rsidRPr="00F0227C" w:rsidRDefault="00F0227C" w:rsidP="00F0227C">
            <w:pPr>
              <w:spacing w:after="120" w:line="240" w:lineRule="auto"/>
              <w:rPr>
                <w:rFonts w:eastAsiaTheme="minorEastAsia"/>
                <w:sz w:val="20"/>
                <w:szCs w:val="20"/>
                <w:lang w:val="en-IE"/>
              </w:rPr>
            </w:pPr>
            <w:r w:rsidRPr="00F0227C">
              <w:rPr>
                <w:rFonts w:eastAsiaTheme="minorEastAsia"/>
                <w:sz w:val="20"/>
                <w:szCs w:val="20"/>
                <w:lang w:val="en-IE"/>
              </w:rPr>
              <w:t>k</w:t>
            </w:r>
            <w:r w:rsidRPr="00F0227C">
              <w:rPr>
                <w:rFonts w:eastAsiaTheme="minorEastAsia"/>
                <w:sz w:val="20"/>
                <w:szCs w:val="20"/>
                <w:vertAlign w:val="subscript"/>
                <w:lang w:val="en-IE"/>
              </w:rPr>
              <w:t>suppress</w:t>
            </w:r>
          </w:p>
        </w:tc>
        <w:tc>
          <w:tcPr>
            <w:tcW w:w="7161" w:type="dxa"/>
          </w:tcPr>
          <w:p w14:paraId="55BCF789" w14:textId="4A3DB35A" w:rsidR="00F0227C" w:rsidRPr="00F0227C" w:rsidRDefault="00F0227C" w:rsidP="00F0227C">
            <w:pPr>
              <w:spacing w:after="160" w:line="259" w:lineRule="auto"/>
              <w:rPr>
                <w:rFonts w:eastAsiaTheme="minorEastAsia"/>
                <w:sz w:val="20"/>
                <w:szCs w:val="20"/>
                <w:lang w:val="en-IE"/>
              </w:rPr>
            </w:pPr>
            <w:r w:rsidRPr="00F0227C">
              <w:rPr>
                <w:rFonts w:eastAsiaTheme="minorEastAsia"/>
                <w:sz w:val="20"/>
                <w:szCs w:val="20"/>
                <w:lang w:val="en-IE"/>
              </w:rPr>
              <w:t>HR suppression of apoptosis</w:t>
            </w:r>
          </w:p>
        </w:tc>
      </w:tr>
      <w:tr w:rsidR="00F0227C" w:rsidRPr="00F0227C" w14:paraId="74CFF158" w14:textId="77777777" w:rsidTr="00F0227C">
        <w:trPr>
          <w:tblCellSpacing w:w="15" w:type="dxa"/>
        </w:trPr>
        <w:tc>
          <w:tcPr>
            <w:tcW w:w="0" w:type="auto"/>
          </w:tcPr>
          <w:p w14:paraId="4742DAFF" w14:textId="686AB23B" w:rsidR="00F0227C" w:rsidRPr="00F0227C" w:rsidRDefault="00F0227C" w:rsidP="00F0227C">
            <w:pPr>
              <w:spacing w:after="120" w:line="240" w:lineRule="auto"/>
              <w:rPr>
                <w:rFonts w:eastAsiaTheme="minorEastAsia"/>
                <w:sz w:val="20"/>
                <w:szCs w:val="20"/>
                <w:lang w:val="en-IE"/>
              </w:rPr>
            </w:pPr>
            <w:r w:rsidRPr="00F0227C">
              <w:rPr>
                <w:rFonts w:eastAsiaTheme="minorEastAsia"/>
                <w:sz w:val="20"/>
                <w:szCs w:val="20"/>
                <w:lang w:val="en-IE"/>
              </w:rPr>
              <w:t>K</w:t>
            </w:r>
            <w:r w:rsidRPr="00F0227C">
              <w:rPr>
                <w:rFonts w:eastAsiaTheme="minorEastAsia"/>
                <w:sz w:val="20"/>
                <w:szCs w:val="20"/>
                <w:vertAlign w:val="subscript"/>
                <w:lang w:val="en-IE"/>
              </w:rPr>
              <w:t>HR</w:t>
            </w:r>
          </w:p>
        </w:tc>
        <w:tc>
          <w:tcPr>
            <w:tcW w:w="7161" w:type="dxa"/>
          </w:tcPr>
          <w:p w14:paraId="0D32E6E1" w14:textId="4C11F9BF" w:rsidR="00F0227C" w:rsidRPr="00F0227C" w:rsidRDefault="00F0227C" w:rsidP="00F0227C">
            <w:pPr>
              <w:spacing w:after="160" w:line="259" w:lineRule="auto"/>
              <w:rPr>
                <w:rFonts w:eastAsiaTheme="minorEastAsia"/>
                <w:sz w:val="20"/>
                <w:szCs w:val="20"/>
                <w:lang w:val="en-IE"/>
              </w:rPr>
            </w:pPr>
            <w:r w:rsidRPr="00F0227C">
              <w:rPr>
                <w:rFonts w:eastAsiaTheme="minorEastAsia"/>
                <w:sz w:val="20"/>
                <w:szCs w:val="20"/>
                <w:lang w:val="en-IE"/>
              </w:rPr>
              <w:t>Half-saturation constant for HR suppression</w:t>
            </w:r>
          </w:p>
        </w:tc>
      </w:tr>
    </w:tbl>
    <w:p w14:paraId="0DE09014" w14:textId="77777777" w:rsidR="00130971" w:rsidRPr="00155DA4" w:rsidRDefault="00130971" w:rsidP="00155DA4">
      <w:pPr>
        <w:spacing w:after="120" w:line="240" w:lineRule="auto"/>
        <w:rPr>
          <w:sz w:val="20"/>
          <w:szCs w:val="20"/>
        </w:rPr>
      </w:pPr>
    </w:p>
    <w:sectPr w:rsidR="00130971" w:rsidRPr="00155DA4" w:rsidSect="00656300">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CE2C7" w14:textId="77777777" w:rsidR="002531DD" w:rsidRPr="0019627A" w:rsidRDefault="002531DD" w:rsidP="000E3BFD">
      <w:r w:rsidRPr="0019627A">
        <w:separator/>
      </w:r>
    </w:p>
  </w:endnote>
  <w:endnote w:type="continuationSeparator" w:id="0">
    <w:p w14:paraId="5DE4A316" w14:textId="77777777" w:rsidR="002531DD" w:rsidRPr="0019627A" w:rsidRDefault="002531DD" w:rsidP="000E3BFD">
      <w:r w:rsidRPr="001962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9459C" w14:textId="2CE4E14B" w:rsidR="00656300" w:rsidRPr="0019627A" w:rsidRDefault="00656300" w:rsidP="000E3BFD">
    <w:pPr>
      <w:pStyle w:val="Footer"/>
    </w:pPr>
    <w:r w:rsidRPr="0019627A">
      <w:t>ODE vs ML project.</w:t>
    </w:r>
    <w:r w:rsidRPr="0019627A">
      <w:tab/>
    </w:r>
    <w:r w:rsidRPr="0019627A">
      <w:ptab w:relativeTo="margin" w:alignment="center" w:leader="none"/>
    </w:r>
    <w:r w:rsidRPr="0019627A">
      <w:t>Amanda Dominy 25271694</w:t>
    </w:r>
    <w:r w:rsidRPr="0019627A">
      <w:ptab w:relativeTo="margin" w:alignment="right" w:leader="none"/>
    </w:r>
    <w:r w:rsidRPr="0019627A">
      <w:fldChar w:fldCharType="begin"/>
    </w:r>
    <w:r w:rsidRPr="0019627A">
      <w:instrText>PAGE   \* MERGEFORMAT</w:instrText>
    </w:r>
    <w:r w:rsidRPr="0019627A">
      <w:fldChar w:fldCharType="separate"/>
    </w:r>
    <w:r w:rsidRPr="0019627A">
      <w:t>1</w:t>
    </w:r>
    <w:r w:rsidRPr="0019627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FB65C" w14:textId="77777777" w:rsidR="002531DD" w:rsidRPr="0019627A" w:rsidRDefault="002531DD" w:rsidP="000E3BFD">
      <w:r w:rsidRPr="0019627A">
        <w:separator/>
      </w:r>
    </w:p>
  </w:footnote>
  <w:footnote w:type="continuationSeparator" w:id="0">
    <w:p w14:paraId="1B9F31F9" w14:textId="77777777" w:rsidR="002531DD" w:rsidRPr="0019627A" w:rsidRDefault="002531DD" w:rsidP="000E3BFD">
      <w:r w:rsidRPr="0019627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17B5"/>
    <w:multiLevelType w:val="hybridMultilevel"/>
    <w:tmpl w:val="5F64DE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16BC5EBF"/>
    <w:multiLevelType w:val="multilevel"/>
    <w:tmpl w:val="02CA4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C3E59"/>
    <w:multiLevelType w:val="multilevel"/>
    <w:tmpl w:val="4D74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1301E"/>
    <w:multiLevelType w:val="hybridMultilevel"/>
    <w:tmpl w:val="DF2676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2A6BA6"/>
    <w:multiLevelType w:val="multilevel"/>
    <w:tmpl w:val="3B46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9638C2"/>
    <w:multiLevelType w:val="multilevel"/>
    <w:tmpl w:val="762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C69A2"/>
    <w:multiLevelType w:val="hybridMultilevel"/>
    <w:tmpl w:val="5FB644FA"/>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27164161"/>
    <w:multiLevelType w:val="multilevel"/>
    <w:tmpl w:val="D19C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A4A4B"/>
    <w:multiLevelType w:val="hybridMultilevel"/>
    <w:tmpl w:val="E4925E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310419C5"/>
    <w:multiLevelType w:val="hybridMultilevel"/>
    <w:tmpl w:val="C310BF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330B7BED"/>
    <w:multiLevelType w:val="multilevel"/>
    <w:tmpl w:val="FBA6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B67C0B"/>
    <w:multiLevelType w:val="multilevel"/>
    <w:tmpl w:val="124E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F3467"/>
    <w:multiLevelType w:val="multilevel"/>
    <w:tmpl w:val="3ED8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AC7A06"/>
    <w:multiLevelType w:val="multilevel"/>
    <w:tmpl w:val="FB404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F5EEE"/>
    <w:multiLevelType w:val="multilevel"/>
    <w:tmpl w:val="33B6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B70B6"/>
    <w:multiLevelType w:val="multilevel"/>
    <w:tmpl w:val="A51E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53170"/>
    <w:multiLevelType w:val="hybridMultilevel"/>
    <w:tmpl w:val="835618B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73EA180F"/>
    <w:multiLevelType w:val="multilevel"/>
    <w:tmpl w:val="4C4C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7881549">
    <w:abstractNumId w:val="3"/>
  </w:num>
  <w:num w:numId="2" w16cid:durableId="2099251446">
    <w:abstractNumId w:val="13"/>
  </w:num>
  <w:num w:numId="3" w16cid:durableId="235091013">
    <w:abstractNumId w:val="16"/>
  </w:num>
  <w:num w:numId="4" w16cid:durableId="965308652">
    <w:abstractNumId w:val="10"/>
  </w:num>
  <w:num w:numId="5" w16cid:durableId="2120684281">
    <w:abstractNumId w:val="14"/>
  </w:num>
  <w:num w:numId="6" w16cid:durableId="499005108">
    <w:abstractNumId w:val="15"/>
  </w:num>
  <w:num w:numId="7" w16cid:durableId="242102987">
    <w:abstractNumId w:val="7"/>
  </w:num>
  <w:num w:numId="8" w16cid:durableId="1735273582">
    <w:abstractNumId w:val="5"/>
  </w:num>
  <w:num w:numId="9" w16cid:durableId="1785688792">
    <w:abstractNumId w:val="17"/>
  </w:num>
  <w:num w:numId="10" w16cid:durableId="1946694995">
    <w:abstractNumId w:val="1"/>
  </w:num>
  <w:num w:numId="11" w16cid:durableId="1616251284">
    <w:abstractNumId w:val="6"/>
  </w:num>
  <w:num w:numId="12" w16cid:durableId="844905472">
    <w:abstractNumId w:val="12"/>
  </w:num>
  <w:num w:numId="13" w16cid:durableId="1440221289">
    <w:abstractNumId w:val="2"/>
  </w:num>
  <w:num w:numId="14" w16cid:durableId="1858546056">
    <w:abstractNumId w:val="4"/>
  </w:num>
  <w:num w:numId="15" w16cid:durableId="915166757">
    <w:abstractNumId w:val="0"/>
  </w:num>
  <w:num w:numId="16" w16cid:durableId="482507271">
    <w:abstractNumId w:val="8"/>
  </w:num>
  <w:num w:numId="17" w16cid:durableId="753353576">
    <w:abstractNumId w:val="11"/>
  </w:num>
  <w:num w:numId="18" w16cid:durableId="8240557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300"/>
    <w:rsid w:val="00002FFB"/>
    <w:rsid w:val="00011003"/>
    <w:rsid w:val="00012549"/>
    <w:rsid w:val="00023E45"/>
    <w:rsid w:val="0004561C"/>
    <w:rsid w:val="00057F3B"/>
    <w:rsid w:val="00070586"/>
    <w:rsid w:val="00080F85"/>
    <w:rsid w:val="000B0D93"/>
    <w:rsid w:val="000B6667"/>
    <w:rsid w:val="000B7280"/>
    <w:rsid w:val="000B7BAD"/>
    <w:rsid w:val="000E3BFD"/>
    <w:rsid w:val="000E6E57"/>
    <w:rsid w:val="00110737"/>
    <w:rsid w:val="00111A63"/>
    <w:rsid w:val="00117DD2"/>
    <w:rsid w:val="00122DB4"/>
    <w:rsid w:val="001248F9"/>
    <w:rsid w:val="00130971"/>
    <w:rsid w:val="00144879"/>
    <w:rsid w:val="00155DA4"/>
    <w:rsid w:val="00173F98"/>
    <w:rsid w:val="00186B45"/>
    <w:rsid w:val="0019627A"/>
    <w:rsid w:val="001A328C"/>
    <w:rsid w:val="001B213F"/>
    <w:rsid w:val="00217346"/>
    <w:rsid w:val="00220B4D"/>
    <w:rsid w:val="002324B1"/>
    <w:rsid w:val="002425AD"/>
    <w:rsid w:val="002531DD"/>
    <w:rsid w:val="002A567C"/>
    <w:rsid w:val="002C0BB3"/>
    <w:rsid w:val="002D2851"/>
    <w:rsid w:val="002D6C6F"/>
    <w:rsid w:val="002D7A2D"/>
    <w:rsid w:val="002E3C47"/>
    <w:rsid w:val="002F0C49"/>
    <w:rsid w:val="00307EEA"/>
    <w:rsid w:val="00321648"/>
    <w:rsid w:val="0037659A"/>
    <w:rsid w:val="003B6ECA"/>
    <w:rsid w:val="003C20AA"/>
    <w:rsid w:val="00464D27"/>
    <w:rsid w:val="00476B40"/>
    <w:rsid w:val="00481DA0"/>
    <w:rsid w:val="00486244"/>
    <w:rsid w:val="004961FA"/>
    <w:rsid w:val="004A28EC"/>
    <w:rsid w:val="004A4F29"/>
    <w:rsid w:val="004A4FCC"/>
    <w:rsid w:val="004B56A5"/>
    <w:rsid w:val="004C4DD6"/>
    <w:rsid w:val="004E53A3"/>
    <w:rsid w:val="004F5E88"/>
    <w:rsid w:val="00507A00"/>
    <w:rsid w:val="00532FFB"/>
    <w:rsid w:val="00534E3D"/>
    <w:rsid w:val="00547996"/>
    <w:rsid w:val="005672A5"/>
    <w:rsid w:val="0059440B"/>
    <w:rsid w:val="005B2CFF"/>
    <w:rsid w:val="005D323B"/>
    <w:rsid w:val="005E0469"/>
    <w:rsid w:val="005F4057"/>
    <w:rsid w:val="005F73E3"/>
    <w:rsid w:val="006121D6"/>
    <w:rsid w:val="006212B7"/>
    <w:rsid w:val="00623025"/>
    <w:rsid w:val="00634FC1"/>
    <w:rsid w:val="00637CBF"/>
    <w:rsid w:val="00651523"/>
    <w:rsid w:val="00656300"/>
    <w:rsid w:val="00660219"/>
    <w:rsid w:val="00671B03"/>
    <w:rsid w:val="006866FD"/>
    <w:rsid w:val="006900A6"/>
    <w:rsid w:val="006917E5"/>
    <w:rsid w:val="00696CD2"/>
    <w:rsid w:val="006A18C3"/>
    <w:rsid w:val="006B20FE"/>
    <w:rsid w:val="006C4E50"/>
    <w:rsid w:val="006F1B52"/>
    <w:rsid w:val="006F2AE3"/>
    <w:rsid w:val="006F5A78"/>
    <w:rsid w:val="007258DF"/>
    <w:rsid w:val="00730200"/>
    <w:rsid w:val="00742E51"/>
    <w:rsid w:val="007537E6"/>
    <w:rsid w:val="0076042E"/>
    <w:rsid w:val="00782B8F"/>
    <w:rsid w:val="007923A4"/>
    <w:rsid w:val="007B24C9"/>
    <w:rsid w:val="007D1DA2"/>
    <w:rsid w:val="007F5C07"/>
    <w:rsid w:val="008102D1"/>
    <w:rsid w:val="00814F9F"/>
    <w:rsid w:val="00822AD3"/>
    <w:rsid w:val="0083557B"/>
    <w:rsid w:val="0084240E"/>
    <w:rsid w:val="00887E20"/>
    <w:rsid w:val="008B2731"/>
    <w:rsid w:val="008C02A2"/>
    <w:rsid w:val="008C2B34"/>
    <w:rsid w:val="0090128C"/>
    <w:rsid w:val="00912876"/>
    <w:rsid w:val="009312AC"/>
    <w:rsid w:val="00974F82"/>
    <w:rsid w:val="00995313"/>
    <w:rsid w:val="00995EE8"/>
    <w:rsid w:val="009D00E6"/>
    <w:rsid w:val="009E7BD0"/>
    <w:rsid w:val="00A1524C"/>
    <w:rsid w:val="00A16BBC"/>
    <w:rsid w:val="00A16D03"/>
    <w:rsid w:val="00A17B6D"/>
    <w:rsid w:val="00A7382F"/>
    <w:rsid w:val="00A74AF8"/>
    <w:rsid w:val="00A74B0C"/>
    <w:rsid w:val="00A81BDC"/>
    <w:rsid w:val="00A84781"/>
    <w:rsid w:val="00AA0318"/>
    <w:rsid w:val="00AA0522"/>
    <w:rsid w:val="00AD667A"/>
    <w:rsid w:val="00AF146C"/>
    <w:rsid w:val="00B23B7D"/>
    <w:rsid w:val="00B37FA0"/>
    <w:rsid w:val="00B64AAB"/>
    <w:rsid w:val="00B652E3"/>
    <w:rsid w:val="00B70A33"/>
    <w:rsid w:val="00B93071"/>
    <w:rsid w:val="00B958D6"/>
    <w:rsid w:val="00BC594B"/>
    <w:rsid w:val="00BE5CEF"/>
    <w:rsid w:val="00BF02F4"/>
    <w:rsid w:val="00BF048F"/>
    <w:rsid w:val="00C23DE1"/>
    <w:rsid w:val="00C2674A"/>
    <w:rsid w:val="00C308CB"/>
    <w:rsid w:val="00C52E2D"/>
    <w:rsid w:val="00C57406"/>
    <w:rsid w:val="00C60F78"/>
    <w:rsid w:val="00C714A4"/>
    <w:rsid w:val="00C72DD3"/>
    <w:rsid w:val="00C87FAA"/>
    <w:rsid w:val="00C9783F"/>
    <w:rsid w:val="00CC1C53"/>
    <w:rsid w:val="00CF23B3"/>
    <w:rsid w:val="00CF306E"/>
    <w:rsid w:val="00D00CCA"/>
    <w:rsid w:val="00D03A72"/>
    <w:rsid w:val="00D20D91"/>
    <w:rsid w:val="00D31594"/>
    <w:rsid w:val="00D47FED"/>
    <w:rsid w:val="00D809FA"/>
    <w:rsid w:val="00D82CEF"/>
    <w:rsid w:val="00D86530"/>
    <w:rsid w:val="00DC3938"/>
    <w:rsid w:val="00DD1699"/>
    <w:rsid w:val="00DD3A0C"/>
    <w:rsid w:val="00E01633"/>
    <w:rsid w:val="00E06C86"/>
    <w:rsid w:val="00E15A5E"/>
    <w:rsid w:val="00E32F5E"/>
    <w:rsid w:val="00E70A0F"/>
    <w:rsid w:val="00E84A39"/>
    <w:rsid w:val="00E87063"/>
    <w:rsid w:val="00E949D8"/>
    <w:rsid w:val="00EA4769"/>
    <w:rsid w:val="00EE1752"/>
    <w:rsid w:val="00EF3932"/>
    <w:rsid w:val="00F0227C"/>
    <w:rsid w:val="00F14917"/>
    <w:rsid w:val="00F31C93"/>
    <w:rsid w:val="00F47FBC"/>
    <w:rsid w:val="00F56305"/>
    <w:rsid w:val="00F63164"/>
    <w:rsid w:val="00F63462"/>
    <w:rsid w:val="00F6627C"/>
    <w:rsid w:val="00F84DB2"/>
    <w:rsid w:val="00F9364F"/>
    <w:rsid w:val="00FA6A54"/>
    <w:rsid w:val="00FE7BC6"/>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6B261"/>
  <w15:chartTrackingRefBased/>
  <w15:docId w15:val="{2E522B0F-F646-47E9-A6EB-67175D1D0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BFD"/>
    <w:pPr>
      <w:spacing w:after="240" w:line="360" w:lineRule="auto"/>
    </w:pPr>
    <w:rPr>
      <w:rFonts w:ascii="Open Sans" w:hAnsi="Open Sans" w:cs="Open Sans"/>
    </w:rPr>
  </w:style>
  <w:style w:type="paragraph" w:styleId="Heading1">
    <w:name w:val="heading 1"/>
    <w:basedOn w:val="Title"/>
    <w:next w:val="Normal"/>
    <w:link w:val="Heading1Char"/>
    <w:uiPriority w:val="9"/>
    <w:qFormat/>
    <w:rsid w:val="00656300"/>
    <w:pPr>
      <w:jc w:val="left"/>
    </w:pPr>
    <w:rPr>
      <w:b/>
      <w:bCs/>
      <w:sz w:val="32"/>
      <w:szCs w:val="32"/>
    </w:rPr>
  </w:style>
  <w:style w:type="paragraph" w:styleId="Heading2">
    <w:name w:val="heading 2"/>
    <w:basedOn w:val="Heading1"/>
    <w:next w:val="Normal"/>
    <w:link w:val="Heading2Char"/>
    <w:uiPriority w:val="9"/>
    <w:unhideWhenUsed/>
    <w:qFormat/>
    <w:rsid w:val="00656300"/>
    <w:pPr>
      <w:outlineLvl w:val="1"/>
    </w:pPr>
    <w:rPr>
      <w:sz w:val="24"/>
      <w:szCs w:val="24"/>
    </w:rPr>
  </w:style>
  <w:style w:type="paragraph" w:styleId="Heading3">
    <w:name w:val="heading 3"/>
    <w:basedOn w:val="Heading2"/>
    <w:next w:val="Normal"/>
    <w:link w:val="Heading3Char"/>
    <w:uiPriority w:val="9"/>
    <w:unhideWhenUsed/>
    <w:qFormat/>
    <w:rsid w:val="00C72DD3"/>
    <w:pPr>
      <w:outlineLvl w:val="2"/>
    </w:pPr>
    <w:rPr>
      <w:b w:val="0"/>
      <w:bCs w:val="0"/>
      <w:lang w:val="en-IE"/>
    </w:rPr>
  </w:style>
  <w:style w:type="paragraph" w:styleId="Heading4">
    <w:name w:val="heading 4"/>
    <w:basedOn w:val="Normal"/>
    <w:next w:val="Normal"/>
    <w:link w:val="Heading4Char"/>
    <w:uiPriority w:val="9"/>
    <w:semiHidden/>
    <w:unhideWhenUsed/>
    <w:qFormat/>
    <w:rsid w:val="00656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637CBF"/>
    <w:rPr>
      <w:rFonts w:ascii="Courier New" w:hAnsi="Courier New"/>
      <w:b/>
    </w:rPr>
  </w:style>
  <w:style w:type="character" w:customStyle="1" w:styleId="CodeChar">
    <w:name w:val="Code Char"/>
    <w:basedOn w:val="DefaultParagraphFont"/>
    <w:link w:val="Code"/>
    <w:rsid w:val="00637CBF"/>
    <w:rPr>
      <w:rFonts w:ascii="Courier New" w:hAnsi="Courier New" w:cs="Open Sans"/>
      <w:b/>
    </w:rPr>
  </w:style>
  <w:style w:type="character" w:customStyle="1" w:styleId="Heading1Char">
    <w:name w:val="Heading 1 Char"/>
    <w:basedOn w:val="DefaultParagraphFont"/>
    <w:link w:val="Heading1"/>
    <w:uiPriority w:val="9"/>
    <w:rsid w:val="00656300"/>
    <w:rPr>
      <w:rFonts w:ascii="Open Sans" w:eastAsiaTheme="majorEastAsia" w:hAnsi="Open Sans" w:cs="Open Sans"/>
      <w:b/>
      <w:bCs/>
      <w:spacing w:val="-10"/>
      <w:kern w:val="28"/>
      <w:sz w:val="32"/>
      <w:szCs w:val="32"/>
    </w:rPr>
  </w:style>
  <w:style w:type="character" w:customStyle="1" w:styleId="Heading2Char">
    <w:name w:val="Heading 2 Char"/>
    <w:basedOn w:val="DefaultParagraphFont"/>
    <w:link w:val="Heading2"/>
    <w:uiPriority w:val="9"/>
    <w:rsid w:val="00656300"/>
    <w:rPr>
      <w:rFonts w:ascii="Open Sans" w:eastAsiaTheme="majorEastAsia" w:hAnsi="Open Sans" w:cs="Open Sans"/>
      <w:b/>
      <w:bCs/>
      <w:spacing w:val="-10"/>
      <w:kern w:val="28"/>
      <w:sz w:val="24"/>
      <w:szCs w:val="24"/>
    </w:rPr>
  </w:style>
  <w:style w:type="character" w:customStyle="1" w:styleId="Heading3Char">
    <w:name w:val="Heading 3 Char"/>
    <w:basedOn w:val="DefaultParagraphFont"/>
    <w:link w:val="Heading3"/>
    <w:uiPriority w:val="9"/>
    <w:rsid w:val="00C72DD3"/>
    <w:rPr>
      <w:rFonts w:ascii="Open Sans" w:eastAsiaTheme="majorEastAsia" w:hAnsi="Open Sans" w:cs="Open Sans"/>
      <w:spacing w:val="-10"/>
      <w:kern w:val="28"/>
      <w:sz w:val="24"/>
      <w:szCs w:val="24"/>
      <w:lang w:val="en-IE"/>
    </w:rPr>
  </w:style>
  <w:style w:type="character" w:customStyle="1" w:styleId="Heading4Char">
    <w:name w:val="Heading 4 Char"/>
    <w:basedOn w:val="DefaultParagraphFont"/>
    <w:link w:val="Heading4"/>
    <w:uiPriority w:val="9"/>
    <w:semiHidden/>
    <w:rsid w:val="00656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300"/>
    <w:rPr>
      <w:rFonts w:eastAsiaTheme="majorEastAsia" w:cstheme="majorBidi"/>
      <w:color w:val="272727" w:themeColor="text1" w:themeTint="D8"/>
    </w:rPr>
  </w:style>
  <w:style w:type="paragraph" w:styleId="Title">
    <w:name w:val="Title"/>
    <w:basedOn w:val="Normal"/>
    <w:next w:val="Normal"/>
    <w:link w:val="TitleChar"/>
    <w:uiPriority w:val="10"/>
    <w:qFormat/>
    <w:rsid w:val="00656300"/>
    <w:pPr>
      <w:spacing w:after="80"/>
      <w:contextualSpacing/>
      <w:jc w:val="center"/>
      <w:outlineLvl w:val="0"/>
    </w:pPr>
    <w:rPr>
      <w:rFonts w:eastAsiaTheme="majorEastAsia"/>
      <w:spacing w:val="-10"/>
      <w:kern w:val="28"/>
      <w:sz w:val="56"/>
      <w:szCs w:val="56"/>
    </w:rPr>
  </w:style>
  <w:style w:type="character" w:customStyle="1" w:styleId="TitleChar">
    <w:name w:val="Title Char"/>
    <w:basedOn w:val="DefaultParagraphFont"/>
    <w:link w:val="Title"/>
    <w:uiPriority w:val="10"/>
    <w:rsid w:val="00656300"/>
    <w:rPr>
      <w:rFonts w:ascii="Open Sans" w:eastAsiaTheme="majorEastAsia" w:hAnsi="Open Sans" w:cs="Open Sans"/>
      <w:spacing w:val="-10"/>
      <w:kern w:val="28"/>
      <w:sz w:val="56"/>
      <w:szCs w:val="56"/>
    </w:rPr>
  </w:style>
  <w:style w:type="paragraph" w:styleId="Subtitle">
    <w:name w:val="Subtitle"/>
    <w:basedOn w:val="Heading1"/>
    <w:next w:val="Normal"/>
    <w:link w:val="SubtitleChar"/>
    <w:uiPriority w:val="11"/>
    <w:qFormat/>
    <w:rsid w:val="00656300"/>
    <w:pPr>
      <w:jc w:val="center"/>
    </w:pPr>
  </w:style>
  <w:style w:type="character" w:customStyle="1" w:styleId="SubtitleChar">
    <w:name w:val="Subtitle Char"/>
    <w:basedOn w:val="DefaultParagraphFont"/>
    <w:link w:val="Subtitle"/>
    <w:uiPriority w:val="11"/>
    <w:rsid w:val="00656300"/>
    <w:rPr>
      <w:rFonts w:ascii="Open Sans" w:eastAsiaTheme="majorEastAsia" w:hAnsi="Open Sans" w:cs="Open Sans"/>
      <w:b/>
      <w:bCs/>
      <w:spacing w:val="-10"/>
      <w:kern w:val="28"/>
      <w:sz w:val="32"/>
      <w:szCs w:val="32"/>
    </w:rPr>
  </w:style>
  <w:style w:type="paragraph" w:styleId="Quote">
    <w:name w:val="Quote"/>
    <w:basedOn w:val="Normal"/>
    <w:next w:val="Normal"/>
    <w:link w:val="QuoteChar"/>
    <w:uiPriority w:val="29"/>
    <w:qFormat/>
    <w:rsid w:val="00656300"/>
    <w:pPr>
      <w:spacing w:before="160"/>
      <w:jc w:val="center"/>
    </w:pPr>
    <w:rPr>
      <w:i/>
      <w:iCs/>
      <w:color w:val="404040" w:themeColor="text1" w:themeTint="BF"/>
    </w:rPr>
  </w:style>
  <w:style w:type="character" w:customStyle="1" w:styleId="QuoteChar">
    <w:name w:val="Quote Char"/>
    <w:basedOn w:val="DefaultParagraphFont"/>
    <w:link w:val="Quote"/>
    <w:uiPriority w:val="29"/>
    <w:rsid w:val="00656300"/>
    <w:rPr>
      <w:i/>
      <w:iCs/>
      <w:color w:val="404040" w:themeColor="text1" w:themeTint="BF"/>
    </w:rPr>
  </w:style>
  <w:style w:type="paragraph" w:styleId="ListParagraph">
    <w:name w:val="List Paragraph"/>
    <w:basedOn w:val="Normal"/>
    <w:uiPriority w:val="34"/>
    <w:qFormat/>
    <w:rsid w:val="00656300"/>
    <w:pPr>
      <w:ind w:left="720"/>
      <w:contextualSpacing/>
    </w:pPr>
  </w:style>
  <w:style w:type="character" w:styleId="IntenseEmphasis">
    <w:name w:val="Intense Emphasis"/>
    <w:basedOn w:val="DefaultParagraphFont"/>
    <w:uiPriority w:val="21"/>
    <w:qFormat/>
    <w:rsid w:val="00656300"/>
    <w:rPr>
      <w:i/>
      <w:iCs/>
      <w:color w:val="0F4761" w:themeColor="accent1" w:themeShade="BF"/>
    </w:rPr>
  </w:style>
  <w:style w:type="paragraph" w:styleId="IntenseQuote">
    <w:name w:val="Intense Quote"/>
    <w:basedOn w:val="Normal"/>
    <w:next w:val="Normal"/>
    <w:link w:val="IntenseQuoteChar"/>
    <w:uiPriority w:val="30"/>
    <w:qFormat/>
    <w:rsid w:val="00656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300"/>
    <w:rPr>
      <w:i/>
      <w:iCs/>
      <w:color w:val="0F4761" w:themeColor="accent1" w:themeShade="BF"/>
    </w:rPr>
  </w:style>
  <w:style w:type="character" w:styleId="IntenseReference">
    <w:name w:val="Intense Reference"/>
    <w:basedOn w:val="DefaultParagraphFont"/>
    <w:uiPriority w:val="32"/>
    <w:qFormat/>
    <w:rsid w:val="00656300"/>
    <w:rPr>
      <w:b/>
      <w:bCs/>
      <w:smallCaps/>
      <w:color w:val="0F4761" w:themeColor="accent1" w:themeShade="BF"/>
      <w:spacing w:val="5"/>
    </w:rPr>
  </w:style>
  <w:style w:type="paragraph" w:styleId="Header">
    <w:name w:val="header"/>
    <w:basedOn w:val="Normal"/>
    <w:link w:val="HeaderChar"/>
    <w:uiPriority w:val="99"/>
    <w:unhideWhenUsed/>
    <w:rsid w:val="006563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6300"/>
  </w:style>
  <w:style w:type="paragraph" w:styleId="Footer">
    <w:name w:val="footer"/>
    <w:basedOn w:val="Normal"/>
    <w:link w:val="FooterChar"/>
    <w:uiPriority w:val="99"/>
    <w:unhideWhenUsed/>
    <w:qFormat/>
    <w:rsid w:val="000E3BFD"/>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rsid w:val="000E3BFD"/>
    <w:rPr>
      <w:rFonts w:ascii="Open Sans" w:hAnsi="Open Sans" w:cs="Open Sans"/>
      <w:sz w:val="18"/>
    </w:rPr>
  </w:style>
  <w:style w:type="paragraph" w:styleId="Bibliography">
    <w:name w:val="Bibliography"/>
    <w:basedOn w:val="Normal"/>
    <w:next w:val="Normal"/>
    <w:uiPriority w:val="37"/>
    <w:unhideWhenUsed/>
    <w:rsid w:val="007258DF"/>
    <w:pPr>
      <w:tabs>
        <w:tab w:val="left" w:pos="384"/>
      </w:tabs>
      <w:spacing w:line="240" w:lineRule="auto"/>
      <w:ind w:left="384" w:hanging="384"/>
    </w:pPr>
  </w:style>
  <w:style w:type="paragraph" w:customStyle="1" w:styleId="FigureCaption">
    <w:name w:val="Figure Caption"/>
    <w:basedOn w:val="Caption"/>
    <w:link w:val="FigureCaptionChar"/>
    <w:qFormat/>
    <w:rsid w:val="007923A4"/>
    <w:pPr>
      <w:spacing w:after="0"/>
      <w:jc w:val="center"/>
    </w:pPr>
    <w:rPr>
      <w:sz w:val="20"/>
      <w:szCs w:val="20"/>
    </w:rPr>
  </w:style>
  <w:style w:type="character" w:customStyle="1" w:styleId="FigureCaptionChar">
    <w:name w:val="Figure Caption Char"/>
    <w:basedOn w:val="DefaultParagraphFont"/>
    <w:link w:val="FigureCaption"/>
    <w:rsid w:val="007923A4"/>
    <w:rPr>
      <w:rFonts w:ascii="Open Sans" w:hAnsi="Open Sans" w:cs="Open Sans"/>
      <w:i/>
      <w:iCs/>
      <w:color w:val="0E2841" w:themeColor="text2"/>
      <w:sz w:val="20"/>
      <w:szCs w:val="20"/>
    </w:rPr>
  </w:style>
  <w:style w:type="character" w:styleId="Hyperlink">
    <w:name w:val="Hyperlink"/>
    <w:basedOn w:val="DefaultParagraphFont"/>
    <w:uiPriority w:val="99"/>
    <w:unhideWhenUsed/>
    <w:rsid w:val="00D86530"/>
    <w:rPr>
      <w:color w:val="467886" w:themeColor="hyperlink"/>
      <w:u w:val="single"/>
    </w:rPr>
  </w:style>
  <w:style w:type="character" w:styleId="UnresolvedMention">
    <w:name w:val="Unresolved Mention"/>
    <w:basedOn w:val="DefaultParagraphFont"/>
    <w:uiPriority w:val="99"/>
    <w:semiHidden/>
    <w:unhideWhenUsed/>
    <w:rsid w:val="00D86530"/>
    <w:rPr>
      <w:color w:val="605E5C"/>
      <w:shd w:val="clear" w:color="auto" w:fill="E1DFDD"/>
    </w:rPr>
  </w:style>
  <w:style w:type="paragraph" w:customStyle="1" w:styleId="font-claude-response-body">
    <w:name w:val="font-claude-response-body"/>
    <w:basedOn w:val="Normal"/>
    <w:rsid w:val="000B0D93"/>
    <w:pPr>
      <w:spacing w:before="100" w:beforeAutospacing="1" w:after="100" w:afterAutospacing="1" w:line="240" w:lineRule="auto"/>
    </w:pPr>
    <w:rPr>
      <w:rFonts w:ascii="Times New Roman" w:eastAsia="Times New Roman" w:hAnsi="Times New Roman" w:cs="Times New Roman"/>
      <w:sz w:val="24"/>
      <w:szCs w:val="24"/>
      <w:lang w:val="en-IE" w:eastAsia="en-IE"/>
      <w14:ligatures w14:val="none"/>
    </w:rPr>
  </w:style>
  <w:style w:type="table" w:styleId="TableGrid">
    <w:name w:val="Table Grid"/>
    <w:basedOn w:val="TableNormal"/>
    <w:uiPriority w:val="39"/>
    <w:rsid w:val="00DC3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DC393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C3938"/>
    <w:rPr>
      <w:b/>
      <w:bCs/>
    </w:rPr>
  </w:style>
  <w:style w:type="paragraph" w:styleId="NormalWeb">
    <w:name w:val="Normal (Web)"/>
    <w:basedOn w:val="Normal"/>
    <w:uiPriority w:val="99"/>
    <w:semiHidden/>
    <w:unhideWhenUsed/>
    <w:rsid w:val="006212B7"/>
    <w:rPr>
      <w:rFonts w:ascii="Times New Roman" w:hAnsi="Times New Roman" w:cs="Times New Roman"/>
      <w:sz w:val="24"/>
      <w:szCs w:val="24"/>
    </w:rPr>
  </w:style>
  <w:style w:type="paragraph" w:styleId="Caption">
    <w:name w:val="caption"/>
    <w:basedOn w:val="Normal"/>
    <w:next w:val="Normal"/>
    <w:link w:val="CaptionChar"/>
    <w:uiPriority w:val="35"/>
    <w:unhideWhenUsed/>
    <w:qFormat/>
    <w:rsid w:val="00BC594B"/>
    <w:pPr>
      <w:spacing w:after="200" w:line="240" w:lineRule="auto"/>
    </w:pPr>
    <w:rPr>
      <w:i/>
      <w:iCs/>
      <w:color w:val="0E2841" w:themeColor="text2"/>
      <w:sz w:val="18"/>
      <w:szCs w:val="18"/>
    </w:rPr>
  </w:style>
  <w:style w:type="paragraph" w:customStyle="1" w:styleId="FigureCaptionHeading">
    <w:name w:val="Figure Caption Heading"/>
    <w:basedOn w:val="Caption"/>
    <w:link w:val="FigureCaptionHeadingChar"/>
    <w:qFormat/>
    <w:rsid w:val="006F2AE3"/>
    <w:pPr>
      <w:keepNext/>
      <w:spacing w:after="0"/>
      <w:jc w:val="center"/>
    </w:pPr>
    <w:rPr>
      <w:b/>
      <w:bCs/>
      <w:sz w:val="20"/>
      <w:szCs w:val="20"/>
    </w:rPr>
  </w:style>
  <w:style w:type="character" w:customStyle="1" w:styleId="CaptionChar">
    <w:name w:val="Caption Char"/>
    <w:basedOn w:val="DefaultParagraphFont"/>
    <w:link w:val="Caption"/>
    <w:uiPriority w:val="35"/>
    <w:rsid w:val="006F2AE3"/>
    <w:rPr>
      <w:rFonts w:ascii="Open Sans" w:hAnsi="Open Sans" w:cs="Open Sans"/>
      <w:i/>
      <w:iCs/>
      <w:color w:val="0E2841" w:themeColor="text2"/>
      <w:sz w:val="18"/>
      <w:szCs w:val="18"/>
    </w:rPr>
  </w:style>
  <w:style w:type="character" w:customStyle="1" w:styleId="FigureCaptionHeadingChar">
    <w:name w:val="Figure Caption Heading Char"/>
    <w:basedOn w:val="CaptionChar"/>
    <w:link w:val="FigureCaptionHeading"/>
    <w:rsid w:val="006F2AE3"/>
    <w:rPr>
      <w:rFonts w:ascii="Open Sans" w:hAnsi="Open Sans" w:cs="Open Sans"/>
      <w:b/>
      <w:bCs/>
      <w:i/>
      <w:iCs/>
      <w:color w:val="0E2841" w:themeColor="text2"/>
      <w:sz w:val="20"/>
      <w:szCs w:val="20"/>
    </w:rPr>
  </w:style>
  <w:style w:type="character" w:styleId="PlaceholderText">
    <w:name w:val="Placeholder Text"/>
    <w:basedOn w:val="DefaultParagraphFont"/>
    <w:uiPriority w:val="99"/>
    <w:semiHidden/>
    <w:rsid w:val="006F2AE3"/>
    <w:rPr>
      <w:color w:val="666666"/>
    </w:rPr>
  </w:style>
  <w:style w:type="paragraph" w:customStyle="1" w:styleId="Appendix">
    <w:name w:val="Appendix"/>
    <w:basedOn w:val="Normal"/>
    <w:link w:val="AppendixChar"/>
    <w:qFormat/>
    <w:rsid w:val="00155DA4"/>
    <w:pPr>
      <w:spacing w:after="120" w:line="240" w:lineRule="auto"/>
    </w:pPr>
    <w:rPr>
      <w:sz w:val="20"/>
      <w:szCs w:val="20"/>
    </w:rPr>
  </w:style>
  <w:style w:type="character" w:customStyle="1" w:styleId="AppendixChar">
    <w:name w:val="Appendix Char"/>
    <w:basedOn w:val="DefaultParagraphFont"/>
    <w:link w:val="Appendix"/>
    <w:rsid w:val="00155DA4"/>
    <w:rPr>
      <w:rFonts w:ascii="Open Sans" w:hAnsi="Open Sans" w:cs="Open San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bioportal.org" TargetMode="Externa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yperlink" Target="https://github.com/gillespieza/hgsoc-tcga-ODE.git"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4F2AEE-41DB-43F5-9FB6-D08537385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1354</TotalTime>
  <Pages>40</Pages>
  <Words>21602</Words>
  <Characters>123134</Characters>
  <Application>Microsoft Office Word</Application>
  <DocSecurity>0</DocSecurity>
  <Lines>1026</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Dominy</dc:creator>
  <cp:keywords/>
  <dc:description/>
  <cp:lastModifiedBy>Amanda Dominy</cp:lastModifiedBy>
  <cp:revision>143</cp:revision>
  <dcterms:created xsi:type="dcterms:W3CDTF">2026-06-29T10:13:00Z</dcterms:created>
  <dcterms:modified xsi:type="dcterms:W3CDTF">2026-06-30T19:26:00Z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id="fqWNXdJt"/&gt;&lt;style id="http://www.zotero.org/styles/vancouver-superscript" locale="en-GB" hasBibliography="1" bibliographyStyleHasBeenSet="1"/&gt;&lt;prefs&gt;&lt;pref name="fieldType" value="Field"/&gt;&lt;pref nam</vt:lpwstr>
  </property>
  <property fmtid="{D5CDD505-2E9C-101B-9397-08002B2CF9AE}" pid="3" name="ZOTERO_PREF_2">
    <vt:lpwstr>e="automaticJournalAbbreviations" value="true"/&gt;&lt;/prefs&gt;&lt;/data&gt;</vt:lpwstr>
  </property>
</Properties>
</file>