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D21A1" w14:textId="77777777" w:rsidR="00736B08" w:rsidRDefault="00736B08" w:rsidP="0054031E">
      <w:pPr>
        <w:autoSpaceDE w:val="0"/>
        <w:autoSpaceDN w:val="0"/>
        <w:adjustRightInd w:val="0"/>
        <w:spacing w:after="0" w:line="240" w:lineRule="auto"/>
        <w:rPr>
          <w:rFonts w:ascii="URWPalladioL-Roma" w:hAnsi="URWPalladioL-Roma" w:cs="URWPalladioL-Roma"/>
          <w:kern w:val="0"/>
          <w:sz w:val="18"/>
          <w:szCs w:val="18"/>
        </w:rPr>
      </w:pPr>
    </w:p>
    <w:p w14:paraId="3D32CAE0" w14:textId="398773D7" w:rsidR="00736B08" w:rsidRPr="00736B08" w:rsidRDefault="00736B08" w:rsidP="00736B08">
      <w:pPr>
        <w:autoSpaceDE w:val="0"/>
        <w:autoSpaceDN w:val="0"/>
        <w:adjustRightInd w:val="0"/>
        <w:spacing w:after="0" w:line="240" w:lineRule="auto"/>
        <w:jc w:val="center"/>
        <w:rPr>
          <w:rFonts w:ascii="URWPalladioL-Roma" w:hAnsi="URWPalladioL-Roma" w:cs="URWPalladioL-Roma"/>
          <w:b/>
          <w:bCs/>
          <w:kern w:val="0"/>
          <w:sz w:val="28"/>
          <w:szCs w:val="28"/>
        </w:rPr>
      </w:pPr>
      <w:r w:rsidRPr="00736B08">
        <w:rPr>
          <w:rFonts w:ascii="URWPalladioL-Roma" w:hAnsi="URWPalladioL-Roma" w:cs="URWPalladioL-Roma"/>
          <w:b/>
          <w:bCs/>
          <w:kern w:val="0"/>
          <w:sz w:val="28"/>
          <w:szCs w:val="28"/>
        </w:rPr>
        <w:t>Potential Drug Targets</w:t>
      </w:r>
    </w:p>
    <w:p w14:paraId="6C95F9A2" w14:textId="77777777" w:rsidR="00736B08" w:rsidRDefault="00736B08" w:rsidP="0054031E">
      <w:pPr>
        <w:autoSpaceDE w:val="0"/>
        <w:autoSpaceDN w:val="0"/>
        <w:adjustRightInd w:val="0"/>
        <w:spacing w:after="0" w:line="240" w:lineRule="auto"/>
        <w:rPr>
          <w:rFonts w:ascii="URWPalladioL-Roma" w:hAnsi="URWPalladioL-Roma" w:cs="URWPalladioL-Roma"/>
          <w:kern w:val="0"/>
          <w:sz w:val="18"/>
          <w:szCs w:val="18"/>
        </w:rPr>
      </w:pPr>
    </w:p>
    <w:p w14:paraId="48C59BC1" w14:textId="1CCFD7C9" w:rsidR="0054031E" w:rsidRDefault="0054031E" w:rsidP="0054031E">
      <w:pPr>
        <w:autoSpaceDE w:val="0"/>
        <w:autoSpaceDN w:val="0"/>
        <w:adjustRightInd w:val="0"/>
        <w:spacing w:after="0" w:line="240" w:lineRule="auto"/>
        <w:rPr>
          <w:b/>
          <w:bCs/>
        </w:rPr>
      </w:pPr>
      <w:r>
        <w:rPr>
          <w:rFonts w:ascii="URWPalladioL-Roma" w:hAnsi="URWPalladioL-Roma" w:cs="URWPalladioL-Roma"/>
          <w:kern w:val="0"/>
          <w:sz w:val="18"/>
          <w:szCs w:val="18"/>
        </w:rPr>
        <w:t>Immune checkpoint inhibitors and BRAF/MEK inhibitors are the cornerstone</w:t>
      </w:r>
      <w:r>
        <w:rPr>
          <w:rFonts w:ascii="URWPalladioL-Roma" w:hAnsi="URWPalladioL-Roma" w:cs="URWPalladioL-Roma"/>
          <w:kern w:val="0"/>
          <w:sz w:val="18"/>
          <w:szCs w:val="18"/>
        </w:rPr>
        <w:t xml:space="preserve"> </w:t>
      </w:r>
      <w:r>
        <w:rPr>
          <w:rFonts w:ascii="URWPalladioL-Roma" w:hAnsi="URWPalladioL-Roma" w:cs="URWPalladioL-Roma"/>
          <w:kern w:val="0"/>
          <w:sz w:val="18"/>
          <w:szCs w:val="18"/>
        </w:rPr>
        <w:t>of treatment for melanoma; however, primary and acquired resistance to these therapies highlight</w:t>
      </w:r>
      <w:r>
        <w:rPr>
          <w:rFonts w:ascii="URWPalladioL-Roma" w:hAnsi="URWPalladioL-Roma" w:cs="URWPalladioL-Roma"/>
          <w:kern w:val="0"/>
          <w:sz w:val="18"/>
          <w:szCs w:val="18"/>
        </w:rPr>
        <w:t xml:space="preserve"> </w:t>
      </w:r>
      <w:r>
        <w:rPr>
          <w:rFonts w:ascii="URWPalladioL-Roma" w:hAnsi="URWPalladioL-Roma" w:cs="URWPalladioL-Roma"/>
          <w:kern w:val="0"/>
          <w:sz w:val="18"/>
          <w:szCs w:val="18"/>
        </w:rPr>
        <w:t>an ongoing, unmet need to develop novel treatment modalities. The emergence of monoclonal</w:t>
      </w:r>
      <w:r>
        <w:rPr>
          <w:rFonts w:ascii="URWPalladioL-Roma" w:hAnsi="URWPalladioL-Roma" w:cs="URWPalladioL-Roma"/>
          <w:kern w:val="0"/>
          <w:sz w:val="18"/>
          <w:szCs w:val="18"/>
        </w:rPr>
        <w:t xml:space="preserve"> </w:t>
      </w:r>
      <w:r>
        <w:rPr>
          <w:rFonts w:ascii="URWPalladioL-Roma" w:hAnsi="URWPalladioL-Roma" w:cs="URWPalladioL-Roma"/>
          <w:kern w:val="0"/>
          <w:sz w:val="18"/>
          <w:szCs w:val="18"/>
        </w:rPr>
        <w:t>antibodies and small molecules as therapeutic platforms permits the targeting of specific mediators</w:t>
      </w:r>
      <w:r>
        <w:rPr>
          <w:rFonts w:ascii="URWPalladioL-Roma" w:hAnsi="URWPalladioL-Roma" w:cs="URWPalladioL-Roma"/>
          <w:kern w:val="0"/>
          <w:sz w:val="18"/>
          <w:szCs w:val="18"/>
        </w:rPr>
        <w:t xml:space="preserve"> </w:t>
      </w:r>
      <w:r>
        <w:rPr>
          <w:rFonts w:ascii="URWPalladioL-Roma" w:hAnsi="URWPalladioL-Roma" w:cs="URWPalladioL-Roma"/>
          <w:kern w:val="0"/>
          <w:sz w:val="18"/>
          <w:szCs w:val="18"/>
        </w:rPr>
        <w:t>that drive the cancer phenotype. Melanoma represents a disease in which several driver mutations</w:t>
      </w:r>
      <w:r>
        <w:rPr>
          <w:rFonts w:ascii="URWPalladioL-Roma" w:hAnsi="URWPalladioL-Roma" w:cs="URWPalladioL-Roma"/>
          <w:kern w:val="0"/>
          <w:sz w:val="18"/>
          <w:szCs w:val="18"/>
        </w:rPr>
        <w:t xml:space="preserve"> </w:t>
      </w:r>
      <w:r>
        <w:rPr>
          <w:rFonts w:ascii="URWPalladioL-Roma" w:hAnsi="URWPalladioL-Roma" w:cs="URWPalladioL-Roma"/>
          <w:kern w:val="0"/>
          <w:sz w:val="18"/>
          <w:szCs w:val="18"/>
        </w:rPr>
        <w:t>have been discovered, yet only a few effective targeted therapies exist. The effective targeting of</w:t>
      </w:r>
      <w:r>
        <w:rPr>
          <w:rFonts w:ascii="URWPalladioL-Roma" w:hAnsi="URWPalladioL-Roma" w:cs="URWPalladioL-Roma"/>
          <w:kern w:val="0"/>
          <w:sz w:val="18"/>
          <w:szCs w:val="18"/>
        </w:rPr>
        <w:t xml:space="preserve"> </w:t>
      </w:r>
      <w:r>
        <w:rPr>
          <w:rFonts w:ascii="URWPalladioL-Roma" w:hAnsi="URWPalladioL-Roma" w:cs="URWPalladioL-Roma"/>
          <w:kern w:val="0"/>
          <w:sz w:val="18"/>
          <w:szCs w:val="18"/>
        </w:rPr>
        <w:t>these molecules may be the key to unlocking several potential novel therapies.</w:t>
      </w:r>
      <w:r>
        <w:rPr>
          <w:rFonts w:ascii="URWPalladioL-Roma" w:hAnsi="URWPalladioL-Roma" w:cs="URWPalladioL-Roma"/>
          <w:kern w:val="0"/>
          <w:sz w:val="18"/>
          <w:szCs w:val="18"/>
        </w:rPr>
        <w:t xml:space="preserve"> </w:t>
      </w:r>
      <w:proofErr w:type="spellStart"/>
      <w:r>
        <w:rPr>
          <w:rFonts w:ascii="URWPalladioL-Roma" w:hAnsi="URWPalladioL-Roma" w:cs="URWPalladioL-Roma"/>
          <w:kern w:val="0"/>
          <w:sz w:val="18"/>
          <w:szCs w:val="18"/>
        </w:rPr>
        <w:t>Fernadez</w:t>
      </w:r>
      <w:proofErr w:type="spellEnd"/>
      <w:r>
        <w:rPr>
          <w:rFonts w:ascii="URWPalladioL-Roma" w:hAnsi="URWPalladioL-Roma" w:cs="URWPalladioL-Roma"/>
          <w:kern w:val="0"/>
          <w:sz w:val="18"/>
          <w:szCs w:val="18"/>
        </w:rPr>
        <w:t xml:space="preserve"> 2023 </w:t>
      </w:r>
      <w:hyperlink r:id="rId4" w:history="1">
        <w:r w:rsidRPr="0054031E">
          <w:rPr>
            <w:rStyle w:val="Hyperlink"/>
            <w:rFonts w:ascii="URWPalladioL-Roma" w:hAnsi="URWPalladioL-Roma" w:cs="URWPalladioL-Roma"/>
            <w:kern w:val="0"/>
            <w:sz w:val="18"/>
            <w:szCs w:val="18"/>
          </w:rPr>
          <w:t>New Approaches to Targeted Therapy in Melanoma</w:t>
        </w:r>
      </w:hyperlink>
    </w:p>
    <w:p w14:paraId="5914BC18" w14:textId="77777777" w:rsidR="0054031E" w:rsidRDefault="0054031E" w:rsidP="00A63315">
      <w:pPr>
        <w:rPr>
          <w:b/>
          <w:bCs/>
        </w:rPr>
      </w:pPr>
    </w:p>
    <w:p w14:paraId="7A3A7D6E" w14:textId="5FF51ADF" w:rsidR="00A63315" w:rsidRPr="00A63315" w:rsidRDefault="00A63315" w:rsidP="00A63315">
      <w:pPr>
        <w:rPr>
          <w:b/>
          <w:bCs/>
        </w:rPr>
      </w:pPr>
      <w:r w:rsidRPr="00A63315">
        <w:rPr>
          <w:b/>
          <w:bCs/>
        </w:rPr>
        <w:t>SOX10</w:t>
      </w:r>
    </w:p>
    <w:p w14:paraId="0FC69E9F" w14:textId="77777777" w:rsidR="00A63315" w:rsidRPr="00A63315" w:rsidRDefault="00A63315" w:rsidP="00A63315">
      <w:r w:rsidRPr="00A63315">
        <w:t xml:space="preserve">SOX10 is a transcription factor that plays a major role in maintaining melanoma cell identity and growth, which is why it appears as a strong dependency gene in </w:t>
      </w:r>
      <w:proofErr w:type="spellStart"/>
      <w:r w:rsidRPr="00A63315">
        <w:t>DepMap</w:t>
      </w:r>
      <w:proofErr w:type="spellEnd"/>
      <w:r w:rsidRPr="00A63315">
        <w:t xml:space="preserve"> analyses. Experimental studies, primarily in melanoma cell lines and animal models, show that reducing SOX10 expression often slows tumour growth and decreases melanoma fitness. However, an important complication emerged from multiple studies: some melanoma cells survive SOX10 loss by changing into a different cellular state that is more invasive, drug tolerant, and resistant to treatment. Researchers have linked these SOX10-deficient states to pathways involving cIAP2 and NTRK1, suggesting that while SOX10 is biologically important, directly targeting it may not always produce durable responses because surviving cells can adapt. In addition, SOX10 is a nuclear transcription factor, a class of proteins that is generally challenging to target with small-molecule drugs. As a result, current research is increasingly focused on targeting downstream pathways regulated by SOX10 or vulnerabilities that emerge after SOX10 loss rather than attempting to inhibit SOX10 directly.</w:t>
      </w:r>
    </w:p>
    <w:p w14:paraId="7C59472E" w14:textId="2E8A4E9D" w:rsidR="00E8194D" w:rsidRDefault="00A63315">
      <w:proofErr w:type="spellStart"/>
      <w:r>
        <w:t>Capparelli</w:t>
      </w:r>
      <w:proofErr w:type="spellEnd"/>
      <w:r>
        <w:t xml:space="preserve"> 2022: </w:t>
      </w:r>
      <w:hyperlink r:id="rId5" w:history="1">
        <w:r w:rsidRPr="00A63315">
          <w:rPr>
            <w:rStyle w:val="Hyperlink"/>
          </w:rPr>
          <w:t>Targeting SOX10-deficient cells to reduce the dormant-invasive phenotype state in melanoma</w:t>
        </w:r>
      </w:hyperlink>
    </w:p>
    <w:p w14:paraId="6A056DCA" w14:textId="12584C97" w:rsidR="00A63315" w:rsidRDefault="00A63315">
      <w:proofErr w:type="spellStart"/>
      <w:r>
        <w:t>Glasheen</w:t>
      </w:r>
      <w:proofErr w:type="spellEnd"/>
      <w:r>
        <w:t xml:space="preserve"> 2023: </w:t>
      </w:r>
      <w:hyperlink r:id="rId6" w:history="1">
        <w:r w:rsidRPr="00A63315">
          <w:rPr>
            <w:rStyle w:val="Hyperlink"/>
          </w:rPr>
          <w:t>Targeting up-regulated cIAP2 in SOX10-deficient drug tolerant melanoma</w:t>
        </w:r>
      </w:hyperlink>
    </w:p>
    <w:p w14:paraId="31A294A4" w14:textId="100525EE" w:rsidR="00A63315" w:rsidRDefault="00A63315">
      <w:r>
        <w:t xml:space="preserve">Abou-Hamad 2024: </w:t>
      </w:r>
      <w:hyperlink r:id="rId7" w:history="1">
        <w:r w:rsidRPr="00A63315">
          <w:rPr>
            <w:rStyle w:val="Hyperlink"/>
          </w:rPr>
          <w:t>Sox10-Deficient Drug-Resistant Melanoma Cells Are Refractory to Oncolytic RNA Viruses</w:t>
        </w:r>
      </w:hyperlink>
    </w:p>
    <w:p w14:paraId="48EE57E0" w14:textId="388A6A61" w:rsidR="00A63315" w:rsidRDefault="00A63315">
      <w:proofErr w:type="spellStart"/>
      <w:r>
        <w:t>DeGeorgia</w:t>
      </w:r>
      <w:proofErr w:type="spellEnd"/>
      <w:r>
        <w:t xml:space="preserve"> 2024: </w:t>
      </w:r>
      <w:hyperlink r:id="rId8" w:history="1">
        <w:r w:rsidRPr="00A63315">
          <w:rPr>
            <w:rStyle w:val="Hyperlink"/>
          </w:rPr>
          <w:t>Specific SOX10 enhancer elements modulate phenotype plasticity and drug resistance in melanoma</w:t>
        </w:r>
      </w:hyperlink>
    </w:p>
    <w:p w14:paraId="78B1F9A3" w14:textId="7B47390A" w:rsidR="00A63315" w:rsidRDefault="00A63315">
      <w:r>
        <w:t xml:space="preserve">Wang 2026: </w:t>
      </w:r>
      <w:hyperlink r:id="rId9" w:history="1">
        <w:r w:rsidRPr="00A63315">
          <w:rPr>
            <w:rStyle w:val="Hyperlink"/>
          </w:rPr>
          <w:t>ijbsv22p1717.pdf</w:t>
        </w:r>
      </w:hyperlink>
    </w:p>
    <w:p w14:paraId="6EA28B17" w14:textId="77777777" w:rsidR="00A63315" w:rsidRDefault="00A63315" w:rsidP="00A63315">
      <w:pPr>
        <w:rPr>
          <w:b/>
          <w:bCs/>
        </w:rPr>
      </w:pPr>
    </w:p>
    <w:p w14:paraId="40E48F8C" w14:textId="0498A299" w:rsidR="00A63315" w:rsidRPr="00A63315" w:rsidRDefault="00A63315" w:rsidP="00A63315">
      <w:pPr>
        <w:rPr>
          <w:b/>
          <w:bCs/>
        </w:rPr>
      </w:pPr>
      <w:r w:rsidRPr="00A63315">
        <w:rPr>
          <w:b/>
          <w:bCs/>
        </w:rPr>
        <w:t>PSMD14</w:t>
      </w:r>
    </w:p>
    <w:p w14:paraId="69B67B82" w14:textId="18AD1A79" w:rsidR="00BD18C7" w:rsidRPr="00A63315" w:rsidRDefault="00A63315" w:rsidP="00A63315">
      <w:r w:rsidRPr="00A63315">
        <w:t xml:space="preserve">PSMD14 is a deubiquitinating enzyme that forms part of the cellular proteasome machinery, making it a more traditionally druggable target than many transcription factors. Multiple studies, using melanoma cell lines and mouse xenograft models, have shown that melanoma cells rely on PSMD14 for proliferation, survival, migration, and tumour growth. Experimental reduction of PSMD14 consistently decreased melanoma growth, reduced cell movement, and suppressed tumour development. More recent work identified a pathway in which PSMD14 stabilises the transcription factor SP1, which in turn activates GYS1, a gene linked to melanoma growth and metabolic adaptation. Disrupting PSMD14 reduced SP1 and GYS1 activity and inhibited tumour progression. Unlike the literature surrounding some melanoma transcription factors, current studies have not reported strong evidence that PSMD14 inhibition drives the emergence of </w:t>
      </w:r>
      <w:r w:rsidRPr="00A63315">
        <w:lastRenderedPageBreak/>
        <w:t>highly resistant melanoma cell states, making it a promising therapeutic candidate. Nevertheless, because PSMD14 performs important functions in normal cells, its long-term safety profile remains to be established.</w:t>
      </w:r>
    </w:p>
    <w:p w14:paraId="407C235B" w14:textId="2C99BDF1" w:rsidR="00A63315" w:rsidRDefault="00A63315" w:rsidP="00A63315">
      <w:r>
        <w:t xml:space="preserve">Yokoyama 2020: </w:t>
      </w:r>
      <w:hyperlink r:id="rId10" w:history="1">
        <w:r w:rsidRPr="00A63315">
          <w:rPr>
            <w:rStyle w:val="Hyperlink"/>
          </w:rPr>
          <w:t>Targeting PSMD14 inhibits melanoma growth through SMAD3 stabilization</w:t>
        </w:r>
      </w:hyperlink>
    </w:p>
    <w:p w14:paraId="76107379" w14:textId="7A76F403" w:rsidR="00A63315" w:rsidRPr="00A63315" w:rsidRDefault="00A63315" w:rsidP="00A63315">
      <w:r>
        <w:t xml:space="preserve">Xie 2026: </w:t>
      </w:r>
      <w:hyperlink r:id="rId11" w:history="1">
        <w:r w:rsidRPr="00A63315">
          <w:rPr>
            <w:rStyle w:val="Hyperlink"/>
          </w:rPr>
          <w:t>A Metabolism-Driven Prognostic Model and PSMD14–SP1–GYS1 Axis Reveal Therapeutic Vulnerabilities in Melanoma - Journal of Investigative Dermatology</w:t>
        </w:r>
      </w:hyperlink>
    </w:p>
    <w:p w14:paraId="4DB0D6C2" w14:textId="77777777" w:rsidR="00A63315" w:rsidRDefault="00A63315"/>
    <w:p w14:paraId="58940574" w14:textId="55E59AF8" w:rsidR="00BD18C7" w:rsidRPr="00BD18C7" w:rsidRDefault="00BD18C7">
      <w:pPr>
        <w:rPr>
          <w:b/>
          <w:bCs/>
        </w:rPr>
      </w:pPr>
      <w:r w:rsidRPr="00BD18C7">
        <w:rPr>
          <w:b/>
          <w:bCs/>
        </w:rPr>
        <w:t>PSMB6</w:t>
      </w:r>
    </w:p>
    <w:p w14:paraId="0BD6E640" w14:textId="77777777" w:rsidR="00BD18C7" w:rsidRPr="00BD18C7" w:rsidRDefault="00BD18C7" w:rsidP="00BD18C7">
      <w:r w:rsidRPr="00BD18C7">
        <w:t xml:space="preserve">PSMB6 is a proteasome subunit involved in cellular protein degradation and quality control. Recent pan-cancer analyses integrating </w:t>
      </w:r>
      <w:proofErr w:type="spellStart"/>
      <w:r w:rsidRPr="00BD18C7">
        <w:t>DepMap</w:t>
      </w:r>
      <w:proofErr w:type="spellEnd"/>
      <w:r w:rsidRPr="00BD18C7">
        <w:t xml:space="preserve"> CRISPR and RNAi datasets identified PSMB6 as one of the most consistently important proteasome-associated dependency genes across multiple cancer types, including melanoma. Elevated PSMB6 expression has also been associated with poorer prognosis in melanoma. Because PSMB6 is part of the proteasome machinery, it represents a potentially druggable therapeutic target, although toxicity remains a concern because normal cells also require proteasome activity for survival.</w:t>
      </w:r>
    </w:p>
    <w:p w14:paraId="1B99F888" w14:textId="7067D41B" w:rsidR="00BD18C7" w:rsidRDefault="00BD18C7">
      <w:r>
        <w:t xml:space="preserve">Kim 2026: </w:t>
      </w:r>
      <w:hyperlink r:id="rId12" w:history="1">
        <w:r w:rsidRPr="00BD18C7">
          <w:rPr>
            <w:rStyle w:val="Hyperlink"/>
          </w:rPr>
          <w:t>Integrative Pan-Cancer Mapping of Proteasome Dependency Prioritizes PSMB5 and PSMB6 as Context-Dependent Vulnerability Biomarkers Linked to Immune Context</w:t>
        </w:r>
      </w:hyperlink>
    </w:p>
    <w:p w14:paraId="455274FF" w14:textId="77777777" w:rsidR="00BD18C7" w:rsidRDefault="00BD18C7"/>
    <w:p w14:paraId="6B80F193" w14:textId="0302D20B" w:rsidR="00BD18C7" w:rsidRPr="00736B08" w:rsidRDefault="00BD18C7">
      <w:pPr>
        <w:rPr>
          <w:b/>
          <w:bCs/>
        </w:rPr>
      </w:pPr>
      <w:r w:rsidRPr="00736B08">
        <w:rPr>
          <w:b/>
          <w:bCs/>
        </w:rPr>
        <w:t>ATP6V1B2</w:t>
      </w:r>
    </w:p>
    <w:p w14:paraId="7BFB737F" w14:textId="77777777" w:rsidR="00736B08" w:rsidRPr="00736B08" w:rsidRDefault="00736B08" w:rsidP="00736B08">
      <w:pPr>
        <w:spacing w:after="0" w:line="300" w:lineRule="atLeast"/>
      </w:pPr>
      <w:r w:rsidRPr="00736B08">
        <w:t xml:space="preserve">ATP6V1B2 is a component of the V-ATPase complex, which regulates lysosomal acidification and intracellular protein degradation. The importance of V-ATPase activity in maintaining lysosomal function, autophagy, and cellular stress responses has been demonstrated experimentally. ATP6V1B2 was identified as an essential melanoma gene in </w:t>
      </w:r>
      <w:proofErr w:type="spellStart"/>
      <w:r w:rsidRPr="00736B08">
        <w:t>DepMap</w:t>
      </w:r>
      <w:proofErr w:type="spellEnd"/>
      <w:r w:rsidRPr="00736B08">
        <w:t xml:space="preserve"> analyses, suggesting melanoma cells may depend on these processes for survival. However, direct studies investigating ATP6V1B2 as a therapeutic target in melanoma remain limited.</w:t>
      </w:r>
    </w:p>
    <w:p w14:paraId="371A53B2" w14:textId="77777777" w:rsidR="00736B08" w:rsidRDefault="00736B08"/>
    <w:p w14:paraId="7F0A9C51" w14:textId="1A3110CC" w:rsidR="00736B08" w:rsidRPr="00736B08" w:rsidRDefault="00736B08">
      <w:r>
        <w:t xml:space="preserve">Suda 2022: </w:t>
      </w:r>
      <w:hyperlink r:id="rId13" w:history="1">
        <w:r w:rsidRPr="00736B08">
          <w:rPr>
            <w:rStyle w:val="Hyperlink"/>
          </w:rPr>
          <w:t>Glycoprotein nonmetastatic melanoma protein B regulates lysosomal integrity and lifespan of senescent cells | Scientific Reports</w:t>
        </w:r>
      </w:hyperlink>
    </w:p>
    <w:sectPr w:rsidR="00736B08" w:rsidRPr="00736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RWPalladioL-Roma">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315"/>
    <w:rsid w:val="005264B9"/>
    <w:rsid w:val="0054031E"/>
    <w:rsid w:val="00591C1B"/>
    <w:rsid w:val="00736B08"/>
    <w:rsid w:val="00A63315"/>
    <w:rsid w:val="00B8553A"/>
    <w:rsid w:val="00BD18C7"/>
    <w:rsid w:val="00C516AD"/>
    <w:rsid w:val="00E8194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393D"/>
  <w15:chartTrackingRefBased/>
  <w15:docId w15:val="{751DD831-44E9-4FEB-9FC3-85D0F5D3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31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331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331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331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331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3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31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331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331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331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331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3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315"/>
    <w:rPr>
      <w:rFonts w:eastAsiaTheme="majorEastAsia" w:cstheme="majorBidi"/>
      <w:color w:val="272727" w:themeColor="text1" w:themeTint="D8"/>
    </w:rPr>
  </w:style>
  <w:style w:type="paragraph" w:styleId="Title">
    <w:name w:val="Title"/>
    <w:basedOn w:val="Normal"/>
    <w:next w:val="Normal"/>
    <w:link w:val="TitleChar"/>
    <w:uiPriority w:val="10"/>
    <w:qFormat/>
    <w:rsid w:val="00A63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315"/>
    <w:pPr>
      <w:spacing w:before="160"/>
      <w:jc w:val="center"/>
    </w:pPr>
    <w:rPr>
      <w:i/>
      <w:iCs/>
      <w:color w:val="404040" w:themeColor="text1" w:themeTint="BF"/>
    </w:rPr>
  </w:style>
  <w:style w:type="character" w:customStyle="1" w:styleId="QuoteChar">
    <w:name w:val="Quote Char"/>
    <w:basedOn w:val="DefaultParagraphFont"/>
    <w:link w:val="Quote"/>
    <w:uiPriority w:val="29"/>
    <w:rsid w:val="00A63315"/>
    <w:rPr>
      <w:i/>
      <w:iCs/>
      <w:color w:val="404040" w:themeColor="text1" w:themeTint="BF"/>
    </w:rPr>
  </w:style>
  <w:style w:type="paragraph" w:styleId="ListParagraph">
    <w:name w:val="List Paragraph"/>
    <w:basedOn w:val="Normal"/>
    <w:uiPriority w:val="34"/>
    <w:qFormat/>
    <w:rsid w:val="00A63315"/>
    <w:pPr>
      <w:ind w:left="720"/>
      <w:contextualSpacing/>
    </w:pPr>
  </w:style>
  <w:style w:type="character" w:styleId="IntenseEmphasis">
    <w:name w:val="Intense Emphasis"/>
    <w:basedOn w:val="DefaultParagraphFont"/>
    <w:uiPriority w:val="21"/>
    <w:qFormat/>
    <w:rsid w:val="00A63315"/>
    <w:rPr>
      <w:i/>
      <w:iCs/>
      <w:color w:val="2E74B5" w:themeColor="accent1" w:themeShade="BF"/>
    </w:rPr>
  </w:style>
  <w:style w:type="paragraph" w:styleId="IntenseQuote">
    <w:name w:val="Intense Quote"/>
    <w:basedOn w:val="Normal"/>
    <w:next w:val="Normal"/>
    <w:link w:val="IntenseQuoteChar"/>
    <w:uiPriority w:val="30"/>
    <w:qFormat/>
    <w:rsid w:val="00A633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3315"/>
    <w:rPr>
      <w:i/>
      <w:iCs/>
      <w:color w:val="2E74B5" w:themeColor="accent1" w:themeShade="BF"/>
    </w:rPr>
  </w:style>
  <w:style w:type="character" w:styleId="IntenseReference">
    <w:name w:val="Intense Reference"/>
    <w:basedOn w:val="DefaultParagraphFont"/>
    <w:uiPriority w:val="32"/>
    <w:qFormat/>
    <w:rsid w:val="00A63315"/>
    <w:rPr>
      <w:b/>
      <w:bCs/>
      <w:smallCaps/>
      <w:color w:val="2E74B5" w:themeColor="accent1" w:themeShade="BF"/>
      <w:spacing w:val="5"/>
    </w:rPr>
  </w:style>
  <w:style w:type="character" w:styleId="Hyperlink">
    <w:name w:val="Hyperlink"/>
    <w:basedOn w:val="DefaultParagraphFont"/>
    <w:uiPriority w:val="99"/>
    <w:unhideWhenUsed/>
    <w:rsid w:val="00A63315"/>
    <w:rPr>
      <w:color w:val="0563C1" w:themeColor="hyperlink"/>
      <w:u w:val="single"/>
    </w:rPr>
  </w:style>
  <w:style w:type="character" w:styleId="UnresolvedMention">
    <w:name w:val="Unresolved Mention"/>
    <w:basedOn w:val="DefaultParagraphFont"/>
    <w:uiPriority w:val="99"/>
    <w:semiHidden/>
    <w:unhideWhenUsed/>
    <w:rsid w:val="00A63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29209">
      <w:bodyDiv w:val="1"/>
      <w:marLeft w:val="0"/>
      <w:marRight w:val="0"/>
      <w:marTop w:val="0"/>
      <w:marBottom w:val="0"/>
      <w:divBdr>
        <w:top w:val="none" w:sz="0" w:space="0" w:color="auto"/>
        <w:left w:val="none" w:sz="0" w:space="0" w:color="auto"/>
        <w:bottom w:val="none" w:sz="0" w:space="0" w:color="auto"/>
        <w:right w:val="none" w:sz="0" w:space="0" w:color="auto"/>
      </w:divBdr>
      <w:divsChild>
        <w:div w:id="1810633132">
          <w:marLeft w:val="0"/>
          <w:marRight w:val="0"/>
          <w:marTop w:val="0"/>
          <w:marBottom w:val="0"/>
          <w:divBdr>
            <w:top w:val="none" w:sz="0" w:space="0" w:color="auto"/>
            <w:left w:val="none" w:sz="0" w:space="0" w:color="auto"/>
            <w:bottom w:val="none" w:sz="0" w:space="0" w:color="auto"/>
            <w:right w:val="none" w:sz="0" w:space="0" w:color="auto"/>
          </w:divBdr>
        </w:div>
      </w:divsChild>
    </w:div>
    <w:div w:id="166404400">
      <w:bodyDiv w:val="1"/>
      <w:marLeft w:val="0"/>
      <w:marRight w:val="0"/>
      <w:marTop w:val="0"/>
      <w:marBottom w:val="0"/>
      <w:divBdr>
        <w:top w:val="none" w:sz="0" w:space="0" w:color="auto"/>
        <w:left w:val="none" w:sz="0" w:space="0" w:color="auto"/>
        <w:bottom w:val="none" w:sz="0" w:space="0" w:color="auto"/>
        <w:right w:val="none" w:sz="0" w:space="0" w:color="auto"/>
      </w:divBdr>
      <w:divsChild>
        <w:div w:id="1957710420">
          <w:marLeft w:val="0"/>
          <w:marRight w:val="0"/>
          <w:marTop w:val="0"/>
          <w:marBottom w:val="0"/>
          <w:divBdr>
            <w:top w:val="none" w:sz="0" w:space="0" w:color="auto"/>
            <w:left w:val="none" w:sz="0" w:space="0" w:color="auto"/>
            <w:bottom w:val="none" w:sz="0" w:space="0" w:color="auto"/>
            <w:right w:val="none" w:sz="0" w:space="0" w:color="auto"/>
          </w:divBdr>
        </w:div>
      </w:divsChild>
    </w:div>
    <w:div w:id="204371594">
      <w:bodyDiv w:val="1"/>
      <w:marLeft w:val="0"/>
      <w:marRight w:val="0"/>
      <w:marTop w:val="0"/>
      <w:marBottom w:val="0"/>
      <w:divBdr>
        <w:top w:val="none" w:sz="0" w:space="0" w:color="auto"/>
        <w:left w:val="none" w:sz="0" w:space="0" w:color="auto"/>
        <w:bottom w:val="none" w:sz="0" w:space="0" w:color="auto"/>
        <w:right w:val="none" w:sz="0" w:space="0" w:color="auto"/>
      </w:divBdr>
      <w:divsChild>
        <w:div w:id="187330631">
          <w:marLeft w:val="0"/>
          <w:marRight w:val="0"/>
          <w:marTop w:val="0"/>
          <w:marBottom w:val="0"/>
          <w:divBdr>
            <w:top w:val="none" w:sz="0" w:space="0" w:color="auto"/>
            <w:left w:val="none" w:sz="0" w:space="0" w:color="auto"/>
            <w:bottom w:val="none" w:sz="0" w:space="0" w:color="auto"/>
            <w:right w:val="none" w:sz="0" w:space="0" w:color="auto"/>
          </w:divBdr>
        </w:div>
      </w:divsChild>
    </w:div>
    <w:div w:id="218904123">
      <w:bodyDiv w:val="1"/>
      <w:marLeft w:val="0"/>
      <w:marRight w:val="0"/>
      <w:marTop w:val="0"/>
      <w:marBottom w:val="0"/>
      <w:divBdr>
        <w:top w:val="none" w:sz="0" w:space="0" w:color="auto"/>
        <w:left w:val="none" w:sz="0" w:space="0" w:color="auto"/>
        <w:bottom w:val="none" w:sz="0" w:space="0" w:color="auto"/>
        <w:right w:val="none" w:sz="0" w:space="0" w:color="auto"/>
      </w:divBdr>
      <w:divsChild>
        <w:div w:id="1170633529">
          <w:marLeft w:val="0"/>
          <w:marRight w:val="0"/>
          <w:marTop w:val="0"/>
          <w:marBottom w:val="0"/>
          <w:divBdr>
            <w:top w:val="none" w:sz="0" w:space="0" w:color="auto"/>
            <w:left w:val="none" w:sz="0" w:space="0" w:color="auto"/>
            <w:bottom w:val="none" w:sz="0" w:space="0" w:color="auto"/>
            <w:right w:val="none" w:sz="0" w:space="0" w:color="auto"/>
          </w:divBdr>
        </w:div>
      </w:divsChild>
    </w:div>
    <w:div w:id="230580810">
      <w:bodyDiv w:val="1"/>
      <w:marLeft w:val="0"/>
      <w:marRight w:val="0"/>
      <w:marTop w:val="0"/>
      <w:marBottom w:val="0"/>
      <w:divBdr>
        <w:top w:val="none" w:sz="0" w:space="0" w:color="auto"/>
        <w:left w:val="none" w:sz="0" w:space="0" w:color="auto"/>
        <w:bottom w:val="none" w:sz="0" w:space="0" w:color="auto"/>
        <w:right w:val="none" w:sz="0" w:space="0" w:color="auto"/>
      </w:divBdr>
      <w:divsChild>
        <w:div w:id="1753354782">
          <w:marLeft w:val="0"/>
          <w:marRight w:val="0"/>
          <w:marTop w:val="0"/>
          <w:marBottom w:val="0"/>
          <w:divBdr>
            <w:top w:val="none" w:sz="0" w:space="0" w:color="auto"/>
            <w:left w:val="none" w:sz="0" w:space="0" w:color="auto"/>
            <w:bottom w:val="none" w:sz="0" w:space="0" w:color="auto"/>
            <w:right w:val="none" w:sz="0" w:space="0" w:color="auto"/>
          </w:divBdr>
        </w:div>
      </w:divsChild>
    </w:div>
    <w:div w:id="260914955">
      <w:bodyDiv w:val="1"/>
      <w:marLeft w:val="0"/>
      <w:marRight w:val="0"/>
      <w:marTop w:val="0"/>
      <w:marBottom w:val="0"/>
      <w:divBdr>
        <w:top w:val="none" w:sz="0" w:space="0" w:color="auto"/>
        <w:left w:val="none" w:sz="0" w:space="0" w:color="auto"/>
        <w:bottom w:val="none" w:sz="0" w:space="0" w:color="auto"/>
        <w:right w:val="none" w:sz="0" w:space="0" w:color="auto"/>
      </w:divBdr>
      <w:divsChild>
        <w:div w:id="307784281">
          <w:marLeft w:val="0"/>
          <w:marRight w:val="0"/>
          <w:marTop w:val="0"/>
          <w:marBottom w:val="0"/>
          <w:divBdr>
            <w:top w:val="none" w:sz="0" w:space="0" w:color="auto"/>
            <w:left w:val="none" w:sz="0" w:space="0" w:color="auto"/>
            <w:bottom w:val="none" w:sz="0" w:space="0" w:color="auto"/>
            <w:right w:val="none" w:sz="0" w:space="0" w:color="auto"/>
          </w:divBdr>
        </w:div>
      </w:divsChild>
    </w:div>
    <w:div w:id="552237359">
      <w:bodyDiv w:val="1"/>
      <w:marLeft w:val="0"/>
      <w:marRight w:val="0"/>
      <w:marTop w:val="0"/>
      <w:marBottom w:val="0"/>
      <w:divBdr>
        <w:top w:val="none" w:sz="0" w:space="0" w:color="auto"/>
        <w:left w:val="none" w:sz="0" w:space="0" w:color="auto"/>
        <w:bottom w:val="none" w:sz="0" w:space="0" w:color="auto"/>
        <w:right w:val="none" w:sz="0" w:space="0" w:color="auto"/>
      </w:divBdr>
      <w:divsChild>
        <w:div w:id="1818763093">
          <w:marLeft w:val="0"/>
          <w:marRight w:val="0"/>
          <w:marTop w:val="0"/>
          <w:marBottom w:val="0"/>
          <w:divBdr>
            <w:top w:val="none" w:sz="0" w:space="0" w:color="auto"/>
            <w:left w:val="none" w:sz="0" w:space="0" w:color="auto"/>
            <w:bottom w:val="none" w:sz="0" w:space="0" w:color="auto"/>
            <w:right w:val="none" w:sz="0" w:space="0" w:color="auto"/>
          </w:divBdr>
        </w:div>
      </w:divsChild>
    </w:div>
    <w:div w:id="554051359">
      <w:bodyDiv w:val="1"/>
      <w:marLeft w:val="0"/>
      <w:marRight w:val="0"/>
      <w:marTop w:val="0"/>
      <w:marBottom w:val="0"/>
      <w:divBdr>
        <w:top w:val="none" w:sz="0" w:space="0" w:color="auto"/>
        <w:left w:val="none" w:sz="0" w:space="0" w:color="auto"/>
        <w:bottom w:val="none" w:sz="0" w:space="0" w:color="auto"/>
        <w:right w:val="none" w:sz="0" w:space="0" w:color="auto"/>
      </w:divBdr>
      <w:divsChild>
        <w:div w:id="1807044197">
          <w:marLeft w:val="0"/>
          <w:marRight w:val="0"/>
          <w:marTop w:val="0"/>
          <w:marBottom w:val="0"/>
          <w:divBdr>
            <w:top w:val="none" w:sz="0" w:space="0" w:color="auto"/>
            <w:left w:val="none" w:sz="0" w:space="0" w:color="auto"/>
            <w:bottom w:val="none" w:sz="0" w:space="0" w:color="auto"/>
            <w:right w:val="none" w:sz="0" w:space="0" w:color="auto"/>
          </w:divBdr>
        </w:div>
      </w:divsChild>
    </w:div>
    <w:div w:id="993949894">
      <w:bodyDiv w:val="1"/>
      <w:marLeft w:val="0"/>
      <w:marRight w:val="0"/>
      <w:marTop w:val="0"/>
      <w:marBottom w:val="0"/>
      <w:divBdr>
        <w:top w:val="none" w:sz="0" w:space="0" w:color="auto"/>
        <w:left w:val="none" w:sz="0" w:space="0" w:color="auto"/>
        <w:bottom w:val="none" w:sz="0" w:space="0" w:color="auto"/>
        <w:right w:val="none" w:sz="0" w:space="0" w:color="auto"/>
      </w:divBdr>
      <w:divsChild>
        <w:div w:id="1418672003">
          <w:marLeft w:val="0"/>
          <w:marRight w:val="0"/>
          <w:marTop w:val="0"/>
          <w:marBottom w:val="0"/>
          <w:divBdr>
            <w:top w:val="none" w:sz="0" w:space="0" w:color="auto"/>
            <w:left w:val="none" w:sz="0" w:space="0" w:color="auto"/>
            <w:bottom w:val="none" w:sz="0" w:space="0" w:color="auto"/>
            <w:right w:val="none" w:sz="0" w:space="0" w:color="auto"/>
          </w:divBdr>
        </w:div>
      </w:divsChild>
    </w:div>
    <w:div w:id="1438714363">
      <w:bodyDiv w:val="1"/>
      <w:marLeft w:val="0"/>
      <w:marRight w:val="0"/>
      <w:marTop w:val="0"/>
      <w:marBottom w:val="0"/>
      <w:divBdr>
        <w:top w:val="none" w:sz="0" w:space="0" w:color="auto"/>
        <w:left w:val="none" w:sz="0" w:space="0" w:color="auto"/>
        <w:bottom w:val="none" w:sz="0" w:space="0" w:color="auto"/>
        <w:right w:val="none" w:sz="0" w:space="0" w:color="auto"/>
      </w:divBdr>
      <w:divsChild>
        <w:div w:id="1029377564">
          <w:marLeft w:val="0"/>
          <w:marRight w:val="0"/>
          <w:marTop w:val="0"/>
          <w:marBottom w:val="0"/>
          <w:divBdr>
            <w:top w:val="none" w:sz="0" w:space="0" w:color="auto"/>
            <w:left w:val="none" w:sz="0" w:space="0" w:color="auto"/>
            <w:bottom w:val="none" w:sz="0" w:space="0" w:color="auto"/>
            <w:right w:val="none" w:sz="0" w:space="0" w:color="auto"/>
          </w:divBdr>
        </w:div>
      </w:divsChild>
    </w:div>
    <w:div w:id="1555966854">
      <w:bodyDiv w:val="1"/>
      <w:marLeft w:val="0"/>
      <w:marRight w:val="0"/>
      <w:marTop w:val="0"/>
      <w:marBottom w:val="0"/>
      <w:divBdr>
        <w:top w:val="none" w:sz="0" w:space="0" w:color="auto"/>
        <w:left w:val="none" w:sz="0" w:space="0" w:color="auto"/>
        <w:bottom w:val="none" w:sz="0" w:space="0" w:color="auto"/>
        <w:right w:val="none" w:sz="0" w:space="0" w:color="auto"/>
      </w:divBdr>
      <w:divsChild>
        <w:div w:id="1943030705">
          <w:marLeft w:val="0"/>
          <w:marRight w:val="0"/>
          <w:marTop w:val="0"/>
          <w:marBottom w:val="0"/>
          <w:divBdr>
            <w:top w:val="none" w:sz="0" w:space="0" w:color="auto"/>
            <w:left w:val="none" w:sz="0" w:space="0" w:color="auto"/>
            <w:bottom w:val="none" w:sz="0" w:space="0" w:color="auto"/>
            <w:right w:val="none" w:sz="0" w:space="0" w:color="auto"/>
          </w:divBdr>
        </w:div>
      </w:divsChild>
    </w:div>
    <w:div w:id="1648703156">
      <w:bodyDiv w:val="1"/>
      <w:marLeft w:val="0"/>
      <w:marRight w:val="0"/>
      <w:marTop w:val="0"/>
      <w:marBottom w:val="0"/>
      <w:divBdr>
        <w:top w:val="none" w:sz="0" w:space="0" w:color="auto"/>
        <w:left w:val="none" w:sz="0" w:space="0" w:color="auto"/>
        <w:bottom w:val="none" w:sz="0" w:space="0" w:color="auto"/>
        <w:right w:val="none" w:sz="0" w:space="0" w:color="auto"/>
      </w:divBdr>
      <w:divsChild>
        <w:div w:id="1048183630">
          <w:marLeft w:val="0"/>
          <w:marRight w:val="0"/>
          <w:marTop w:val="0"/>
          <w:marBottom w:val="0"/>
          <w:divBdr>
            <w:top w:val="none" w:sz="0" w:space="0" w:color="auto"/>
            <w:left w:val="none" w:sz="0" w:space="0" w:color="auto"/>
            <w:bottom w:val="none" w:sz="0" w:space="0" w:color="auto"/>
            <w:right w:val="none" w:sz="0" w:space="0" w:color="auto"/>
          </w:divBdr>
        </w:div>
      </w:divsChild>
    </w:div>
    <w:div w:id="1808620759">
      <w:bodyDiv w:val="1"/>
      <w:marLeft w:val="0"/>
      <w:marRight w:val="0"/>
      <w:marTop w:val="0"/>
      <w:marBottom w:val="0"/>
      <w:divBdr>
        <w:top w:val="none" w:sz="0" w:space="0" w:color="auto"/>
        <w:left w:val="none" w:sz="0" w:space="0" w:color="auto"/>
        <w:bottom w:val="none" w:sz="0" w:space="0" w:color="auto"/>
        <w:right w:val="none" w:sz="0" w:space="0" w:color="auto"/>
      </w:divBdr>
      <w:divsChild>
        <w:div w:id="971012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702536/pdf/nihpp-2024.12.12.628224v1.pdf" TargetMode="External"/><Relationship Id="rId13" Type="http://schemas.openxmlformats.org/officeDocument/2006/relationships/hyperlink" Target="https://www.nature.com/articles/s41598-022-10522-3" TargetMode="External"/><Relationship Id="rId3" Type="http://schemas.openxmlformats.org/officeDocument/2006/relationships/webSettings" Target="webSettings.xml"/><Relationship Id="rId7" Type="http://schemas.openxmlformats.org/officeDocument/2006/relationships/hyperlink" Target="https://pmc.ncbi.nlm.nih.gov/articles/PMC10777920/pdf/cells-13-00073.pdf" TargetMode="External"/><Relationship Id="rId12" Type="http://schemas.openxmlformats.org/officeDocument/2006/relationships/hyperlink" Target="https://www.mdpi.com/1420-3049/31/11/195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10527992/pdf/nihms-1912851.pdf" TargetMode="External"/><Relationship Id="rId11" Type="http://schemas.openxmlformats.org/officeDocument/2006/relationships/hyperlink" Target="https://www.jidonline.org/article/S0022-202X(25)02430-3/fulltext" TargetMode="External"/><Relationship Id="rId5" Type="http://schemas.openxmlformats.org/officeDocument/2006/relationships/hyperlink" Target="https://pmc.ncbi.nlm.nih.gov/articles/PMC8927161/pdf/41467_2022_Article_28801.pdf" TargetMode="External"/><Relationship Id="rId15" Type="http://schemas.openxmlformats.org/officeDocument/2006/relationships/theme" Target="theme/theme1.xml"/><Relationship Id="rId10" Type="http://schemas.openxmlformats.org/officeDocument/2006/relationships/hyperlink" Target="https://pmc.ncbi.nlm.nih.gov/articles/PMC7644625/pdf/41598_2020_Article_76373.pdf" TargetMode="External"/><Relationship Id="rId4" Type="http://schemas.openxmlformats.org/officeDocument/2006/relationships/hyperlink" Target="https://pmc.ncbi.nlm.nih.gov/articles/PMC10296143/pdf/cancers-15-03224.pdf" TargetMode="External"/><Relationship Id="rId9" Type="http://schemas.openxmlformats.org/officeDocument/2006/relationships/hyperlink" Target="https://pmc.ncbi.nlm.nih.gov/articles/PMC12905572/pdf/ijbsv22p1717.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Childrens Health Ireland</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Meave Graham</dc:creator>
  <cp:keywords/>
  <dc:description/>
  <cp:lastModifiedBy>Meave Graham</cp:lastModifiedBy>
  <cp:revision>2</cp:revision>
  <dcterms:created xsi:type="dcterms:W3CDTF">2026-07-25T13:38:00Z</dcterms:created>
  <dcterms:modified xsi:type="dcterms:W3CDTF">2026-07-25T14:25:00Z</dcterms:modified>
</cp:coreProperties>
</file>