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23DB" w14:textId="2669476D" w:rsidR="00B82FDC" w:rsidRPr="00150AFE" w:rsidRDefault="00B82FDC" w:rsidP="00150AFE">
      <w:pPr>
        <w:pStyle w:val="Heading1"/>
      </w:pPr>
      <w:r w:rsidRPr="00150AFE">
        <w:t>MEIN40330: Machine Learning Mini Project</w:t>
      </w:r>
    </w:p>
    <w:p w14:paraId="08D7EEC0" w14:textId="77777777" w:rsidR="00B82FDC" w:rsidRPr="00150AFE" w:rsidRDefault="00B82FDC" w:rsidP="00417F53">
      <w:pPr>
        <w:pStyle w:val="Heading1"/>
      </w:pPr>
      <w:r w:rsidRPr="00150AFE">
        <w:t>Multi-Omics Survival Analysis of Kidney Renal Clear Cell Carcinoma (TCGA-KIRC)</w:t>
      </w:r>
      <w:r w:rsidRPr="00150AFE">
        <w:br/>
      </w:r>
    </w:p>
    <w:p w14:paraId="010DBD93" w14:textId="5653AC4E" w:rsidR="00B82FDC" w:rsidRPr="00150AFE" w:rsidRDefault="00B82FDC" w:rsidP="000972D6">
      <w:pPr>
        <w:pStyle w:val="Heading2"/>
        <w:jc w:val="center"/>
      </w:pPr>
      <w:r w:rsidRPr="00150AFE">
        <w:t>Amanda Dominy</w:t>
      </w:r>
      <w:r w:rsidRPr="00150AFE">
        <w:br/>
        <w:t>25271694</w:t>
      </w:r>
      <w:r w:rsidRPr="00150AFE">
        <w:br/>
        <w:t>8 June 2026</w:t>
      </w:r>
    </w:p>
    <w:p w14:paraId="32C89D6F" w14:textId="77777777" w:rsidR="00B82FDC" w:rsidRPr="00150AFE" w:rsidRDefault="00B82FDC" w:rsidP="00B82FDC">
      <w:pPr>
        <w:sectPr w:rsidR="00B82FDC" w:rsidRPr="00150AFE" w:rsidSect="00A94471">
          <w:footerReference w:type="default" r:id="rId7"/>
          <w:pgSz w:w="11906" w:h="16838"/>
          <w:pgMar w:top="1440" w:right="1134" w:bottom="1440" w:left="1134" w:header="709" w:footer="709" w:gutter="0"/>
          <w:cols w:space="708"/>
          <w:vAlign w:val="center"/>
          <w:docGrid w:linePitch="360"/>
        </w:sectPr>
      </w:pPr>
    </w:p>
    <w:p w14:paraId="179E18BA" w14:textId="4DB8DAEA" w:rsidR="00B82FDC" w:rsidRPr="00150AFE" w:rsidRDefault="00B82FDC" w:rsidP="000972D6">
      <w:pPr>
        <w:pStyle w:val="Heading2"/>
      </w:pPr>
      <w:r w:rsidRPr="00150AFE">
        <w:lastRenderedPageBreak/>
        <w:t xml:space="preserve">1. </w:t>
      </w:r>
      <w:r w:rsidRPr="000972D6">
        <w:t>Background</w:t>
      </w:r>
    </w:p>
    <w:p w14:paraId="569A9F5C" w14:textId="305375A7" w:rsidR="00B82FDC" w:rsidRPr="00150AFE" w:rsidRDefault="00B82FDC" w:rsidP="00B82FDC">
      <w:r w:rsidRPr="00150AFE">
        <w:t>Kidney renal clear cell carcinoma (</w:t>
      </w:r>
      <w:proofErr w:type="spellStart"/>
      <w:r w:rsidRPr="00150AFE">
        <w:t>ccRCC</w:t>
      </w:r>
      <w:proofErr w:type="spellEnd"/>
      <w:r w:rsidRPr="00150AFE">
        <w:t>) is the most prevalent subtype of renal cell carcinoma (RCC), accounting for approximately 70% of RCC cases</w:t>
      </w:r>
      <w:r w:rsidR="00B34ADB" w:rsidRPr="00B34ADB">
        <w:rPr>
          <w:vertAlign w:val="superscript"/>
        </w:rPr>
        <w:t>1</w:t>
      </w:r>
      <w:r w:rsidRPr="00150AFE">
        <w:t>, and is characterised by a marked stage-dependent survival gradient, with five-year survival exceeding 90% in localised (stage I) disease but falling below 12% in metastatic (stage IV) disease</w:t>
      </w:r>
      <w:r w:rsidR="00B34ADB" w:rsidRPr="00B34ADB">
        <w:rPr>
          <w:vertAlign w:val="superscript"/>
        </w:rPr>
        <w:t>1</w:t>
      </w:r>
      <w:r w:rsidRPr="00150AFE">
        <w:t>.</w:t>
      </w:r>
      <w:r w:rsidR="007051FF">
        <w:t xml:space="preserve"> </w:t>
      </w:r>
    </w:p>
    <w:p w14:paraId="2E921798" w14:textId="612E09C4" w:rsidR="00B82FDC" w:rsidRDefault="00B82FDC" w:rsidP="00B82FDC">
      <w:proofErr w:type="spellStart"/>
      <w:r w:rsidRPr="00150AFE">
        <w:t>ccRCC</w:t>
      </w:r>
      <w:proofErr w:type="spellEnd"/>
      <w:r w:rsidRPr="00150AFE">
        <w:t xml:space="preserve"> is </w:t>
      </w:r>
      <w:r w:rsidR="00B34ADB">
        <w:t xml:space="preserve">associated with </w:t>
      </w:r>
      <w:r w:rsidRPr="00150AFE">
        <w:t xml:space="preserve">inactivation of the von Hippel–Lindau (VHL) tumour suppressor gene, leading to hypoxia-inducible factor (HIF) </w:t>
      </w:r>
      <w:r w:rsidR="00164DE6">
        <w:t xml:space="preserve">activation, </w:t>
      </w:r>
      <w:r w:rsidR="00164DE6" w:rsidRPr="00164DE6">
        <w:t>angiogenesis, immune infiltration</w:t>
      </w:r>
      <w:r w:rsidR="00164DE6">
        <w:t xml:space="preserve"> (particularly by neutrophils)</w:t>
      </w:r>
      <w:r w:rsidR="00164DE6" w:rsidRPr="00164DE6">
        <w:t>, and extracellular matrix</w:t>
      </w:r>
      <w:r w:rsidR="00164DE6">
        <w:t xml:space="preserve"> (ECM)</w:t>
      </w:r>
      <w:r w:rsidR="00164DE6" w:rsidRPr="00164DE6">
        <w:t xml:space="preserve"> remodelling</w:t>
      </w:r>
      <w:r w:rsidR="000E5898" w:rsidRPr="000E5898">
        <w:rPr>
          <w:vertAlign w:val="superscript"/>
        </w:rPr>
        <w:t>2–4</w:t>
      </w:r>
      <w:r w:rsidR="00164DE6">
        <w:t xml:space="preserve">. </w:t>
      </w:r>
      <w:r w:rsidR="00164DE6" w:rsidRPr="00164DE6">
        <w:t>These processes underpin current targeted and immunotherapeutic approaches</w:t>
      </w:r>
      <w:r w:rsidR="00B34ADB" w:rsidRPr="00B34ADB">
        <w:rPr>
          <w:vertAlign w:val="superscript"/>
        </w:rPr>
        <w:t>1</w:t>
      </w:r>
      <w:r w:rsidRPr="00150AFE">
        <w:t>.</w:t>
      </w:r>
    </w:p>
    <w:p w14:paraId="3856E32D" w14:textId="1EF9C184" w:rsidR="00244BD3" w:rsidRPr="00150AFE" w:rsidRDefault="007051FF" w:rsidP="00B82FDC">
      <w:r w:rsidRPr="00164DE6">
        <w:t>Prognosis is primarily determined by tumour stage, grade, nodal involvement, and metastatic disease at presentation</w:t>
      </w:r>
      <w:r w:rsidR="00B34ADB" w:rsidRPr="00B34ADB">
        <w:rPr>
          <w:vertAlign w:val="superscript"/>
        </w:rPr>
        <w:t>1</w:t>
      </w:r>
      <w:r w:rsidRPr="00150AFE">
        <w:t xml:space="preserve">. </w:t>
      </w:r>
      <w:r w:rsidRPr="00164DE6">
        <w:t>Existing clinical risk models perform less well in intermediate-risk patients and were largely developed in historical metastatic cohorts</w:t>
      </w:r>
      <w:r w:rsidR="000E5898" w:rsidRPr="000E5898">
        <w:rPr>
          <w:vertAlign w:val="superscript"/>
        </w:rPr>
        <w:t>5</w:t>
      </w:r>
      <w:r w:rsidRPr="00150AFE">
        <w:t xml:space="preserve">. </w:t>
      </w:r>
      <w:r w:rsidR="00244BD3" w:rsidRPr="00150AFE">
        <w:t>The</w:t>
      </w:r>
      <w:r w:rsidR="00244BD3">
        <w:t xml:space="preserve"> limitation of current clinical prognostic indicators </w:t>
      </w:r>
      <w:proofErr w:type="gramStart"/>
      <w:r w:rsidR="00244BD3" w:rsidRPr="00150AFE">
        <w:t>motivate</w:t>
      </w:r>
      <w:proofErr w:type="gramEnd"/>
      <w:r w:rsidR="00244BD3" w:rsidRPr="00150AFE">
        <w:t xml:space="preserve"> the integration of molecular data to improve individualised risk prediction. </w:t>
      </w:r>
      <w:r w:rsidR="00977CDB">
        <w:t>The aim of p</w:t>
      </w:r>
      <w:r w:rsidR="00244BD3" w:rsidRPr="00244BD3">
        <w:t>ersonali</w:t>
      </w:r>
      <w:r w:rsidR="00C71C3E">
        <w:t>s</w:t>
      </w:r>
      <w:r w:rsidR="00244BD3" w:rsidRPr="00244BD3">
        <w:t xml:space="preserve">ed medicine </w:t>
      </w:r>
      <w:r w:rsidR="00977CDB">
        <w:t xml:space="preserve">is to </w:t>
      </w:r>
      <w:r w:rsidR="00244BD3" w:rsidRPr="00244BD3">
        <w:t>improve patient diagnosis and treatment by making use of patient-specific genomic and molecular markers that are indicative of disease development</w:t>
      </w:r>
      <w:r w:rsidR="00244BD3">
        <w:t>.</w:t>
      </w:r>
    </w:p>
    <w:p w14:paraId="515FAD9E" w14:textId="0C18D4B3" w:rsidR="00B82FDC" w:rsidRPr="00150AFE" w:rsidRDefault="00B82FDC" w:rsidP="00B82FDC">
      <w:r w:rsidRPr="00150AFE">
        <w:t xml:space="preserve">This analysis addresses the following research question: </w:t>
      </w:r>
      <w:r w:rsidRPr="00150AFE">
        <w:rPr>
          <w:b/>
          <w:bCs/>
          <w:i/>
          <w:iCs/>
        </w:rPr>
        <w:t>can the integration of proteomic</w:t>
      </w:r>
      <w:r w:rsidR="00DA6ECC">
        <w:rPr>
          <w:b/>
          <w:bCs/>
          <w:i/>
          <w:iCs/>
        </w:rPr>
        <w:t xml:space="preserve">, </w:t>
      </w:r>
      <w:r w:rsidRPr="00150AFE">
        <w:rPr>
          <w:b/>
          <w:bCs/>
          <w:i/>
          <w:iCs/>
        </w:rPr>
        <w:t xml:space="preserve">transcriptomic </w:t>
      </w:r>
      <w:r w:rsidR="00DA6ECC">
        <w:rPr>
          <w:b/>
          <w:bCs/>
          <w:i/>
          <w:iCs/>
        </w:rPr>
        <w:t xml:space="preserve">and genomic data </w:t>
      </w:r>
      <w:r w:rsidRPr="00150AFE">
        <w:rPr>
          <w:b/>
          <w:bCs/>
          <w:i/>
          <w:iCs/>
        </w:rPr>
        <w:t xml:space="preserve">with standard clinical variables improve overall survival prediction in </w:t>
      </w:r>
      <w:proofErr w:type="spellStart"/>
      <w:r w:rsidRPr="00150AFE">
        <w:rPr>
          <w:b/>
          <w:bCs/>
          <w:i/>
          <w:iCs/>
        </w:rPr>
        <w:t>ccRCC</w:t>
      </w:r>
      <w:proofErr w:type="spellEnd"/>
      <w:r w:rsidRPr="00150AFE">
        <w:rPr>
          <w:b/>
          <w:bCs/>
          <w:i/>
          <w:iCs/>
        </w:rPr>
        <w:t>, and does the inflammatory invasion axis contribute independent prognostic information beyond clinical staging?</w:t>
      </w:r>
    </w:p>
    <w:p w14:paraId="7ECC63DA" w14:textId="0C9EACF6" w:rsidR="00B82FDC" w:rsidRPr="00150AFE" w:rsidRDefault="00B82FDC" w:rsidP="00B82FDC">
      <w:r w:rsidRPr="00150AFE">
        <w:t xml:space="preserve">To address this question, multi-omics data from </w:t>
      </w:r>
      <w:r w:rsidR="00EE3504">
        <w:t>T</w:t>
      </w:r>
      <w:r w:rsidRPr="00150AFE">
        <w:t xml:space="preserve">he </w:t>
      </w:r>
      <w:r w:rsidR="00EE3504">
        <w:t>Cancer Genome Atlas (</w:t>
      </w:r>
      <w:r w:rsidRPr="00150AFE">
        <w:t>TCGA</w:t>
      </w:r>
      <w:r w:rsidR="00EE3504">
        <w:t>)</w:t>
      </w:r>
      <w:r w:rsidRPr="00150AFE">
        <w:t xml:space="preserve"> Kidney Renal Clear Cell Carcinoma </w:t>
      </w:r>
      <w:proofErr w:type="spellStart"/>
      <w:r w:rsidRPr="00150AFE">
        <w:t>PanCancer</w:t>
      </w:r>
      <w:proofErr w:type="spellEnd"/>
      <w:r w:rsidRPr="00150AFE">
        <w:t xml:space="preserve"> Atlas cohort were obtained from cBioPortal</w:t>
      </w:r>
      <w:r w:rsidR="000E5898" w:rsidRPr="000E5898">
        <w:rPr>
          <w:vertAlign w:val="superscript"/>
        </w:rPr>
        <w:t>6–8</w:t>
      </w:r>
      <w:r w:rsidRPr="00150AFE">
        <w:t>. Three molecular data layers were integrated alongside clinical survival data: reverse-phase protein array (RPPA) proteomics, RNA sequencing (RNA-</w:t>
      </w:r>
      <w:proofErr w:type="spellStart"/>
      <w:r w:rsidRPr="00150AFE">
        <w:t>seq</w:t>
      </w:r>
      <w:proofErr w:type="spellEnd"/>
      <w:r w:rsidRPr="00150AFE">
        <w:t>) expression, and somatic copy number alteration (CNA) data. Feature selection, cross-validated model comparison, and biological interpretation were performed using a reproducible R analysis pipeline, described fully in Section 3.</w:t>
      </w:r>
    </w:p>
    <w:p w14:paraId="2116796F" w14:textId="77777777" w:rsidR="00A94471" w:rsidRDefault="00A94471">
      <w:pPr>
        <w:spacing w:after="160" w:line="259" w:lineRule="auto"/>
        <w:rPr>
          <w:rFonts w:eastAsiaTheme="majorEastAsia"/>
          <w:b/>
          <w:bCs/>
          <w:sz w:val="32"/>
          <w:szCs w:val="32"/>
        </w:rPr>
      </w:pPr>
      <w:r>
        <w:br w:type="page"/>
      </w:r>
    </w:p>
    <w:p w14:paraId="12F950FB" w14:textId="4A43AB7B" w:rsidR="00B82FDC" w:rsidRPr="00150AFE" w:rsidRDefault="00B82FDC" w:rsidP="000972D6">
      <w:pPr>
        <w:pStyle w:val="Heading2"/>
        <w:spacing w:before="480"/>
      </w:pPr>
      <w:r w:rsidRPr="00150AFE">
        <w:lastRenderedPageBreak/>
        <w:t>2. Results</w:t>
      </w:r>
    </w:p>
    <w:p w14:paraId="1962447A" w14:textId="107607D1" w:rsidR="00B82FDC" w:rsidRDefault="00B82FDC" w:rsidP="000972D6">
      <w:pPr>
        <w:pStyle w:val="Heading3"/>
        <w:spacing w:before="0"/>
        <w:contextualSpacing/>
      </w:pPr>
      <w:r w:rsidRPr="00150AFE">
        <w:t>2</w:t>
      </w:r>
      <w:r w:rsidR="00C416FC" w:rsidRPr="00C416FC">
        <w:t>.1 Baseline Cohort Integration &amp; Clinical Calibration</w:t>
      </w:r>
    </w:p>
    <w:p w14:paraId="4942D1A8" w14:textId="1F6ACA63" w:rsidR="00B82FDC" w:rsidRDefault="00C416FC" w:rsidP="00C416FC">
      <w:r>
        <w:t>Merging</w:t>
      </w:r>
      <w:r w:rsidRPr="00C416FC">
        <w:t xml:space="preserve"> the multi-omics data layers yielded an overlap cohort of 454 samples with complete clinical, RPPA, RNA-</w:t>
      </w:r>
      <w:proofErr w:type="spellStart"/>
      <w:r w:rsidRPr="00C416FC">
        <w:t>seq</w:t>
      </w:r>
      <w:proofErr w:type="spellEnd"/>
      <w:r w:rsidRPr="00C416FC">
        <w:t xml:space="preserve"> </w:t>
      </w:r>
      <w:r w:rsidR="004C1EC8">
        <w:t xml:space="preserve">and CNA </w:t>
      </w:r>
      <w:r w:rsidRPr="00C416FC">
        <w:t xml:space="preserve">data. Of these, 158 patients (34.8%) experienced the primary endpoint of death (median follow-up: 38.7 months; median overall survival: 90.5 months), as visualized in Figure 1. </w:t>
      </w:r>
      <w:r w:rsidR="00D607C0" w:rsidRPr="00D607C0">
        <w:t>Thirteen candidate clinical variables were identified, of which twelve proceeded to screening following pre-screening exclusion of weight (absent from the dataset)</w:t>
      </w:r>
      <w:r w:rsidR="00D607C0">
        <w:t>. Of these candidates</w:t>
      </w:r>
      <w:r w:rsidR="00244BD3" w:rsidRPr="00244BD3">
        <w:t>,</w:t>
      </w:r>
      <w:r w:rsidR="00D607C0">
        <w:t xml:space="preserve"> </w:t>
      </w:r>
      <w:r w:rsidR="00244BD3" w:rsidRPr="00244BD3">
        <w:t xml:space="preserve">stage, grade, tumour break load </w:t>
      </w:r>
      <w:r w:rsidR="0066351B">
        <w:t xml:space="preserve">(TBL) </w:t>
      </w:r>
      <w:r w:rsidR="00244BD3" w:rsidRPr="00244BD3">
        <w:t>score and age remained significant after multiple-testing correction</w:t>
      </w:r>
      <w:r w:rsidR="00244BD3">
        <w:t xml:space="preserve"> </w:t>
      </w:r>
      <w:r w:rsidRPr="00C416FC">
        <w:t xml:space="preserve">(Figure 2, Table 1). </w:t>
      </w:r>
      <w:r w:rsidRPr="00150AFE">
        <w:t>Genomic instability markers (aneuploidy score, TMB, MSI scores) and sex did not reach significance after correction.</w:t>
      </w:r>
    </w:p>
    <w:p w14:paraId="29909EF4" w14:textId="13856494" w:rsidR="00A94471" w:rsidRDefault="00443B53" w:rsidP="00C416FC">
      <w:r w:rsidRPr="00150AFE">
        <w:t xml:space="preserve">The </w:t>
      </w:r>
      <w:r>
        <w:t>four</w:t>
      </w:r>
      <w:r w:rsidRPr="00150AFE">
        <w:t xml:space="preserve"> selected </w:t>
      </w:r>
      <w:r>
        <w:t xml:space="preserve">clinical </w:t>
      </w:r>
      <w:r w:rsidRPr="00150AFE">
        <w:t xml:space="preserve">features </w:t>
      </w:r>
      <w:r>
        <w:t>(</w:t>
      </w:r>
      <w:r w:rsidRPr="00150AFE">
        <w:t xml:space="preserve">stage, grade, </w:t>
      </w:r>
      <w:r>
        <w:t>TBL</w:t>
      </w:r>
      <w:r w:rsidRPr="00150AFE">
        <w:t xml:space="preserve"> score, and age</w:t>
      </w:r>
      <w:r>
        <w:t>)</w:t>
      </w:r>
      <w:r w:rsidRPr="00150AFE">
        <w:t xml:space="preserve"> were </w:t>
      </w:r>
      <w:r>
        <w:t>retained</w:t>
      </w:r>
      <w:r w:rsidRPr="00150AFE">
        <w:t xml:space="preserve"> as the clinical baseline for all downstream modelling. </w:t>
      </w:r>
      <w:r w:rsidRPr="00C416FC">
        <w:t>The multivariable clinical model achieved a C-index of 0.783 (N=450)</w:t>
      </w:r>
      <w:r>
        <w:t xml:space="preserve">, </w:t>
      </w:r>
      <w:r w:rsidRPr="00150AFE">
        <w:t>confirming strong baseline discriminat</w:t>
      </w:r>
      <w:r>
        <w:t>ion</w:t>
      </w:r>
      <w:r w:rsidRPr="00150AFE">
        <w:t xml:space="preserve"> driven primarily by stage</w:t>
      </w:r>
    </w:p>
    <w:p w14:paraId="1F06984E" w14:textId="7F7043DA" w:rsidR="00150AFE" w:rsidRPr="00150AFE" w:rsidRDefault="00443B53" w:rsidP="00A94471">
      <w:pPr>
        <w:pStyle w:val="Caption"/>
      </w:pPr>
      <w:r>
        <w:rPr>
          <w:noProof/>
        </w:rPr>
        <w:drawing>
          <wp:anchor distT="0" distB="0" distL="114300" distR="114300" simplePos="0" relativeHeight="251658240" behindDoc="0" locked="0" layoutInCell="1" allowOverlap="1" wp14:anchorId="38963987" wp14:editId="4B9C9109">
            <wp:simplePos x="0" y="0"/>
            <wp:positionH relativeFrom="column">
              <wp:posOffset>121920</wp:posOffset>
            </wp:positionH>
            <wp:positionV relativeFrom="paragraph">
              <wp:posOffset>172085</wp:posOffset>
            </wp:positionV>
            <wp:extent cx="5514975" cy="3676650"/>
            <wp:effectExtent l="0" t="0" r="9525" b="0"/>
            <wp:wrapTopAndBottom/>
            <wp:docPr id="17894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4975" cy="367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0610">
        <w:rPr>
          <w:b/>
          <w:bCs/>
        </w:rPr>
        <w:br/>
      </w:r>
      <w:r w:rsidR="00150AFE" w:rsidRPr="0068182D">
        <w:rPr>
          <w:b/>
          <w:bCs/>
        </w:rPr>
        <w:t xml:space="preserve">Figure </w:t>
      </w:r>
      <w:r w:rsidR="00150AFE" w:rsidRPr="0068182D">
        <w:rPr>
          <w:b/>
          <w:bCs/>
        </w:rPr>
        <w:fldChar w:fldCharType="begin"/>
      </w:r>
      <w:r w:rsidR="00150AFE" w:rsidRPr="0068182D">
        <w:rPr>
          <w:b/>
          <w:bCs/>
        </w:rPr>
        <w:instrText xml:space="preserve"> SEQ Figure \* ARABIC </w:instrText>
      </w:r>
      <w:r w:rsidR="00150AFE" w:rsidRPr="0068182D">
        <w:rPr>
          <w:b/>
          <w:bCs/>
        </w:rPr>
        <w:fldChar w:fldCharType="separate"/>
      </w:r>
      <w:r w:rsidR="00417F53" w:rsidRPr="0068182D">
        <w:rPr>
          <w:b/>
          <w:bCs/>
          <w:noProof/>
        </w:rPr>
        <w:t>1</w:t>
      </w:r>
      <w:r w:rsidR="00150AFE" w:rsidRPr="0068182D">
        <w:rPr>
          <w:b/>
          <w:bCs/>
        </w:rPr>
        <w:fldChar w:fldCharType="end"/>
      </w:r>
      <w:r w:rsidR="00150AFE" w:rsidRPr="0068182D">
        <w:rPr>
          <w:b/>
          <w:bCs/>
        </w:rPr>
        <w:t xml:space="preserve">. Kaplan–Meier </w:t>
      </w:r>
      <w:r w:rsidR="0068182D" w:rsidRPr="0068182D">
        <w:rPr>
          <w:b/>
          <w:bCs/>
        </w:rPr>
        <w:t>estimation of overall survival in the integrated TCGA-KIRC cohort</w:t>
      </w:r>
      <w:r w:rsidR="000972D6" w:rsidRPr="0068182D">
        <w:rPr>
          <w:b/>
          <w:bCs/>
        </w:rPr>
        <w:t>.</w:t>
      </w:r>
      <w:r w:rsidR="000972D6">
        <w:t xml:space="preserve"> </w:t>
      </w:r>
      <w:r w:rsidR="0068182D">
        <w:br/>
      </w:r>
      <w:r w:rsidR="0068182D" w:rsidRPr="0068182D">
        <w:t>Cumulative overall survival probability for the consolidated multi-omics cohort (N = 454) over a 150-month follow-up window. The dashed line marks the median overall survival threshold at 90.5 months. Shaded areas denote the 95% confidence intervals, and vertical tick marks represent right-censored individuals. The lower risk table details the absolute number of patients remaining at risk across longitudinal milestones</w:t>
      </w:r>
      <w:r w:rsidR="0068182D">
        <w:t>.</w:t>
      </w:r>
    </w:p>
    <w:p w14:paraId="0AF21C21" w14:textId="77777777" w:rsidR="00A14AAB" w:rsidRDefault="00A14AAB" w:rsidP="007051FF">
      <w:pPr>
        <w:keepNext/>
        <w:jc w:val="center"/>
      </w:pPr>
      <w:r>
        <w:rPr>
          <w:noProof/>
        </w:rPr>
        <w:lastRenderedPageBreak/>
        <w:drawing>
          <wp:inline distT="0" distB="0" distL="0" distR="0" wp14:anchorId="039238F6" wp14:editId="5CDB04A6">
            <wp:extent cx="5867400" cy="3850888"/>
            <wp:effectExtent l="0" t="0" r="0" b="0"/>
            <wp:docPr id="235586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497"/>
                    <a:stretch>
                      <a:fillRect/>
                    </a:stretch>
                  </pic:blipFill>
                  <pic:spPr bwMode="auto">
                    <a:xfrm>
                      <a:off x="0" y="0"/>
                      <a:ext cx="5878039" cy="3857870"/>
                    </a:xfrm>
                    <a:prstGeom prst="rect">
                      <a:avLst/>
                    </a:prstGeom>
                    <a:noFill/>
                    <a:ln>
                      <a:noFill/>
                    </a:ln>
                    <a:extLst>
                      <a:ext uri="{53640926-AAD7-44D8-BBD7-CCE9431645EC}">
                        <a14:shadowObscured xmlns:a14="http://schemas.microsoft.com/office/drawing/2010/main"/>
                      </a:ext>
                    </a:extLst>
                  </pic:spPr>
                </pic:pic>
              </a:graphicData>
            </a:graphic>
          </wp:inline>
        </w:drawing>
      </w:r>
    </w:p>
    <w:p w14:paraId="29EAB0F3" w14:textId="43DC6F6D" w:rsidR="00706259" w:rsidRDefault="00A14AAB" w:rsidP="00244BD3">
      <w:pPr>
        <w:pStyle w:val="Caption"/>
      </w:pPr>
      <w:r w:rsidRPr="0068182D">
        <w:rPr>
          <w:b/>
          <w:bCs/>
        </w:rPr>
        <w:t xml:space="preserve">Figure </w:t>
      </w:r>
      <w:r w:rsidRPr="0068182D">
        <w:rPr>
          <w:b/>
          <w:bCs/>
        </w:rPr>
        <w:fldChar w:fldCharType="begin"/>
      </w:r>
      <w:r w:rsidRPr="0068182D">
        <w:rPr>
          <w:b/>
          <w:bCs/>
        </w:rPr>
        <w:instrText xml:space="preserve"> SEQ Figure \* ARABIC </w:instrText>
      </w:r>
      <w:r w:rsidRPr="0068182D">
        <w:rPr>
          <w:b/>
          <w:bCs/>
        </w:rPr>
        <w:fldChar w:fldCharType="separate"/>
      </w:r>
      <w:r w:rsidR="00417F53" w:rsidRPr="0068182D">
        <w:rPr>
          <w:b/>
          <w:bCs/>
          <w:noProof/>
        </w:rPr>
        <w:t>2</w:t>
      </w:r>
      <w:r w:rsidRPr="0068182D">
        <w:rPr>
          <w:b/>
          <w:bCs/>
        </w:rPr>
        <w:fldChar w:fldCharType="end"/>
      </w:r>
      <w:r w:rsidR="0068182D" w:rsidRPr="0068182D">
        <w:rPr>
          <w:b/>
          <w:bCs/>
        </w:rPr>
        <w:t xml:space="preserve">. </w:t>
      </w:r>
      <w:r w:rsidR="002C44B4" w:rsidRPr="002C44B4">
        <w:rPr>
          <w:b/>
          <w:bCs/>
        </w:rPr>
        <w:t>Clinical variable univariable Cox screening results</w:t>
      </w:r>
      <w:r w:rsidR="0068182D" w:rsidRPr="0068182D">
        <w:rPr>
          <w:b/>
          <w:bCs/>
        </w:rPr>
        <w:t>.</w:t>
      </w:r>
      <w:r w:rsidR="0068182D">
        <w:br/>
      </w:r>
      <w:r w:rsidR="002C44B4" w:rsidRPr="002C44B4">
        <w:t xml:space="preserve">Negative base-10 logarithmic plot of Benjamini-Hochberg adjusted p-values for </w:t>
      </w:r>
      <w:r w:rsidR="001E0610">
        <w:t xml:space="preserve">twelve </w:t>
      </w:r>
      <w:r w:rsidR="002C44B4" w:rsidRPr="002C44B4">
        <w:t xml:space="preserve">screened clinical and molecular markers </w:t>
      </w:r>
      <w:r w:rsidR="00481902" w:rsidRPr="00481902">
        <w:t xml:space="preserve">(screened in up to </w:t>
      </w:r>
      <w:r w:rsidR="00EE3504">
        <w:t>n</w:t>
      </w:r>
      <w:r w:rsidR="00481902" w:rsidRPr="00481902">
        <w:t xml:space="preserve"> = 512 patients)</w:t>
      </w:r>
      <w:r w:rsidR="002C44B4" w:rsidRPr="002C44B4">
        <w:t xml:space="preserve">. The vertical dashed line denotes the </w:t>
      </w:r>
      <w:proofErr w:type="spellStart"/>
      <w:r w:rsidR="002C44B4" w:rsidRPr="002C44B4">
        <w:t>p</w:t>
      </w:r>
      <w:r w:rsidR="002C44B4" w:rsidRPr="00481902">
        <w:rPr>
          <w:vertAlign w:val="subscript"/>
        </w:rPr>
        <w:t>adj</w:t>
      </w:r>
      <w:proofErr w:type="spellEnd"/>
      <w:r w:rsidR="002C44B4" w:rsidRPr="002C44B4">
        <w:t xml:space="preserve"> = 0.05 threshold. Red data points isolate the seven features with significant univariable prognostic value</w:t>
      </w:r>
      <w:r w:rsidR="0068182D">
        <w:t>.</w:t>
      </w:r>
    </w:p>
    <w:p w14:paraId="44F2C3EC" w14:textId="34B32D12" w:rsidR="00E23FB9" w:rsidRDefault="00B34ADB" w:rsidP="00E23FB9">
      <w:r>
        <w:br/>
      </w:r>
      <w:r w:rsidR="00E23FB9" w:rsidRPr="00150AFE">
        <w:t>(Stage IV vs Stage I: HR = 4.98, 95% CI 3.15–7.89, p = 7.80 × 10</w:t>
      </w:r>
      <w:r w:rsidR="00E23FB9" w:rsidRPr="00150AFE">
        <w:rPr>
          <w:rFonts w:ascii="Cambria Math" w:hAnsi="Cambria Math" w:cs="Cambria Math"/>
        </w:rPr>
        <w:t>⁻</w:t>
      </w:r>
      <w:r w:rsidR="00E23FB9" w:rsidRPr="00150AFE">
        <w:t xml:space="preserve">¹²) and </w:t>
      </w:r>
      <w:r w:rsidR="00E23FB9">
        <w:t xml:space="preserve">TBL </w:t>
      </w:r>
      <w:r w:rsidR="00E23FB9" w:rsidRPr="00150AFE">
        <w:t>score (HR = 1.01 per unit, p = 4.30 × 10</w:t>
      </w:r>
      <w:r w:rsidR="00E23FB9" w:rsidRPr="00150AFE">
        <w:rPr>
          <w:rFonts w:ascii="Cambria Math" w:hAnsi="Cambria Math" w:cs="Cambria Math"/>
        </w:rPr>
        <w:t>⁻</w:t>
      </w:r>
      <w:r w:rsidR="00E23FB9" w:rsidRPr="00150AFE">
        <w:t>⁷). Kaplan-Meier curves for all four selected clinical variables are presented in Figures 3–6.</w:t>
      </w:r>
    </w:p>
    <w:p w14:paraId="31196913" w14:textId="77777777" w:rsidR="00443B53" w:rsidRDefault="00443B53" w:rsidP="00E23FB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e 1. Clinical univariable Cox screening results (selected variables only)"/>
      </w:tblPr>
      <w:tblGrid>
        <w:gridCol w:w="1502"/>
        <w:gridCol w:w="1502"/>
        <w:gridCol w:w="1503"/>
        <w:gridCol w:w="1503"/>
        <w:gridCol w:w="1503"/>
        <w:gridCol w:w="1503"/>
      </w:tblGrid>
      <w:tr w:rsidR="00706259" w:rsidRPr="00861B1F" w14:paraId="5287CBDF" w14:textId="77777777" w:rsidTr="00861B1F">
        <w:tc>
          <w:tcPr>
            <w:tcW w:w="1502" w:type="dxa"/>
            <w:tcBorders>
              <w:bottom w:val="single" w:sz="4" w:space="0" w:color="auto"/>
            </w:tcBorders>
          </w:tcPr>
          <w:p w14:paraId="6035C598" w14:textId="38ED9BCB" w:rsidR="00706259" w:rsidRPr="00861B1F" w:rsidRDefault="00706259" w:rsidP="003F394E">
            <w:pPr>
              <w:keepNext/>
              <w:spacing w:after="0"/>
              <w:rPr>
                <w:b/>
                <w:bCs/>
              </w:rPr>
            </w:pPr>
            <w:r w:rsidRPr="00861B1F">
              <w:rPr>
                <w:b/>
                <w:bCs/>
              </w:rPr>
              <w:t>Variable</w:t>
            </w:r>
          </w:p>
        </w:tc>
        <w:tc>
          <w:tcPr>
            <w:tcW w:w="1502" w:type="dxa"/>
            <w:tcBorders>
              <w:bottom w:val="single" w:sz="4" w:space="0" w:color="auto"/>
            </w:tcBorders>
          </w:tcPr>
          <w:p w14:paraId="09EA3C67" w14:textId="0D82B2F5" w:rsidR="00706259" w:rsidRPr="00861B1F" w:rsidRDefault="00706259" w:rsidP="003F394E">
            <w:pPr>
              <w:keepNext/>
              <w:spacing w:after="0"/>
              <w:rPr>
                <w:b/>
                <w:bCs/>
              </w:rPr>
            </w:pPr>
            <w:r w:rsidRPr="00861B1F">
              <w:rPr>
                <w:b/>
                <w:bCs/>
              </w:rPr>
              <w:t>Type</w:t>
            </w:r>
          </w:p>
        </w:tc>
        <w:tc>
          <w:tcPr>
            <w:tcW w:w="1503" w:type="dxa"/>
            <w:tcBorders>
              <w:bottom w:val="single" w:sz="4" w:space="0" w:color="auto"/>
            </w:tcBorders>
          </w:tcPr>
          <w:p w14:paraId="7A1BE945" w14:textId="6A181C0C" w:rsidR="00706259" w:rsidRPr="00861B1F" w:rsidRDefault="00706259" w:rsidP="003F394E">
            <w:pPr>
              <w:keepNext/>
              <w:spacing w:after="0"/>
              <w:jc w:val="center"/>
              <w:rPr>
                <w:b/>
                <w:bCs/>
              </w:rPr>
            </w:pPr>
            <w:r w:rsidRPr="00861B1F">
              <w:rPr>
                <w:b/>
                <w:bCs/>
              </w:rPr>
              <w:t>N</w:t>
            </w:r>
          </w:p>
        </w:tc>
        <w:tc>
          <w:tcPr>
            <w:tcW w:w="1503" w:type="dxa"/>
            <w:tcBorders>
              <w:bottom w:val="single" w:sz="4" w:space="0" w:color="auto"/>
            </w:tcBorders>
          </w:tcPr>
          <w:p w14:paraId="1BD10291" w14:textId="4FE7C7DB" w:rsidR="00706259" w:rsidRPr="00861B1F" w:rsidRDefault="00706259" w:rsidP="003F394E">
            <w:pPr>
              <w:keepNext/>
              <w:spacing w:after="0"/>
              <w:jc w:val="center"/>
              <w:rPr>
                <w:b/>
                <w:bCs/>
              </w:rPr>
            </w:pPr>
            <w:r w:rsidRPr="00861B1F">
              <w:rPr>
                <w:b/>
                <w:bCs/>
              </w:rPr>
              <w:t>Events</w:t>
            </w:r>
          </w:p>
        </w:tc>
        <w:tc>
          <w:tcPr>
            <w:tcW w:w="1503" w:type="dxa"/>
            <w:tcBorders>
              <w:bottom w:val="single" w:sz="4" w:space="0" w:color="auto"/>
            </w:tcBorders>
          </w:tcPr>
          <w:p w14:paraId="3C5C29F3" w14:textId="5809205D" w:rsidR="00706259" w:rsidRPr="00861B1F" w:rsidRDefault="00706259" w:rsidP="003F394E">
            <w:pPr>
              <w:keepNext/>
              <w:spacing w:after="0"/>
              <w:jc w:val="center"/>
              <w:rPr>
                <w:b/>
                <w:bCs/>
              </w:rPr>
            </w:pPr>
            <w:r w:rsidRPr="00861B1F">
              <w:rPr>
                <w:b/>
                <w:bCs/>
              </w:rPr>
              <w:t>p-value</w:t>
            </w:r>
          </w:p>
        </w:tc>
        <w:tc>
          <w:tcPr>
            <w:tcW w:w="1503" w:type="dxa"/>
            <w:tcBorders>
              <w:bottom w:val="single" w:sz="4" w:space="0" w:color="auto"/>
            </w:tcBorders>
          </w:tcPr>
          <w:p w14:paraId="36C22EBD" w14:textId="61FFD448" w:rsidR="00706259" w:rsidRPr="00861B1F" w:rsidRDefault="00706259" w:rsidP="003F394E">
            <w:pPr>
              <w:keepNext/>
              <w:spacing w:after="0"/>
              <w:jc w:val="center"/>
              <w:rPr>
                <w:b/>
                <w:bCs/>
              </w:rPr>
            </w:pPr>
            <w:r w:rsidRPr="00861B1F">
              <w:rPr>
                <w:b/>
                <w:bCs/>
              </w:rPr>
              <w:t>BH p-value</w:t>
            </w:r>
          </w:p>
        </w:tc>
      </w:tr>
      <w:tr w:rsidR="00706259" w14:paraId="417D4321" w14:textId="77777777" w:rsidTr="00861B1F">
        <w:tc>
          <w:tcPr>
            <w:tcW w:w="1502" w:type="dxa"/>
            <w:tcBorders>
              <w:top w:val="single" w:sz="4" w:space="0" w:color="auto"/>
            </w:tcBorders>
          </w:tcPr>
          <w:p w14:paraId="3EA5013B" w14:textId="3B16438C" w:rsidR="00706259" w:rsidRDefault="00861B1F" w:rsidP="003F394E">
            <w:pPr>
              <w:keepNext/>
              <w:spacing w:after="0"/>
            </w:pPr>
            <w:r>
              <w:t>s</w:t>
            </w:r>
            <w:r w:rsidR="00706259">
              <w:t>tage</w:t>
            </w:r>
          </w:p>
        </w:tc>
        <w:tc>
          <w:tcPr>
            <w:tcW w:w="1502" w:type="dxa"/>
            <w:tcBorders>
              <w:top w:val="single" w:sz="4" w:space="0" w:color="auto"/>
            </w:tcBorders>
          </w:tcPr>
          <w:p w14:paraId="5B2CF864" w14:textId="55B6DF04" w:rsidR="00706259" w:rsidRDefault="00706259" w:rsidP="003F394E">
            <w:pPr>
              <w:keepNext/>
              <w:spacing w:after="0"/>
            </w:pPr>
            <w:r>
              <w:t>factor</w:t>
            </w:r>
          </w:p>
        </w:tc>
        <w:tc>
          <w:tcPr>
            <w:tcW w:w="1503" w:type="dxa"/>
            <w:tcBorders>
              <w:top w:val="single" w:sz="4" w:space="0" w:color="auto"/>
            </w:tcBorders>
          </w:tcPr>
          <w:p w14:paraId="67420ADD" w14:textId="0A97902F" w:rsidR="00706259" w:rsidRDefault="00861B1F" w:rsidP="003F394E">
            <w:pPr>
              <w:keepNext/>
              <w:spacing w:after="0"/>
              <w:jc w:val="center"/>
            </w:pPr>
            <w:r>
              <w:t>512</w:t>
            </w:r>
          </w:p>
        </w:tc>
        <w:tc>
          <w:tcPr>
            <w:tcW w:w="1503" w:type="dxa"/>
            <w:tcBorders>
              <w:top w:val="single" w:sz="4" w:space="0" w:color="auto"/>
            </w:tcBorders>
          </w:tcPr>
          <w:p w14:paraId="6BA7A7C2" w14:textId="5BBAFCF3" w:rsidR="00706259" w:rsidRDefault="00861B1F" w:rsidP="003F394E">
            <w:pPr>
              <w:keepNext/>
              <w:spacing w:after="0"/>
              <w:jc w:val="center"/>
            </w:pPr>
            <w:r>
              <w:t>170</w:t>
            </w:r>
          </w:p>
        </w:tc>
        <w:tc>
          <w:tcPr>
            <w:tcW w:w="1503" w:type="dxa"/>
            <w:tcBorders>
              <w:top w:val="single" w:sz="4" w:space="0" w:color="auto"/>
            </w:tcBorders>
          </w:tcPr>
          <w:p w14:paraId="19DBB7C3" w14:textId="08EC7A1C" w:rsidR="00706259" w:rsidRDefault="00861B1F" w:rsidP="003F394E">
            <w:pPr>
              <w:keepNext/>
              <w:spacing w:after="0"/>
              <w:jc w:val="center"/>
            </w:pPr>
            <w:r w:rsidRPr="00150AFE">
              <w:t>1.12 × 10</w:t>
            </w:r>
            <w:r w:rsidRPr="00150AFE">
              <w:rPr>
                <w:rFonts w:ascii="Cambria Math" w:hAnsi="Cambria Math" w:cs="Cambria Math"/>
              </w:rPr>
              <w:t>⁻</w:t>
            </w:r>
            <w:r w:rsidRPr="00150AFE">
              <w:t>²¹</w:t>
            </w:r>
          </w:p>
        </w:tc>
        <w:tc>
          <w:tcPr>
            <w:tcW w:w="1503" w:type="dxa"/>
            <w:tcBorders>
              <w:top w:val="single" w:sz="4" w:space="0" w:color="auto"/>
            </w:tcBorders>
          </w:tcPr>
          <w:p w14:paraId="1D25781A" w14:textId="560806AF" w:rsidR="00706259" w:rsidRDefault="00861B1F" w:rsidP="003F394E">
            <w:pPr>
              <w:keepNext/>
              <w:spacing w:after="0"/>
              <w:jc w:val="center"/>
            </w:pPr>
            <w:r w:rsidRPr="00150AFE">
              <w:t>1.34 × 10</w:t>
            </w:r>
            <w:r w:rsidRPr="00150AFE">
              <w:rPr>
                <w:rFonts w:ascii="Cambria Math" w:hAnsi="Cambria Math" w:cs="Cambria Math"/>
              </w:rPr>
              <w:t>⁻</w:t>
            </w:r>
            <w:r w:rsidRPr="00150AFE">
              <w:t>²⁰</w:t>
            </w:r>
          </w:p>
        </w:tc>
      </w:tr>
      <w:tr w:rsidR="00706259" w14:paraId="4EC4C30B" w14:textId="77777777" w:rsidTr="00861B1F">
        <w:tc>
          <w:tcPr>
            <w:tcW w:w="1502" w:type="dxa"/>
          </w:tcPr>
          <w:p w14:paraId="7D851FFA" w14:textId="7A6029FE" w:rsidR="00706259" w:rsidRDefault="00861B1F" w:rsidP="003F394E">
            <w:pPr>
              <w:keepNext/>
              <w:spacing w:after="0"/>
            </w:pPr>
            <w:r>
              <w:t>g</w:t>
            </w:r>
            <w:r w:rsidR="00706259">
              <w:t>rade</w:t>
            </w:r>
          </w:p>
        </w:tc>
        <w:tc>
          <w:tcPr>
            <w:tcW w:w="1502" w:type="dxa"/>
          </w:tcPr>
          <w:p w14:paraId="7728B599" w14:textId="64F5D150" w:rsidR="00706259" w:rsidRDefault="00706259" w:rsidP="003F394E">
            <w:pPr>
              <w:keepNext/>
              <w:spacing w:after="0"/>
            </w:pPr>
            <w:r>
              <w:t>factor</w:t>
            </w:r>
          </w:p>
        </w:tc>
        <w:tc>
          <w:tcPr>
            <w:tcW w:w="1503" w:type="dxa"/>
          </w:tcPr>
          <w:p w14:paraId="6FCBB17B" w14:textId="19302B23" w:rsidR="00706259" w:rsidRDefault="00861B1F" w:rsidP="003F394E">
            <w:pPr>
              <w:keepNext/>
              <w:spacing w:after="0"/>
              <w:jc w:val="center"/>
            </w:pPr>
            <w:r>
              <w:t>504</w:t>
            </w:r>
          </w:p>
        </w:tc>
        <w:tc>
          <w:tcPr>
            <w:tcW w:w="1503" w:type="dxa"/>
          </w:tcPr>
          <w:p w14:paraId="7464A21C" w14:textId="4DAF8DA1" w:rsidR="00706259" w:rsidRDefault="00861B1F" w:rsidP="003F394E">
            <w:pPr>
              <w:keepNext/>
              <w:spacing w:after="0"/>
              <w:jc w:val="center"/>
            </w:pPr>
            <w:r>
              <w:t>169</w:t>
            </w:r>
          </w:p>
        </w:tc>
        <w:tc>
          <w:tcPr>
            <w:tcW w:w="1503" w:type="dxa"/>
          </w:tcPr>
          <w:p w14:paraId="53ABF1B3" w14:textId="0994B8D5" w:rsidR="00706259" w:rsidRDefault="00861B1F" w:rsidP="003F394E">
            <w:pPr>
              <w:keepNext/>
              <w:spacing w:after="0"/>
              <w:jc w:val="center"/>
            </w:pPr>
            <w:r w:rsidRPr="00150AFE">
              <w:t>4.32 × 10</w:t>
            </w:r>
            <w:r w:rsidRPr="00150AFE">
              <w:rPr>
                <w:rFonts w:ascii="Cambria Math" w:hAnsi="Cambria Math" w:cs="Cambria Math"/>
              </w:rPr>
              <w:t>⁻</w:t>
            </w:r>
            <w:r w:rsidRPr="00150AFE">
              <w:t>¹⁵</w:t>
            </w:r>
          </w:p>
        </w:tc>
        <w:tc>
          <w:tcPr>
            <w:tcW w:w="1503" w:type="dxa"/>
          </w:tcPr>
          <w:p w14:paraId="06643EAA" w14:textId="16DC0E9A" w:rsidR="00706259" w:rsidRDefault="00861B1F" w:rsidP="003F394E">
            <w:pPr>
              <w:keepNext/>
              <w:spacing w:after="0"/>
              <w:jc w:val="center"/>
            </w:pPr>
            <w:r w:rsidRPr="00150AFE">
              <w:t>1.73 × 10</w:t>
            </w:r>
            <w:r w:rsidRPr="00150AFE">
              <w:rPr>
                <w:rFonts w:ascii="Cambria Math" w:hAnsi="Cambria Math" w:cs="Cambria Math"/>
              </w:rPr>
              <w:t>⁻</w:t>
            </w:r>
            <w:r w:rsidRPr="00150AFE">
              <w:t>¹⁴</w:t>
            </w:r>
          </w:p>
        </w:tc>
      </w:tr>
      <w:tr w:rsidR="00706259" w14:paraId="1B4DEC1B" w14:textId="77777777" w:rsidTr="00861B1F">
        <w:tc>
          <w:tcPr>
            <w:tcW w:w="1502" w:type="dxa"/>
          </w:tcPr>
          <w:p w14:paraId="6D7B5B2E" w14:textId="1BFB9339" w:rsidR="00706259" w:rsidRDefault="00861B1F" w:rsidP="003F394E">
            <w:pPr>
              <w:keepNext/>
              <w:spacing w:after="0"/>
            </w:pPr>
            <w:proofErr w:type="spellStart"/>
            <w:r w:rsidRPr="00150AFE">
              <w:t>tbl_score</w:t>
            </w:r>
            <w:proofErr w:type="spellEnd"/>
          </w:p>
        </w:tc>
        <w:tc>
          <w:tcPr>
            <w:tcW w:w="1502" w:type="dxa"/>
          </w:tcPr>
          <w:p w14:paraId="3065D9EA" w14:textId="41AB6594" w:rsidR="00706259" w:rsidRDefault="00861B1F" w:rsidP="003F394E">
            <w:pPr>
              <w:keepNext/>
              <w:spacing w:after="0"/>
            </w:pPr>
            <w:r>
              <w:t>numeric</w:t>
            </w:r>
          </w:p>
        </w:tc>
        <w:tc>
          <w:tcPr>
            <w:tcW w:w="1503" w:type="dxa"/>
          </w:tcPr>
          <w:p w14:paraId="4E65B68E" w14:textId="6380D913" w:rsidR="00706259" w:rsidRDefault="00861B1F" w:rsidP="003F394E">
            <w:pPr>
              <w:keepNext/>
              <w:spacing w:after="0"/>
              <w:jc w:val="center"/>
            </w:pPr>
            <w:r>
              <w:t>512</w:t>
            </w:r>
          </w:p>
        </w:tc>
        <w:tc>
          <w:tcPr>
            <w:tcW w:w="1503" w:type="dxa"/>
          </w:tcPr>
          <w:p w14:paraId="2F19498B" w14:textId="59275A3A" w:rsidR="00706259" w:rsidRDefault="00861B1F" w:rsidP="003F394E">
            <w:pPr>
              <w:keepNext/>
              <w:spacing w:after="0"/>
              <w:jc w:val="center"/>
            </w:pPr>
            <w:r>
              <w:t>170</w:t>
            </w:r>
          </w:p>
        </w:tc>
        <w:tc>
          <w:tcPr>
            <w:tcW w:w="1503" w:type="dxa"/>
          </w:tcPr>
          <w:p w14:paraId="782718CF" w14:textId="51002CA7" w:rsidR="00706259" w:rsidRDefault="00861B1F" w:rsidP="003F394E">
            <w:pPr>
              <w:keepNext/>
              <w:spacing w:after="0"/>
              <w:jc w:val="center"/>
            </w:pPr>
            <w:r w:rsidRPr="00150AFE">
              <w:t>1.54 × 10</w:t>
            </w:r>
            <w:r w:rsidRPr="00150AFE">
              <w:rPr>
                <w:rFonts w:ascii="Cambria Math" w:hAnsi="Cambria Math" w:cs="Cambria Math"/>
              </w:rPr>
              <w:t>⁻</w:t>
            </w:r>
            <w:r w:rsidRPr="00150AFE">
              <w:t>⁶</w:t>
            </w:r>
          </w:p>
        </w:tc>
        <w:tc>
          <w:tcPr>
            <w:tcW w:w="1503" w:type="dxa"/>
          </w:tcPr>
          <w:p w14:paraId="0EEFA9B3" w14:textId="0EBDE74D" w:rsidR="00706259" w:rsidRDefault="00861B1F" w:rsidP="003F394E">
            <w:pPr>
              <w:keepNext/>
              <w:spacing w:after="0"/>
              <w:jc w:val="center"/>
            </w:pPr>
            <w:r w:rsidRPr="00150AFE">
              <w:t>3.70 × 10</w:t>
            </w:r>
            <w:r w:rsidRPr="00150AFE">
              <w:rPr>
                <w:rFonts w:ascii="Cambria Math" w:hAnsi="Cambria Math" w:cs="Cambria Math"/>
              </w:rPr>
              <w:t>⁻</w:t>
            </w:r>
            <w:r w:rsidRPr="00150AFE">
              <w:t>⁶</w:t>
            </w:r>
          </w:p>
        </w:tc>
      </w:tr>
      <w:tr w:rsidR="00706259" w14:paraId="67269C9D" w14:textId="77777777" w:rsidTr="00861B1F">
        <w:tc>
          <w:tcPr>
            <w:tcW w:w="1502" w:type="dxa"/>
          </w:tcPr>
          <w:p w14:paraId="17678481" w14:textId="5843EA1D" w:rsidR="00706259" w:rsidRDefault="00861B1F" w:rsidP="003F394E">
            <w:pPr>
              <w:keepNext/>
              <w:spacing w:after="0"/>
            </w:pPr>
            <w:r>
              <w:t>age</w:t>
            </w:r>
          </w:p>
        </w:tc>
        <w:tc>
          <w:tcPr>
            <w:tcW w:w="1502" w:type="dxa"/>
          </w:tcPr>
          <w:p w14:paraId="79530148" w14:textId="3390F2DF" w:rsidR="00706259" w:rsidRDefault="00481902" w:rsidP="003F394E">
            <w:pPr>
              <w:keepNext/>
              <w:spacing w:after="0"/>
            </w:pPr>
            <w:r>
              <w:t>n</w:t>
            </w:r>
            <w:r w:rsidR="00861B1F">
              <w:t>umeric</w:t>
            </w:r>
          </w:p>
        </w:tc>
        <w:tc>
          <w:tcPr>
            <w:tcW w:w="1503" w:type="dxa"/>
          </w:tcPr>
          <w:p w14:paraId="00651EBF" w14:textId="56359BB5" w:rsidR="00706259" w:rsidRDefault="00861B1F" w:rsidP="003F394E">
            <w:pPr>
              <w:keepNext/>
              <w:spacing w:after="0"/>
              <w:jc w:val="center"/>
            </w:pPr>
            <w:r>
              <w:t>512</w:t>
            </w:r>
          </w:p>
        </w:tc>
        <w:tc>
          <w:tcPr>
            <w:tcW w:w="1503" w:type="dxa"/>
          </w:tcPr>
          <w:p w14:paraId="425934F7" w14:textId="51BD07A4" w:rsidR="00706259" w:rsidRDefault="00861B1F" w:rsidP="003F394E">
            <w:pPr>
              <w:keepNext/>
              <w:spacing w:after="0"/>
              <w:jc w:val="center"/>
            </w:pPr>
            <w:r>
              <w:t>170</w:t>
            </w:r>
          </w:p>
        </w:tc>
        <w:tc>
          <w:tcPr>
            <w:tcW w:w="1503" w:type="dxa"/>
          </w:tcPr>
          <w:p w14:paraId="7351CEAE" w14:textId="265F2647" w:rsidR="00706259" w:rsidRDefault="00861B1F" w:rsidP="003F394E">
            <w:pPr>
              <w:keepNext/>
              <w:spacing w:after="0"/>
              <w:jc w:val="center"/>
            </w:pPr>
            <w:r w:rsidRPr="00150AFE">
              <w:t>3.98 × 10</w:t>
            </w:r>
            <w:r w:rsidRPr="00150AFE">
              <w:rPr>
                <w:rFonts w:ascii="Cambria Math" w:hAnsi="Cambria Math" w:cs="Cambria Math"/>
              </w:rPr>
              <w:t>⁻</w:t>
            </w:r>
            <w:r w:rsidRPr="00150AFE">
              <w:t>⁶</w:t>
            </w:r>
          </w:p>
        </w:tc>
        <w:tc>
          <w:tcPr>
            <w:tcW w:w="1503" w:type="dxa"/>
          </w:tcPr>
          <w:p w14:paraId="2472E778" w14:textId="2B4C3934" w:rsidR="00706259" w:rsidRDefault="00861B1F" w:rsidP="003F394E">
            <w:pPr>
              <w:keepNext/>
              <w:spacing w:after="0"/>
              <w:jc w:val="center"/>
            </w:pPr>
            <w:r w:rsidRPr="00150AFE">
              <w:t>7.97 × 10</w:t>
            </w:r>
            <w:r w:rsidRPr="00150AFE">
              <w:rPr>
                <w:rFonts w:ascii="Cambria Math" w:hAnsi="Cambria Math" w:cs="Cambria Math"/>
              </w:rPr>
              <w:t>⁻</w:t>
            </w:r>
            <w:r w:rsidRPr="00150AFE">
              <w:t>⁶</w:t>
            </w:r>
          </w:p>
        </w:tc>
      </w:tr>
    </w:tbl>
    <w:p w14:paraId="52D5BCF1" w14:textId="789C7C3E" w:rsidR="008A35C5" w:rsidRPr="008A35C5" w:rsidRDefault="00861B1F" w:rsidP="008176B8">
      <w:pPr>
        <w:pStyle w:val="Caption"/>
      </w:pPr>
      <w:r w:rsidRPr="008A35C5">
        <w:rPr>
          <w:b/>
          <w:bCs/>
        </w:rPr>
        <w:t xml:space="preserve">Table </w:t>
      </w:r>
      <w:r w:rsidRPr="008A35C5">
        <w:rPr>
          <w:b/>
          <w:bCs/>
        </w:rPr>
        <w:fldChar w:fldCharType="begin"/>
      </w:r>
      <w:r w:rsidRPr="008A35C5">
        <w:rPr>
          <w:b/>
          <w:bCs/>
        </w:rPr>
        <w:instrText xml:space="preserve"> SEQ Table \* ARABIC </w:instrText>
      </w:r>
      <w:r w:rsidRPr="008A35C5">
        <w:rPr>
          <w:b/>
          <w:bCs/>
        </w:rPr>
        <w:fldChar w:fldCharType="separate"/>
      </w:r>
      <w:r w:rsidR="00417F53" w:rsidRPr="008A35C5">
        <w:rPr>
          <w:b/>
          <w:bCs/>
          <w:noProof/>
        </w:rPr>
        <w:t>1</w:t>
      </w:r>
      <w:r w:rsidRPr="008A35C5">
        <w:rPr>
          <w:b/>
          <w:bCs/>
        </w:rPr>
        <w:fldChar w:fldCharType="end"/>
      </w:r>
      <w:r w:rsidRPr="008A35C5">
        <w:rPr>
          <w:b/>
          <w:bCs/>
        </w:rPr>
        <w:t xml:space="preserve">. </w:t>
      </w:r>
      <w:r w:rsidR="002C44B4" w:rsidRPr="002C44B4">
        <w:rPr>
          <w:b/>
          <w:bCs/>
        </w:rPr>
        <w:t>Univariable Cox screening of baseline clinical features</w:t>
      </w:r>
      <w:r w:rsidR="008A35C5" w:rsidRPr="008A35C5">
        <w:rPr>
          <w:b/>
          <w:bCs/>
        </w:rPr>
        <w:t>.</w:t>
      </w:r>
      <w:r w:rsidR="008A35C5">
        <w:rPr>
          <w:b/>
          <w:bCs/>
        </w:rPr>
        <w:br/>
      </w:r>
      <w:r w:rsidR="002C44B4">
        <w:t>S</w:t>
      </w:r>
      <w:r w:rsidR="002C44B4" w:rsidRPr="002C44B4">
        <w:t xml:space="preserve">ummary of sample counts (N), primary death events, </w:t>
      </w:r>
      <w:r w:rsidR="00D607C0" w:rsidRPr="00D607C0">
        <w:t>unadjusted likelihood ratio test p-values</w:t>
      </w:r>
      <w:r w:rsidR="002C44B4" w:rsidRPr="002C44B4">
        <w:t>, and Benjamini-Hochberg (BH) adjusted p-values for the four selected features carried forward into downstream multi-omics modelling.</w:t>
      </w:r>
      <w:r w:rsidR="008A35C5" w:rsidRPr="008A35C5">
        <w:t xml:space="preserve"> </w:t>
      </w:r>
    </w:p>
    <w:p w14:paraId="73830C03" w14:textId="77777777" w:rsidR="003F394E" w:rsidRDefault="003F394E" w:rsidP="003F394E">
      <w:pPr>
        <w:keepNext/>
        <w:jc w:val="center"/>
      </w:pPr>
      <w:r>
        <w:rPr>
          <w:noProof/>
        </w:rPr>
        <w:lastRenderedPageBreak/>
        <w:drawing>
          <wp:inline distT="0" distB="0" distL="0" distR="0" wp14:anchorId="2603FE57" wp14:editId="3703D010">
            <wp:extent cx="4320000" cy="3358800"/>
            <wp:effectExtent l="0" t="0" r="4445" b="0"/>
            <wp:docPr id="556079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3358800"/>
                    </a:xfrm>
                    <a:prstGeom prst="rect">
                      <a:avLst/>
                    </a:prstGeom>
                    <a:noFill/>
                    <a:ln>
                      <a:noFill/>
                    </a:ln>
                  </pic:spPr>
                </pic:pic>
              </a:graphicData>
            </a:graphic>
          </wp:inline>
        </w:drawing>
      </w:r>
    </w:p>
    <w:p w14:paraId="64DE5333" w14:textId="1E212BA3" w:rsidR="00A94471" w:rsidRDefault="003F394E" w:rsidP="00A94471">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00417F53" w:rsidRPr="008A35C5">
        <w:rPr>
          <w:b/>
          <w:bCs/>
          <w:noProof/>
        </w:rPr>
        <w:t>3</w:t>
      </w:r>
      <w:r w:rsidRPr="008A35C5">
        <w:rPr>
          <w:b/>
          <w:bCs/>
        </w:rPr>
        <w:fldChar w:fldCharType="end"/>
      </w:r>
      <w:r w:rsidRPr="008A35C5">
        <w:rPr>
          <w:b/>
          <w:bCs/>
        </w:rPr>
        <w:t xml:space="preserve">. </w:t>
      </w:r>
      <w:r w:rsidR="002C44B4">
        <w:rPr>
          <w:b/>
          <w:bCs/>
        </w:rPr>
        <w:t>O</w:t>
      </w:r>
      <w:r w:rsidR="0068182D" w:rsidRPr="008A35C5">
        <w:rPr>
          <w:b/>
          <w:bCs/>
        </w:rPr>
        <w:t xml:space="preserve">verall survival stratified by </w:t>
      </w:r>
      <w:r w:rsidR="00FF649B" w:rsidRPr="00FF649B">
        <w:rPr>
          <w:b/>
          <w:bCs/>
        </w:rPr>
        <w:t>American Joint Committee on Cancer</w:t>
      </w:r>
      <w:r w:rsidR="00FF649B" w:rsidRPr="00FF649B">
        <w:rPr>
          <w:b/>
          <w:bCs/>
        </w:rPr>
        <w:t xml:space="preserve"> </w:t>
      </w:r>
      <w:r w:rsidR="00FF649B">
        <w:rPr>
          <w:b/>
          <w:bCs/>
        </w:rPr>
        <w:t xml:space="preserve">(AJCC) </w:t>
      </w:r>
      <w:r w:rsidR="0068182D" w:rsidRPr="008A35C5">
        <w:rPr>
          <w:b/>
          <w:bCs/>
        </w:rPr>
        <w:t>pathological stage.</w:t>
      </w:r>
      <w:r w:rsidR="0068182D">
        <w:br/>
      </w:r>
      <w:r w:rsidR="00A94471" w:rsidRPr="00A94471">
        <w:t>Kaplan–Meier estimations for Stage I (n = 214), Stage II (n = 44), Stage III (n = 112), and Stage IV (n = 80) cohorts. Inter-group survival differences are highly significant via log-rank test (p &lt; 0.0001).</w:t>
      </w:r>
    </w:p>
    <w:p w14:paraId="7DB08B94" w14:textId="77777777" w:rsidR="00E23FB9" w:rsidRPr="00E23FB9" w:rsidRDefault="00E23FB9" w:rsidP="00E23FB9"/>
    <w:p w14:paraId="68F69B30" w14:textId="71C670B2" w:rsidR="003F394E" w:rsidRDefault="003F394E" w:rsidP="002C44B4">
      <w:pPr>
        <w:pStyle w:val="Caption"/>
        <w:keepNext/>
      </w:pPr>
      <w:r>
        <w:rPr>
          <w:noProof/>
        </w:rPr>
        <w:drawing>
          <wp:inline distT="0" distB="0" distL="0" distR="0" wp14:anchorId="0EE58B65" wp14:editId="459317C6">
            <wp:extent cx="4320000" cy="3358800"/>
            <wp:effectExtent l="0" t="0" r="4445" b="0"/>
            <wp:docPr id="504273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0" cy="3358800"/>
                    </a:xfrm>
                    <a:prstGeom prst="rect">
                      <a:avLst/>
                    </a:prstGeom>
                    <a:noFill/>
                    <a:ln>
                      <a:noFill/>
                    </a:ln>
                  </pic:spPr>
                </pic:pic>
              </a:graphicData>
            </a:graphic>
          </wp:inline>
        </w:drawing>
      </w:r>
    </w:p>
    <w:p w14:paraId="69C63D7D" w14:textId="69A68A4F" w:rsidR="008A35C5" w:rsidRPr="008A35C5" w:rsidRDefault="003F394E" w:rsidP="008A35C5">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00417F53" w:rsidRPr="008A35C5">
        <w:rPr>
          <w:b/>
          <w:bCs/>
          <w:noProof/>
        </w:rPr>
        <w:t>4</w:t>
      </w:r>
      <w:r w:rsidRPr="008A35C5">
        <w:rPr>
          <w:b/>
          <w:bCs/>
        </w:rPr>
        <w:fldChar w:fldCharType="end"/>
      </w:r>
      <w:r w:rsidRPr="008A35C5">
        <w:rPr>
          <w:b/>
          <w:bCs/>
        </w:rPr>
        <w:t xml:space="preserve">. </w:t>
      </w:r>
      <w:r w:rsidR="002C44B4">
        <w:rPr>
          <w:b/>
          <w:bCs/>
        </w:rPr>
        <w:t>O</w:t>
      </w:r>
      <w:r w:rsidR="008A35C5" w:rsidRPr="008A35C5">
        <w:rPr>
          <w:b/>
          <w:bCs/>
        </w:rPr>
        <w:t>verall survival stratified by histological nuclear grade.</w:t>
      </w:r>
      <w:r w:rsidR="008A35C5">
        <w:rPr>
          <w:b/>
          <w:bCs/>
        </w:rPr>
        <w:br/>
      </w:r>
      <w:r w:rsidR="00A94471" w:rsidRPr="00A94471">
        <w:t xml:space="preserve">Cohort stratified by low-grade reference baseline </w:t>
      </w:r>
      <w:r w:rsidR="008A35C5" w:rsidRPr="008A35C5">
        <w:t>(G1/G2, n = 195) alongside high-grade cohorts G3 (n = 182) and G4 (n = 73). Inter-group survival differences are validated via log-rank test (p &lt; 0.0001).</w:t>
      </w:r>
    </w:p>
    <w:p w14:paraId="0262D6AF" w14:textId="77777777" w:rsidR="003F394E" w:rsidRDefault="003F394E" w:rsidP="003F394E">
      <w:pPr>
        <w:keepNext/>
        <w:jc w:val="center"/>
      </w:pPr>
      <w:r>
        <w:rPr>
          <w:noProof/>
        </w:rPr>
        <w:lastRenderedPageBreak/>
        <w:drawing>
          <wp:inline distT="0" distB="0" distL="0" distR="0" wp14:anchorId="767B81B1" wp14:editId="59524E4F">
            <wp:extent cx="4320000" cy="3358800"/>
            <wp:effectExtent l="0" t="0" r="4445" b="0"/>
            <wp:docPr id="878115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000" cy="3358800"/>
                    </a:xfrm>
                    <a:prstGeom prst="rect">
                      <a:avLst/>
                    </a:prstGeom>
                    <a:noFill/>
                    <a:ln>
                      <a:noFill/>
                    </a:ln>
                  </pic:spPr>
                </pic:pic>
              </a:graphicData>
            </a:graphic>
          </wp:inline>
        </w:drawing>
      </w:r>
    </w:p>
    <w:p w14:paraId="2F906A4B" w14:textId="63C39319" w:rsidR="008A35C5" w:rsidRDefault="003F394E" w:rsidP="008A35C5">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00417F53" w:rsidRPr="008A35C5">
        <w:rPr>
          <w:b/>
          <w:bCs/>
          <w:noProof/>
        </w:rPr>
        <w:t>5</w:t>
      </w:r>
      <w:r w:rsidRPr="008A35C5">
        <w:rPr>
          <w:b/>
          <w:bCs/>
        </w:rPr>
        <w:fldChar w:fldCharType="end"/>
      </w:r>
      <w:r w:rsidRPr="008A35C5">
        <w:rPr>
          <w:b/>
          <w:bCs/>
        </w:rPr>
        <w:t xml:space="preserve">. </w:t>
      </w:r>
      <w:r w:rsidR="0066351B" w:rsidRPr="0066351B">
        <w:rPr>
          <w:b/>
          <w:bCs/>
        </w:rPr>
        <w:t>Overall survival by tumour break load score (median split)</w:t>
      </w:r>
      <w:r w:rsidR="008A35C5" w:rsidRPr="008A35C5">
        <w:rPr>
          <w:b/>
          <w:bCs/>
        </w:rPr>
        <w:t>.</w:t>
      </w:r>
      <w:r w:rsidR="008A35C5">
        <w:rPr>
          <w:b/>
          <w:bCs/>
        </w:rPr>
        <w:br/>
      </w:r>
      <w:r w:rsidR="0066351B" w:rsidRPr="0066351B">
        <w:t>Kaplan–Meier estimations for Low (&lt;11 units, n = 216) and High (≥11 units, n = 234) genomic structural alteration cohorts. Inter-group survival divergence is statistically significant (log-rank p = 0.0073).</w:t>
      </w:r>
    </w:p>
    <w:p w14:paraId="6B64D1F2" w14:textId="77777777" w:rsidR="00E23FB9" w:rsidRPr="00E23FB9" w:rsidRDefault="00E23FB9" w:rsidP="00E23FB9"/>
    <w:p w14:paraId="306FFC7D" w14:textId="77777777" w:rsidR="003F394E" w:rsidRDefault="003F394E" w:rsidP="003F394E">
      <w:pPr>
        <w:keepNext/>
        <w:jc w:val="center"/>
      </w:pPr>
      <w:r>
        <w:rPr>
          <w:noProof/>
        </w:rPr>
        <w:drawing>
          <wp:inline distT="0" distB="0" distL="0" distR="0" wp14:anchorId="07DE056B" wp14:editId="7D51E191">
            <wp:extent cx="4320000" cy="3358800"/>
            <wp:effectExtent l="0" t="0" r="4445" b="0"/>
            <wp:docPr id="1459928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3358800"/>
                    </a:xfrm>
                    <a:prstGeom prst="rect">
                      <a:avLst/>
                    </a:prstGeom>
                    <a:noFill/>
                    <a:ln>
                      <a:noFill/>
                    </a:ln>
                  </pic:spPr>
                </pic:pic>
              </a:graphicData>
            </a:graphic>
          </wp:inline>
        </w:drawing>
      </w:r>
    </w:p>
    <w:p w14:paraId="074A9D08" w14:textId="2A1F58AD" w:rsidR="003F394E" w:rsidRPr="003F394E" w:rsidRDefault="003F394E" w:rsidP="003F394E">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00417F53" w:rsidRPr="008A35C5">
        <w:rPr>
          <w:b/>
          <w:bCs/>
          <w:noProof/>
        </w:rPr>
        <w:t>6</w:t>
      </w:r>
      <w:r w:rsidRPr="008A35C5">
        <w:rPr>
          <w:b/>
          <w:bCs/>
        </w:rPr>
        <w:fldChar w:fldCharType="end"/>
      </w:r>
      <w:r w:rsidRPr="008A35C5">
        <w:rPr>
          <w:b/>
          <w:bCs/>
        </w:rPr>
        <w:t xml:space="preserve">. </w:t>
      </w:r>
      <w:r w:rsidR="002C44B4" w:rsidRPr="002C44B4">
        <w:rPr>
          <w:b/>
          <w:bCs/>
        </w:rPr>
        <w:t>Overall survival by age at initial diagnosis (median split)</w:t>
      </w:r>
      <w:r w:rsidR="008A35C5" w:rsidRPr="008A35C5">
        <w:rPr>
          <w:b/>
          <w:bCs/>
        </w:rPr>
        <w:t>.</w:t>
      </w:r>
      <w:r w:rsidR="008A35C5">
        <w:br/>
      </w:r>
      <w:r w:rsidR="002C44B4" w:rsidRPr="002C44B4">
        <w:t>Kaplan–Meier estimations for Younger (&lt;60 years, n = 210) and Older (≥60 years, n = 240) patient cohorts. Inter-group survival divergence is highly significant (log-rank p &lt; 0.0001).</w:t>
      </w:r>
    </w:p>
    <w:p w14:paraId="77041665" w14:textId="46214CEF" w:rsidR="00B82FDC" w:rsidRPr="00150AFE" w:rsidRDefault="00B82FDC" w:rsidP="00B82FDC">
      <w:r w:rsidRPr="00150AFE">
        <w:lastRenderedPageBreak/>
        <w:t xml:space="preserve">The proportional hazards assumption was assessed using Schoenfeld residuals. Stage showed evidence of non-proportionality (χ² = 15.19, </w:t>
      </w:r>
      <w:proofErr w:type="spellStart"/>
      <w:r w:rsidRPr="00150AFE">
        <w:t>df</w:t>
      </w:r>
      <w:proofErr w:type="spellEnd"/>
      <w:r w:rsidRPr="00150AFE">
        <w:t xml:space="preserve"> = 3, p = 0.0017), consistent with the published literature describing time-varying stage effects in solid tumours whereby the survival advantage of lower-stage disease attenuates as late relapses and competing risks accumulate</w:t>
      </w:r>
      <w:r w:rsidR="000E5898" w:rsidRPr="000E5898">
        <w:rPr>
          <w:vertAlign w:val="superscript"/>
        </w:rPr>
        <w:t>9</w:t>
      </w:r>
      <w:r w:rsidRPr="00150AFE">
        <w:t xml:space="preserve">. </w:t>
      </w:r>
      <w:r w:rsidR="005D312B">
        <w:t>TBL</w:t>
      </w:r>
      <w:r w:rsidRPr="00150AFE">
        <w:t xml:space="preserve"> score also showed borderline non-proportionality (p = 0.049). These violations are acknowledged as limitations of the Cox model framework applied here; time-varying coefficient models were considered beyond the scope of this analysis.</w:t>
      </w:r>
    </w:p>
    <w:p w14:paraId="017987DB" w14:textId="3DCAC52C" w:rsidR="00B82FDC" w:rsidRPr="00150AFE" w:rsidRDefault="00B82FDC" w:rsidP="00D27C42">
      <w:pPr>
        <w:pStyle w:val="Heading3"/>
      </w:pPr>
      <w:r w:rsidRPr="00150AFE">
        <w:t>2.</w:t>
      </w:r>
      <w:r w:rsidR="00C416FC">
        <w:t>2</w:t>
      </w:r>
      <w:r w:rsidRPr="00150AFE">
        <w:t xml:space="preserve"> RPPA Proteomics Feature Selection</w:t>
      </w:r>
    </w:p>
    <w:p w14:paraId="57E12A21" w14:textId="36BF871C" w:rsidR="00B82FDC" w:rsidRPr="00150AFE" w:rsidRDefault="00B82FDC" w:rsidP="00B82FDC">
      <w:r w:rsidRPr="00150AFE">
        <w:t>The RPPA dataset comprised 198 protein features across 455 samples with 3.5% missing values. All 198 features were evaluated by univariable Cox regression, yielding 195 features with sufficient complete cases and variance for screening. The top univariable proteomic predictors included CDKN1A/p21 (</w:t>
      </w:r>
      <w:proofErr w:type="spellStart"/>
      <w:r w:rsidR="0068182D" w:rsidRPr="00150AFE">
        <w:t>p</w:t>
      </w:r>
      <w:r w:rsidR="0068182D" w:rsidRPr="0068182D">
        <w:rPr>
          <w:vertAlign w:val="subscript"/>
        </w:rPr>
        <w:t>adj</w:t>
      </w:r>
      <w:proofErr w:type="spellEnd"/>
      <w:r w:rsidR="0068182D" w:rsidRPr="00150AFE">
        <w:t xml:space="preserve"> </w:t>
      </w:r>
      <w:r w:rsidRPr="00150AFE">
        <w:t>= 3.26 × 10</w:t>
      </w:r>
      <w:r w:rsidRPr="00150AFE">
        <w:rPr>
          <w:rFonts w:ascii="Cambria Math" w:hAnsi="Cambria Math" w:cs="Cambria Math"/>
        </w:rPr>
        <w:t>⁻</w:t>
      </w:r>
      <w:r w:rsidRPr="00150AFE">
        <w:t>⁸), GAB2 (</w:t>
      </w:r>
      <w:proofErr w:type="spellStart"/>
      <w:r w:rsidR="0068182D" w:rsidRPr="00150AFE">
        <w:t>p</w:t>
      </w:r>
      <w:r w:rsidR="0068182D" w:rsidRPr="0068182D">
        <w:rPr>
          <w:vertAlign w:val="subscript"/>
        </w:rPr>
        <w:t>adj</w:t>
      </w:r>
      <w:proofErr w:type="spellEnd"/>
      <w:r w:rsidR="0068182D" w:rsidRPr="00150AFE">
        <w:t xml:space="preserve"> </w:t>
      </w:r>
      <w:r w:rsidRPr="00150AFE">
        <w:t>= 3.26 × 10</w:t>
      </w:r>
      <w:r w:rsidRPr="00150AFE">
        <w:rPr>
          <w:rFonts w:ascii="Cambria Math" w:hAnsi="Cambria Math" w:cs="Cambria Math"/>
        </w:rPr>
        <w:t>⁻</w:t>
      </w:r>
      <w:r w:rsidRPr="00150AFE">
        <w:t>⁸), SERPINE1/PAI-1 (</w:t>
      </w:r>
      <w:proofErr w:type="spellStart"/>
      <w:r w:rsidR="0068182D" w:rsidRPr="00150AFE">
        <w:t>p</w:t>
      </w:r>
      <w:r w:rsidR="0068182D" w:rsidRPr="0068182D">
        <w:rPr>
          <w:vertAlign w:val="subscript"/>
        </w:rPr>
        <w:t>adj</w:t>
      </w:r>
      <w:proofErr w:type="spellEnd"/>
      <w:r w:rsidR="0068182D" w:rsidRPr="00150AFE">
        <w:t xml:space="preserve"> </w:t>
      </w:r>
      <w:r w:rsidRPr="00150AFE">
        <w:t>= 3.26 × 10</w:t>
      </w:r>
      <w:r w:rsidRPr="00150AFE">
        <w:rPr>
          <w:rFonts w:ascii="Cambria Math" w:hAnsi="Cambria Math" w:cs="Cambria Math"/>
        </w:rPr>
        <w:t>⁻</w:t>
      </w:r>
      <w:r w:rsidRPr="00150AFE">
        <w:t>⁸), and phosphorylated MAPK/ERK (</w:t>
      </w:r>
      <w:proofErr w:type="spellStart"/>
      <w:r w:rsidR="0068182D" w:rsidRPr="00150AFE">
        <w:t>p</w:t>
      </w:r>
      <w:r w:rsidR="0068182D" w:rsidRPr="0068182D">
        <w:rPr>
          <w:vertAlign w:val="subscript"/>
        </w:rPr>
        <w:t>adj</w:t>
      </w:r>
      <w:proofErr w:type="spellEnd"/>
      <w:r w:rsidR="0068182D" w:rsidRPr="00150AFE">
        <w:t xml:space="preserve"> </w:t>
      </w:r>
      <w:r w:rsidRPr="00150AFE">
        <w:t>= 1.53 × 10</w:t>
      </w:r>
      <w:r w:rsidRPr="00150AFE">
        <w:rPr>
          <w:rFonts w:ascii="Cambria Math" w:hAnsi="Cambria Math" w:cs="Cambria Math"/>
        </w:rPr>
        <w:t>⁻</w:t>
      </w:r>
      <w:r w:rsidRPr="00150AFE">
        <w:t xml:space="preserve">⁷), all of which are components of the EGFR/MAPK/ERK and PI3K/AKT signalling axes relevant to the kinase biology of </w:t>
      </w:r>
      <w:proofErr w:type="spellStart"/>
      <w:r w:rsidRPr="00150AFE">
        <w:t>ccRCC</w:t>
      </w:r>
      <w:proofErr w:type="spellEnd"/>
      <w:r w:rsidRPr="00150AFE">
        <w:t>.</w:t>
      </w:r>
    </w:p>
    <w:p w14:paraId="48D66F73" w14:textId="79373A01" w:rsidR="00B82FDC" w:rsidRDefault="00B82FDC" w:rsidP="003F394E">
      <w:pPr>
        <w:spacing w:after="120"/>
      </w:pPr>
      <w:r w:rsidRPr="00150AFE">
        <w:t xml:space="preserve">To select a sparse protein feature set for multivariable modelling, a cross-validated </w:t>
      </w:r>
      <w:r w:rsidRPr="000972D6">
        <w:rPr>
          <w:i/>
          <w:iCs/>
        </w:rPr>
        <w:t>LASSO</w:t>
      </w:r>
      <w:r w:rsidRPr="00150AFE">
        <w:t xml:space="preserve"> Cox regression was applied to the top 30 univariable proteins. The </w:t>
      </w:r>
      <w:r w:rsidRPr="000972D6">
        <w:rPr>
          <w:i/>
          <w:iCs/>
        </w:rPr>
        <w:t>LASSO</w:t>
      </w:r>
      <w:r w:rsidRPr="00150AFE">
        <w:t xml:space="preserve"> was performed at </w:t>
      </w:r>
      <w:proofErr w:type="spellStart"/>
      <w:r w:rsidRPr="00150AFE">
        <w:t>lambda.min</w:t>
      </w:r>
      <w:proofErr w:type="spellEnd"/>
      <w:r w:rsidRPr="00150AFE">
        <w:t xml:space="preserve"> following reversion from lambda.1se, and the resulting selection was capped at ten proteins to maintain an adequate events-per-variable ratio given 158 events</w:t>
      </w:r>
      <w:r w:rsidR="003F394E">
        <w:t>.</w:t>
      </w:r>
    </w:p>
    <w:p w14:paraId="3C41356D" w14:textId="0CDD8F68" w:rsidR="00B82FDC" w:rsidRPr="00D27C42" w:rsidRDefault="00B82FDC" w:rsidP="00D27C42">
      <w:pPr>
        <w:pStyle w:val="Heading3"/>
      </w:pPr>
      <w:r w:rsidRPr="00D27C42">
        <w:t>2.</w:t>
      </w:r>
      <w:r w:rsidR="00F35C6E">
        <w:t>3</w:t>
      </w:r>
      <w:r w:rsidRPr="00D27C42">
        <w:t xml:space="preserve"> RNA-</w:t>
      </w:r>
      <w:proofErr w:type="spellStart"/>
      <w:r w:rsidRPr="00D27C42">
        <w:t>seq</w:t>
      </w:r>
      <w:proofErr w:type="spellEnd"/>
      <w:r w:rsidRPr="00D27C42">
        <w:t xml:space="preserve"> Pathway Score Construction</w:t>
      </w:r>
    </w:p>
    <w:p w14:paraId="4783F02E" w14:textId="6168D0EF" w:rsidR="00B82FDC" w:rsidRDefault="00B82FDC" w:rsidP="00B82FDC">
      <w:r w:rsidRPr="00150AFE">
        <w:t>RNA-</w:t>
      </w:r>
      <w:proofErr w:type="spellStart"/>
      <w:r w:rsidRPr="00150AFE">
        <w:t>seq</w:t>
      </w:r>
      <w:proofErr w:type="spellEnd"/>
      <w:r w:rsidRPr="00150AFE">
        <w:t xml:space="preserve"> expression data comprised 20,531 genes across 511 samples. A knowledge-driven gene set was constructed by querying eight targeted</w:t>
      </w:r>
      <w:r w:rsidR="00872381">
        <w:t xml:space="preserve"> Molecular Signatures Database (</w:t>
      </w:r>
      <w:proofErr w:type="spellStart"/>
      <w:r w:rsidRPr="00150AFE">
        <w:t>MSigDB</w:t>
      </w:r>
      <w:proofErr w:type="spellEnd"/>
      <w:r w:rsidR="00872381">
        <w:t>)</w:t>
      </w:r>
      <w:r w:rsidRPr="00150AFE">
        <w:t xml:space="preserve"> signatures spanning two biological themes relevant to </w:t>
      </w:r>
      <w:proofErr w:type="spellStart"/>
      <w:r w:rsidRPr="00150AFE">
        <w:t>ccRCC</w:t>
      </w:r>
      <w:proofErr w:type="spellEnd"/>
      <w:r w:rsidRPr="00150AFE">
        <w:t xml:space="preserve">: inflammatory invasion (neutrophil degranulation, neutrophil activation, inflammatory response, hallmark inflammation, ECM remodelling, metalloprotease activity) and kinase signalling (kinase activity, kinase signalling). These themes were selected </w:t>
      </w:r>
      <w:r w:rsidR="00A926F0">
        <w:t xml:space="preserve">because of </w:t>
      </w:r>
      <w:r w:rsidRPr="00150AFE">
        <w:t>the established biology of VHL-driven hypoxia, immune infiltration, and ECM remodelling in ccRCC</w:t>
      </w:r>
      <w:r w:rsidR="000E5898" w:rsidRPr="000E5898">
        <w:rPr>
          <w:vertAlign w:val="superscript"/>
        </w:rPr>
        <w:t>2–4,10</w:t>
      </w:r>
      <w:r w:rsidRPr="00150AFE">
        <w:t xml:space="preserve">. </w:t>
      </w:r>
      <w:r w:rsidR="00C416FC" w:rsidRPr="00C416FC">
        <w:t xml:space="preserve">To track the molecular networks of </w:t>
      </w:r>
      <w:proofErr w:type="spellStart"/>
      <w:r w:rsidR="004D227B">
        <w:t>ccRCC</w:t>
      </w:r>
      <w:proofErr w:type="spellEnd"/>
      <w:r w:rsidR="00C416FC" w:rsidRPr="00C416FC">
        <w:t xml:space="preserve">, eight targeted </w:t>
      </w:r>
      <w:proofErr w:type="spellStart"/>
      <w:r w:rsidR="00C416FC" w:rsidRPr="00C416FC">
        <w:t>MSigDB</w:t>
      </w:r>
      <w:proofErr w:type="spellEnd"/>
      <w:r w:rsidR="00C416FC" w:rsidRPr="00C416FC">
        <w:t xml:space="preserve"> immune and kinase inflammation signatures were compiled (Table 2), yielding 3,923 clean, post-</w:t>
      </w:r>
      <w:r w:rsidR="00FF649B">
        <w:t>quality control</w:t>
      </w:r>
      <w:r w:rsidR="00C416FC" w:rsidRPr="00C416FC">
        <w:t xml:space="preserve"> transcripts.</w:t>
      </w:r>
    </w:p>
    <w:p w14:paraId="69353774" w14:textId="721EFC01" w:rsidR="00A81C62" w:rsidRDefault="007938F7" w:rsidP="00B82FDC">
      <w:r w:rsidRPr="00150AFE">
        <w:lastRenderedPageBreak/>
        <w:t>In parallel, an unbiased data-driven screen was conducted by fitting univariable Cox models across all 20,531 genes.</w:t>
      </w:r>
      <w:r>
        <w:t xml:space="preserve"> </w:t>
      </w:r>
      <w:r w:rsidRPr="00150AFE">
        <w:t xml:space="preserve">The </w:t>
      </w:r>
      <w:r>
        <w:t>twenty</w:t>
      </w:r>
      <w:r w:rsidRPr="00150AFE">
        <w:t xml:space="preserve"> genes most strongly associated with survival by</w:t>
      </w:r>
      <w:r w:rsidR="00E23FB9">
        <w:t xml:space="preserve"> raw </w:t>
      </w:r>
      <w:r w:rsidR="00B82FDC" w:rsidRPr="00150AFE">
        <w:t>p-value were identified and their joint</w:t>
      </w:r>
      <w:r w:rsidR="00A926F0">
        <w:t xml:space="preserve"> first princi</w:t>
      </w:r>
      <w:r w:rsidR="004D227B">
        <w:t>pal</w:t>
      </w:r>
      <w:r w:rsidR="00A926F0">
        <w:t xml:space="preserve"> component (</w:t>
      </w:r>
      <w:r w:rsidR="00B82FDC" w:rsidRPr="00150AFE">
        <w:t>PC1</w:t>
      </w:r>
      <w:r w:rsidR="00A926F0">
        <w:t>)</w:t>
      </w:r>
      <w:r w:rsidR="00B82FDC" w:rsidRPr="00150AFE">
        <w:t xml:space="preserve"> score computed as an alternative transcriptomic feature. The top three genes by this ranking were </w:t>
      </w:r>
      <w:r w:rsidR="00FF649B">
        <w:t>RGS17, DONSON and ANKRD56.</w:t>
      </w:r>
      <w:r w:rsidR="00A81C62">
        <w:t xml:space="preserve"> </w:t>
      </w:r>
      <w:r w:rsidR="00A81C62" w:rsidRPr="00A81C62">
        <w:t xml:space="preserve">RGS17 encodes a regulator of G-protein signalling that influences pathways governing cellular proliferation and </w:t>
      </w:r>
      <w:proofErr w:type="gramStart"/>
      <w:r w:rsidR="00A81C62" w:rsidRPr="00A81C62">
        <w:t>survival, and</w:t>
      </w:r>
      <w:proofErr w:type="gramEnd"/>
      <w:r w:rsidR="00A81C62" w:rsidRPr="00A81C62">
        <w:t xml:space="preserve"> has been implicated in tumour progression in several malignancies</w:t>
      </w:r>
      <w:r w:rsidR="00B34ADB" w:rsidRPr="00B34ADB">
        <w:rPr>
          <w:vertAlign w:val="superscript"/>
        </w:rPr>
        <w:t>11</w:t>
      </w:r>
      <w:r w:rsidR="00A81C62" w:rsidRPr="00A81C62">
        <w:t xml:space="preserve">. </w:t>
      </w:r>
      <w:r w:rsidR="00A81C62">
        <w:t>Downstream neighbour of SON (</w:t>
      </w:r>
      <w:r w:rsidR="00A81C62" w:rsidRPr="00A81C62">
        <w:t>DONSON</w:t>
      </w:r>
      <w:r w:rsidR="00A81C62">
        <w:t>)</w:t>
      </w:r>
      <w:r w:rsidR="00A81C62" w:rsidRPr="00A81C62">
        <w:t xml:space="preserve"> is a DNA replication fork protection factor required for genome stability, with increased expression associated with proliferative activity and adverse outcomes in </w:t>
      </w:r>
      <w:r w:rsidR="00A81C62">
        <w:t>RCC</w:t>
      </w:r>
      <w:r w:rsidR="00B34ADB" w:rsidRPr="00B34ADB">
        <w:rPr>
          <w:vertAlign w:val="superscript"/>
        </w:rPr>
        <w:t>12</w:t>
      </w:r>
      <w:r w:rsidR="00A81C62" w:rsidRPr="00A81C62">
        <w:t xml:space="preserve">. ANKRD56 </w:t>
      </w:r>
      <w:r w:rsidR="009A1755">
        <w:t xml:space="preserve">(also known as </w:t>
      </w:r>
      <w:r w:rsidR="009A1755" w:rsidRPr="009A1755">
        <w:t>SOWAHB</w:t>
      </w:r>
      <w:r w:rsidR="009A1755">
        <w:t xml:space="preserve">) </w:t>
      </w:r>
      <w:r w:rsidR="00A81C62" w:rsidRPr="00A81C62">
        <w:t>encodes an ankyrin repeat-containing protein of incompletely characterised function; although its role in renal cancer remains unclear, emerging genomic studies suggest potential involvement in regulatory processes associated with tumour development and progression</w:t>
      </w:r>
      <w:r w:rsidR="00B34ADB" w:rsidRPr="00B34ADB">
        <w:rPr>
          <w:vertAlign w:val="superscript"/>
        </w:rPr>
        <w:t>13</w:t>
      </w:r>
      <w:r w:rsidR="009A1755">
        <w:t>.</w:t>
      </w:r>
    </w:p>
    <w:p w14:paraId="060DF2FC" w14:textId="77777777" w:rsidR="00E23FB9" w:rsidRPr="00150AFE" w:rsidRDefault="00E23FB9" w:rsidP="00E23FB9">
      <w:pPr>
        <w:pStyle w:val="Heading3"/>
      </w:pPr>
      <w:r w:rsidRPr="00150AFE">
        <w:t>2.</w:t>
      </w:r>
      <w:r>
        <w:t>4</w:t>
      </w:r>
      <w:r w:rsidRPr="00150AFE">
        <w:t xml:space="preserve"> Copy Number Alteration Features</w:t>
      </w:r>
    </w:p>
    <w:p w14:paraId="29E9D342" w14:textId="602F7447" w:rsidR="00E23FB9" w:rsidRDefault="00E23FB9" w:rsidP="00E23FB9">
      <w:r w:rsidRPr="00150AFE">
        <w:t>CNA data were available for 510 samples across 25,128 genes. Focal copy number events (deep deletions, GISTIC score −2; high-level amplifications, GISTIC score +2) were extracted for</w:t>
      </w:r>
    </w:p>
    <w:p w14:paraId="1586A4BA" w14:textId="77777777" w:rsidR="00E23FB9" w:rsidRPr="00150AFE" w:rsidRDefault="00E23FB9" w:rsidP="00E23FB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6"/>
        <w:gridCol w:w="1842"/>
        <w:gridCol w:w="1842"/>
        <w:gridCol w:w="1946"/>
      </w:tblGrid>
      <w:tr w:rsidR="00E23FB9" w14:paraId="18AA5AEA" w14:textId="77777777" w:rsidTr="00B64B3B">
        <w:tc>
          <w:tcPr>
            <w:tcW w:w="3386" w:type="dxa"/>
            <w:tcBorders>
              <w:bottom w:val="single" w:sz="4" w:space="0" w:color="auto"/>
            </w:tcBorders>
          </w:tcPr>
          <w:p w14:paraId="4951B72E" w14:textId="77777777" w:rsidR="00E23FB9" w:rsidRPr="003F394E" w:rsidRDefault="00E23FB9" w:rsidP="00B64B3B">
            <w:pPr>
              <w:keepNext/>
              <w:spacing w:after="0"/>
              <w:rPr>
                <w:b/>
                <w:bCs/>
              </w:rPr>
            </w:pPr>
            <w:r w:rsidRPr="003F394E">
              <w:rPr>
                <w:b/>
                <w:bCs/>
              </w:rPr>
              <w:t>Pathway</w:t>
            </w:r>
          </w:p>
        </w:tc>
        <w:tc>
          <w:tcPr>
            <w:tcW w:w="1842" w:type="dxa"/>
            <w:tcBorders>
              <w:bottom w:val="single" w:sz="4" w:space="0" w:color="auto"/>
            </w:tcBorders>
          </w:tcPr>
          <w:p w14:paraId="5EED4E14" w14:textId="77777777" w:rsidR="00E23FB9" w:rsidRPr="003F394E" w:rsidRDefault="00E23FB9" w:rsidP="00B64B3B">
            <w:pPr>
              <w:keepNext/>
              <w:spacing w:after="0"/>
              <w:rPr>
                <w:b/>
                <w:bCs/>
              </w:rPr>
            </w:pPr>
            <w:r w:rsidRPr="003F394E">
              <w:rPr>
                <w:b/>
                <w:bCs/>
              </w:rPr>
              <w:t>Genes in Data</w:t>
            </w:r>
          </w:p>
        </w:tc>
        <w:tc>
          <w:tcPr>
            <w:tcW w:w="1842" w:type="dxa"/>
            <w:tcBorders>
              <w:bottom w:val="single" w:sz="4" w:space="0" w:color="auto"/>
            </w:tcBorders>
          </w:tcPr>
          <w:p w14:paraId="50D94475" w14:textId="77777777" w:rsidR="00E23FB9" w:rsidRPr="003F394E" w:rsidRDefault="00E23FB9" w:rsidP="00B64B3B">
            <w:pPr>
              <w:keepNext/>
              <w:spacing w:after="0"/>
              <w:rPr>
                <w:b/>
                <w:bCs/>
              </w:rPr>
            </w:pPr>
            <w:r w:rsidRPr="003F394E">
              <w:rPr>
                <w:b/>
                <w:bCs/>
              </w:rPr>
              <w:t>Total Genes</w:t>
            </w:r>
          </w:p>
        </w:tc>
        <w:tc>
          <w:tcPr>
            <w:tcW w:w="1946" w:type="dxa"/>
            <w:tcBorders>
              <w:bottom w:val="single" w:sz="4" w:space="0" w:color="auto"/>
            </w:tcBorders>
          </w:tcPr>
          <w:p w14:paraId="3A242BA0" w14:textId="77777777" w:rsidR="00E23FB9" w:rsidRPr="003F394E" w:rsidRDefault="00E23FB9" w:rsidP="00B64B3B">
            <w:pPr>
              <w:keepNext/>
              <w:spacing w:after="0"/>
              <w:rPr>
                <w:b/>
                <w:bCs/>
              </w:rPr>
            </w:pPr>
            <w:r w:rsidRPr="003F394E">
              <w:rPr>
                <w:b/>
                <w:bCs/>
              </w:rPr>
              <w:t>Coverage (%)</w:t>
            </w:r>
          </w:p>
        </w:tc>
      </w:tr>
      <w:tr w:rsidR="00E23FB9" w14:paraId="723DE2B4" w14:textId="77777777" w:rsidTr="00B64B3B">
        <w:tc>
          <w:tcPr>
            <w:tcW w:w="3386" w:type="dxa"/>
            <w:tcBorders>
              <w:top w:val="single" w:sz="4" w:space="0" w:color="auto"/>
            </w:tcBorders>
          </w:tcPr>
          <w:p w14:paraId="5A6E88EA" w14:textId="77777777" w:rsidR="00E23FB9" w:rsidRDefault="00E23FB9" w:rsidP="00B64B3B">
            <w:pPr>
              <w:keepNext/>
              <w:spacing w:after="0"/>
            </w:pPr>
            <w:proofErr w:type="spellStart"/>
            <w:r w:rsidRPr="00C11FF7">
              <w:rPr>
                <w:rStyle w:val="CodeChar"/>
              </w:rPr>
              <w:t>neutrophil_degranulation</w:t>
            </w:r>
            <w:proofErr w:type="spellEnd"/>
          </w:p>
        </w:tc>
        <w:tc>
          <w:tcPr>
            <w:tcW w:w="1842" w:type="dxa"/>
            <w:tcBorders>
              <w:top w:val="single" w:sz="4" w:space="0" w:color="auto"/>
            </w:tcBorders>
          </w:tcPr>
          <w:p w14:paraId="5D8764E7" w14:textId="77777777" w:rsidR="00E23FB9" w:rsidRDefault="00E23FB9" w:rsidP="00B64B3B">
            <w:pPr>
              <w:keepNext/>
              <w:spacing w:after="0"/>
              <w:jc w:val="center"/>
            </w:pPr>
            <w:r>
              <w:t>13</w:t>
            </w:r>
          </w:p>
        </w:tc>
        <w:tc>
          <w:tcPr>
            <w:tcW w:w="1842" w:type="dxa"/>
            <w:tcBorders>
              <w:top w:val="single" w:sz="4" w:space="0" w:color="auto"/>
            </w:tcBorders>
          </w:tcPr>
          <w:p w14:paraId="2E36E156" w14:textId="77777777" w:rsidR="00E23FB9" w:rsidRDefault="00E23FB9" w:rsidP="00B64B3B">
            <w:pPr>
              <w:keepNext/>
              <w:spacing w:after="0"/>
              <w:jc w:val="center"/>
            </w:pPr>
            <w:r>
              <w:t>13</w:t>
            </w:r>
          </w:p>
        </w:tc>
        <w:tc>
          <w:tcPr>
            <w:tcW w:w="1946" w:type="dxa"/>
            <w:tcBorders>
              <w:top w:val="single" w:sz="4" w:space="0" w:color="auto"/>
            </w:tcBorders>
          </w:tcPr>
          <w:p w14:paraId="0A6F7DE8" w14:textId="77777777" w:rsidR="00E23FB9" w:rsidRDefault="00E23FB9" w:rsidP="00B64B3B">
            <w:pPr>
              <w:keepNext/>
              <w:spacing w:after="0"/>
              <w:jc w:val="center"/>
            </w:pPr>
            <w:r>
              <w:t>100</w:t>
            </w:r>
          </w:p>
        </w:tc>
      </w:tr>
      <w:tr w:rsidR="00E23FB9" w14:paraId="71F24C2C" w14:textId="77777777" w:rsidTr="00B64B3B">
        <w:tc>
          <w:tcPr>
            <w:tcW w:w="3386" w:type="dxa"/>
          </w:tcPr>
          <w:p w14:paraId="4B2F00C9" w14:textId="77777777" w:rsidR="00E23FB9" w:rsidRDefault="00E23FB9" w:rsidP="00B64B3B">
            <w:pPr>
              <w:keepNext/>
              <w:spacing w:after="0"/>
            </w:pPr>
            <w:proofErr w:type="spellStart"/>
            <w:r w:rsidRPr="00C11FF7">
              <w:rPr>
                <w:rStyle w:val="CodeChar"/>
              </w:rPr>
              <w:t>kinase_activity</w:t>
            </w:r>
            <w:proofErr w:type="spellEnd"/>
          </w:p>
        </w:tc>
        <w:tc>
          <w:tcPr>
            <w:tcW w:w="1842" w:type="dxa"/>
          </w:tcPr>
          <w:p w14:paraId="653E0059" w14:textId="77777777" w:rsidR="00E23FB9" w:rsidRDefault="00E23FB9" w:rsidP="00B64B3B">
            <w:pPr>
              <w:keepNext/>
              <w:spacing w:after="0"/>
              <w:jc w:val="center"/>
            </w:pPr>
            <w:r>
              <w:t>162</w:t>
            </w:r>
          </w:p>
        </w:tc>
        <w:tc>
          <w:tcPr>
            <w:tcW w:w="1842" w:type="dxa"/>
          </w:tcPr>
          <w:p w14:paraId="16A054AA" w14:textId="77777777" w:rsidR="00E23FB9" w:rsidRDefault="00E23FB9" w:rsidP="00B64B3B">
            <w:pPr>
              <w:keepNext/>
              <w:spacing w:after="0"/>
              <w:jc w:val="center"/>
            </w:pPr>
            <w:r>
              <w:t>163</w:t>
            </w:r>
          </w:p>
        </w:tc>
        <w:tc>
          <w:tcPr>
            <w:tcW w:w="1946" w:type="dxa"/>
          </w:tcPr>
          <w:p w14:paraId="1FDCBAAD" w14:textId="77777777" w:rsidR="00E23FB9" w:rsidRDefault="00E23FB9" w:rsidP="00B64B3B">
            <w:pPr>
              <w:keepNext/>
              <w:spacing w:after="0"/>
              <w:jc w:val="center"/>
            </w:pPr>
            <w:r>
              <w:t>99.4</w:t>
            </w:r>
          </w:p>
        </w:tc>
      </w:tr>
      <w:tr w:rsidR="00E23FB9" w14:paraId="025664AA" w14:textId="77777777" w:rsidTr="00B64B3B">
        <w:tc>
          <w:tcPr>
            <w:tcW w:w="3386" w:type="dxa"/>
          </w:tcPr>
          <w:p w14:paraId="77611F34" w14:textId="77777777" w:rsidR="00E23FB9" w:rsidRDefault="00E23FB9" w:rsidP="00B64B3B">
            <w:pPr>
              <w:keepNext/>
              <w:spacing w:after="0"/>
            </w:pPr>
            <w:proofErr w:type="spellStart"/>
            <w:r w:rsidRPr="00C11FF7">
              <w:rPr>
                <w:rStyle w:val="CodeChar"/>
              </w:rPr>
              <w:t>hallmark_inflammation</w:t>
            </w:r>
            <w:proofErr w:type="spellEnd"/>
            <w:r w:rsidRPr="00150AFE">
              <w:t xml:space="preserve">    </w:t>
            </w:r>
          </w:p>
        </w:tc>
        <w:tc>
          <w:tcPr>
            <w:tcW w:w="1842" w:type="dxa"/>
          </w:tcPr>
          <w:p w14:paraId="63F70B65" w14:textId="77777777" w:rsidR="00E23FB9" w:rsidRDefault="00E23FB9" w:rsidP="00B64B3B">
            <w:pPr>
              <w:keepNext/>
              <w:spacing w:after="0"/>
              <w:jc w:val="center"/>
            </w:pPr>
            <w:r>
              <w:t>197</w:t>
            </w:r>
          </w:p>
        </w:tc>
        <w:tc>
          <w:tcPr>
            <w:tcW w:w="1842" w:type="dxa"/>
          </w:tcPr>
          <w:p w14:paraId="177D0520" w14:textId="77777777" w:rsidR="00E23FB9" w:rsidRDefault="00E23FB9" w:rsidP="00B64B3B">
            <w:pPr>
              <w:keepNext/>
              <w:spacing w:after="0"/>
              <w:jc w:val="center"/>
            </w:pPr>
            <w:r>
              <w:t>200</w:t>
            </w:r>
          </w:p>
        </w:tc>
        <w:tc>
          <w:tcPr>
            <w:tcW w:w="1946" w:type="dxa"/>
          </w:tcPr>
          <w:p w14:paraId="323A5187" w14:textId="77777777" w:rsidR="00E23FB9" w:rsidRDefault="00E23FB9" w:rsidP="00B64B3B">
            <w:pPr>
              <w:keepNext/>
              <w:spacing w:after="0"/>
              <w:jc w:val="center"/>
            </w:pPr>
            <w:r>
              <w:t>98.5</w:t>
            </w:r>
          </w:p>
        </w:tc>
      </w:tr>
      <w:tr w:rsidR="00E23FB9" w14:paraId="2B173A28" w14:textId="77777777" w:rsidTr="00B64B3B">
        <w:tc>
          <w:tcPr>
            <w:tcW w:w="3386" w:type="dxa"/>
          </w:tcPr>
          <w:p w14:paraId="47607F36" w14:textId="77777777" w:rsidR="00E23FB9" w:rsidRDefault="00E23FB9" w:rsidP="00B64B3B">
            <w:pPr>
              <w:keepNext/>
              <w:spacing w:after="0"/>
            </w:pPr>
            <w:proofErr w:type="spellStart"/>
            <w:r w:rsidRPr="00C11FF7">
              <w:rPr>
                <w:rStyle w:val="CodeChar"/>
              </w:rPr>
              <w:t>neutrophil_activation</w:t>
            </w:r>
            <w:proofErr w:type="spellEnd"/>
            <w:r w:rsidRPr="00150AFE">
              <w:t xml:space="preserve">    </w:t>
            </w:r>
          </w:p>
        </w:tc>
        <w:tc>
          <w:tcPr>
            <w:tcW w:w="1842" w:type="dxa"/>
          </w:tcPr>
          <w:p w14:paraId="5BFD0FF6" w14:textId="77777777" w:rsidR="00E23FB9" w:rsidRDefault="00E23FB9" w:rsidP="00B64B3B">
            <w:pPr>
              <w:keepNext/>
              <w:spacing w:after="0"/>
              <w:jc w:val="center"/>
            </w:pPr>
            <w:r>
              <w:t>55</w:t>
            </w:r>
          </w:p>
        </w:tc>
        <w:tc>
          <w:tcPr>
            <w:tcW w:w="1842" w:type="dxa"/>
          </w:tcPr>
          <w:p w14:paraId="165A3CF1" w14:textId="77777777" w:rsidR="00E23FB9" w:rsidRDefault="00E23FB9" w:rsidP="00B64B3B">
            <w:pPr>
              <w:keepNext/>
              <w:spacing w:after="0"/>
              <w:jc w:val="center"/>
            </w:pPr>
            <w:r>
              <w:t>58</w:t>
            </w:r>
          </w:p>
        </w:tc>
        <w:tc>
          <w:tcPr>
            <w:tcW w:w="1946" w:type="dxa"/>
          </w:tcPr>
          <w:p w14:paraId="1EE0A499" w14:textId="77777777" w:rsidR="00E23FB9" w:rsidRDefault="00E23FB9" w:rsidP="00B64B3B">
            <w:pPr>
              <w:keepNext/>
              <w:spacing w:after="0"/>
              <w:jc w:val="center"/>
            </w:pPr>
            <w:r>
              <w:t>94.8</w:t>
            </w:r>
          </w:p>
        </w:tc>
      </w:tr>
      <w:tr w:rsidR="00E23FB9" w14:paraId="672ADD87" w14:textId="77777777" w:rsidTr="00B64B3B">
        <w:tc>
          <w:tcPr>
            <w:tcW w:w="3386" w:type="dxa"/>
          </w:tcPr>
          <w:p w14:paraId="351EC954" w14:textId="77777777" w:rsidR="00E23FB9" w:rsidRPr="00C11FF7" w:rsidRDefault="00E23FB9" w:rsidP="00B64B3B">
            <w:pPr>
              <w:keepNext/>
              <w:spacing w:after="0"/>
              <w:rPr>
                <w:rStyle w:val="CodeChar"/>
              </w:rPr>
            </w:pPr>
            <w:proofErr w:type="spellStart"/>
            <w:r w:rsidRPr="00C11FF7">
              <w:rPr>
                <w:rStyle w:val="CodeChar"/>
              </w:rPr>
              <w:t>kinase_signalling</w:t>
            </w:r>
            <w:proofErr w:type="spellEnd"/>
            <w:r w:rsidRPr="00150AFE">
              <w:t xml:space="preserve">        </w:t>
            </w:r>
          </w:p>
        </w:tc>
        <w:tc>
          <w:tcPr>
            <w:tcW w:w="1842" w:type="dxa"/>
          </w:tcPr>
          <w:p w14:paraId="791E6937" w14:textId="77777777" w:rsidR="00E23FB9" w:rsidRDefault="00E23FB9" w:rsidP="00B64B3B">
            <w:pPr>
              <w:keepNext/>
              <w:spacing w:after="0"/>
              <w:jc w:val="center"/>
            </w:pPr>
            <w:r>
              <w:t>663</w:t>
            </w:r>
          </w:p>
        </w:tc>
        <w:tc>
          <w:tcPr>
            <w:tcW w:w="1842" w:type="dxa"/>
          </w:tcPr>
          <w:p w14:paraId="1EB74AAF" w14:textId="77777777" w:rsidR="00E23FB9" w:rsidRDefault="00E23FB9" w:rsidP="00B64B3B">
            <w:pPr>
              <w:keepNext/>
              <w:spacing w:after="0"/>
              <w:jc w:val="center"/>
            </w:pPr>
            <w:r>
              <w:t>721</w:t>
            </w:r>
          </w:p>
        </w:tc>
        <w:tc>
          <w:tcPr>
            <w:tcW w:w="1946" w:type="dxa"/>
          </w:tcPr>
          <w:p w14:paraId="78B8DE08" w14:textId="77777777" w:rsidR="00E23FB9" w:rsidRDefault="00E23FB9" w:rsidP="00B64B3B">
            <w:pPr>
              <w:keepNext/>
              <w:spacing w:after="0"/>
              <w:jc w:val="center"/>
            </w:pPr>
            <w:r>
              <w:t>92.0</w:t>
            </w:r>
          </w:p>
        </w:tc>
      </w:tr>
      <w:tr w:rsidR="00E23FB9" w14:paraId="1DE251CD" w14:textId="77777777" w:rsidTr="00B64B3B">
        <w:tc>
          <w:tcPr>
            <w:tcW w:w="3386" w:type="dxa"/>
          </w:tcPr>
          <w:p w14:paraId="7281715C" w14:textId="77777777" w:rsidR="00E23FB9" w:rsidRPr="00C11FF7" w:rsidRDefault="00E23FB9" w:rsidP="00B64B3B">
            <w:pPr>
              <w:keepNext/>
              <w:spacing w:after="0"/>
              <w:rPr>
                <w:rStyle w:val="CodeChar"/>
              </w:rPr>
            </w:pPr>
            <w:proofErr w:type="spellStart"/>
            <w:r w:rsidRPr="00C11FF7">
              <w:rPr>
                <w:rStyle w:val="CodeChar"/>
              </w:rPr>
              <w:t>metalloprotease_activity</w:t>
            </w:r>
            <w:proofErr w:type="spellEnd"/>
          </w:p>
        </w:tc>
        <w:tc>
          <w:tcPr>
            <w:tcW w:w="1842" w:type="dxa"/>
          </w:tcPr>
          <w:p w14:paraId="6AE6D725" w14:textId="77777777" w:rsidR="00E23FB9" w:rsidRDefault="00E23FB9" w:rsidP="00B64B3B">
            <w:pPr>
              <w:keepNext/>
              <w:spacing w:after="0"/>
              <w:jc w:val="center"/>
            </w:pPr>
            <w:r>
              <w:t>174</w:t>
            </w:r>
          </w:p>
        </w:tc>
        <w:tc>
          <w:tcPr>
            <w:tcW w:w="1842" w:type="dxa"/>
          </w:tcPr>
          <w:p w14:paraId="34D8A90B" w14:textId="77777777" w:rsidR="00E23FB9" w:rsidRDefault="00E23FB9" w:rsidP="00B64B3B">
            <w:pPr>
              <w:keepNext/>
              <w:spacing w:after="0"/>
              <w:jc w:val="center"/>
            </w:pPr>
            <w:r>
              <w:t>190</w:t>
            </w:r>
          </w:p>
        </w:tc>
        <w:tc>
          <w:tcPr>
            <w:tcW w:w="1946" w:type="dxa"/>
          </w:tcPr>
          <w:p w14:paraId="76D9D58C" w14:textId="77777777" w:rsidR="00E23FB9" w:rsidRDefault="00E23FB9" w:rsidP="00B64B3B">
            <w:pPr>
              <w:keepNext/>
              <w:spacing w:after="0"/>
              <w:jc w:val="center"/>
            </w:pPr>
            <w:r>
              <w:t>91.6</w:t>
            </w:r>
          </w:p>
        </w:tc>
      </w:tr>
      <w:tr w:rsidR="00E23FB9" w14:paraId="34EED060" w14:textId="77777777" w:rsidTr="00B64B3B">
        <w:tc>
          <w:tcPr>
            <w:tcW w:w="3386" w:type="dxa"/>
          </w:tcPr>
          <w:p w14:paraId="0E68D55B" w14:textId="77777777" w:rsidR="00E23FB9" w:rsidRPr="00C11FF7" w:rsidRDefault="00E23FB9" w:rsidP="00B64B3B">
            <w:pPr>
              <w:keepNext/>
              <w:spacing w:after="0"/>
              <w:rPr>
                <w:rStyle w:val="CodeChar"/>
              </w:rPr>
            </w:pPr>
            <w:proofErr w:type="spellStart"/>
            <w:r w:rsidRPr="00C11FF7">
              <w:rPr>
                <w:rStyle w:val="CodeChar"/>
              </w:rPr>
              <w:t>ecm_remodelling</w:t>
            </w:r>
            <w:proofErr w:type="spellEnd"/>
            <w:r w:rsidRPr="00150AFE">
              <w:t xml:space="preserve">         </w:t>
            </w:r>
          </w:p>
        </w:tc>
        <w:tc>
          <w:tcPr>
            <w:tcW w:w="1842" w:type="dxa"/>
          </w:tcPr>
          <w:p w14:paraId="66CDBA28" w14:textId="77777777" w:rsidR="00E23FB9" w:rsidRDefault="00E23FB9" w:rsidP="00B64B3B">
            <w:pPr>
              <w:keepNext/>
              <w:spacing w:after="0"/>
              <w:jc w:val="center"/>
            </w:pPr>
            <w:r>
              <w:t>1,819</w:t>
            </w:r>
          </w:p>
        </w:tc>
        <w:tc>
          <w:tcPr>
            <w:tcW w:w="1842" w:type="dxa"/>
          </w:tcPr>
          <w:p w14:paraId="7D6B6FE9" w14:textId="77777777" w:rsidR="00E23FB9" w:rsidRDefault="00E23FB9" w:rsidP="00B64B3B">
            <w:pPr>
              <w:keepNext/>
              <w:spacing w:after="0"/>
              <w:jc w:val="center"/>
            </w:pPr>
            <w:r>
              <w:t>2,024</w:t>
            </w:r>
          </w:p>
        </w:tc>
        <w:tc>
          <w:tcPr>
            <w:tcW w:w="1946" w:type="dxa"/>
          </w:tcPr>
          <w:p w14:paraId="1DB1469E" w14:textId="77777777" w:rsidR="00E23FB9" w:rsidRDefault="00E23FB9" w:rsidP="00B64B3B">
            <w:pPr>
              <w:keepNext/>
              <w:spacing w:after="0"/>
              <w:jc w:val="center"/>
            </w:pPr>
            <w:r>
              <w:t>89.9</w:t>
            </w:r>
          </w:p>
        </w:tc>
      </w:tr>
      <w:tr w:rsidR="00E23FB9" w14:paraId="629B3482" w14:textId="77777777" w:rsidTr="00B64B3B">
        <w:tc>
          <w:tcPr>
            <w:tcW w:w="3386" w:type="dxa"/>
          </w:tcPr>
          <w:p w14:paraId="48BCB676" w14:textId="77777777" w:rsidR="00E23FB9" w:rsidRPr="00C11FF7" w:rsidRDefault="00E23FB9" w:rsidP="00B64B3B">
            <w:pPr>
              <w:keepNext/>
              <w:spacing w:after="0"/>
              <w:rPr>
                <w:rStyle w:val="CodeChar"/>
              </w:rPr>
            </w:pPr>
            <w:proofErr w:type="spellStart"/>
            <w:r w:rsidRPr="00C11FF7">
              <w:rPr>
                <w:rStyle w:val="CodeChar"/>
              </w:rPr>
              <w:t>inflammatory_response</w:t>
            </w:r>
            <w:proofErr w:type="spellEnd"/>
            <w:r w:rsidRPr="00150AFE">
              <w:t xml:space="preserve">    </w:t>
            </w:r>
          </w:p>
        </w:tc>
        <w:tc>
          <w:tcPr>
            <w:tcW w:w="1842" w:type="dxa"/>
          </w:tcPr>
          <w:p w14:paraId="0AB0A091" w14:textId="77777777" w:rsidR="00E23FB9" w:rsidRDefault="00E23FB9" w:rsidP="00B64B3B">
            <w:pPr>
              <w:keepNext/>
              <w:spacing w:after="0"/>
              <w:jc w:val="center"/>
            </w:pPr>
            <w:r>
              <w:t>1,912</w:t>
            </w:r>
          </w:p>
        </w:tc>
        <w:tc>
          <w:tcPr>
            <w:tcW w:w="1842" w:type="dxa"/>
          </w:tcPr>
          <w:p w14:paraId="350C8A08" w14:textId="77777777" w:rsidR="00E23FB9" w:rsidRDefault="00E23FB9" w:rsidP="00B64B3B">
            <w:pPr>
              <w:keepNext/>
              <w:spacing w:after="0"/>
              <w:jc w:val="center"/>
            </w:pPr>
            <w:r>
              <w:t>2,153</w:t>
            </w:r>
          </w:p>
        </w:tc>
        <w:tc>
          <w:tcPr>
            <w:tcW w:w="1946" w:type="dxa"/>
          </w:tcPr>
          <w:p w14:paraId="3D1826F4" w14:textId="77777777" w:rsidR="00E23FB9" w:rsidRDefault="00E23FB9" w:rsidP="00B64B3B">
            <w:pPr>
              <w:keepNext/>
              <w:spacing w:after="0"/>
              <w:jc w:val="center"/>
            </w:pPr>
            <w:r>
              <w:t>88.8</w:t>
            </w:r>
          </w:p>
        </w:tc>
      </w:tr>
    </w:tbl>
    <w:p w14:paraId="45E8F601" w14:textId="0A5A5190" w:rsidR="00E23FB9" w:rsidRPr="009A1755" w:rsidRDefault="00E23FB9" w:rsidP="00E23FB9">
      <w:pPr>
        <w:pStyle w:val="Caption"/>
      </w:pPr>
      <w:r w:rsidRPr="000B7451">
        <w:rPr>
          <w:b/>
          <w:bCs/>
        </w:rPr>
        <w:t xml:space="preserve">Table </w:t>
      </w:r>
      <w:r w:rsidRPr="000B7451">
        <w:rPr>
          <w:b/>
          <w:bCs/>
        </w:rPr>
        <w:fldChar w:fldCharType="begin"/>
      </w:r>
      <w:r w:rsidRPr="000B7451">
        <w:rPr>
          <w:b/>
          <w:bCs/>
        </w:rPr>
        <w:instrText xml:space="preserve"> SEQ Table \* ARABIC </w:instrText>
      </w:r>
      <w:r w:rsidRPr="000B7451">
        <w:rPr>
          <w:b/>
          <w:bCs/>
        </w:rPr>
        <w:fldChar w:fldCharType="separate"/>
      </w:r>
      <w:r w:rsidRPr="000B7451">
        <w:rPr>
          <w:b/>
          <w:bCs/>
          <w:noProof/>
        </w:rPr>
        <w:t>2</w:t>
      </w:r>
      <w:r w:rsidRPr="000B7451">
        <w:rPr>
          <w:b/>
          <w:bCs/>
        </w:rPr>
        <w:fldChar w:fldCharType="end"/>
      </w:r>
      <w:r w:rsidRPr="000B7451">
        <w:rPr>
          <w:b/>
          <w:bCs/>
        </w:rPr>
        <w:t xml:space="preserve">. </w:t>
      </w:r>
      <w:r w:rsidRPr="002C44B4">
        <w:rPr>
          <w:b/>
          <w:bCs/>
        </w:rPr>
        <w:t xml:space="preserve">Transcriptomic coverage for targeted </w:t>
      </w:r>
      <w:proofErr w:type="spellStart"/>
      <w:r w:rsidRPr="002C44B4">
        <w:rPr>
          <w:b/>
          <w:bCs/>
        </w:rPr>
        <w:t>MSigDB</w:t>
      </w:r>
      <w:proofErr w:type="spellEnd"/>
      <w:r w:rsidRPr="002C44B4">
        <w:rPr>
          <w:b/>
          <w:bCs/>
        </w:rPr>
        <w:t xml:space="preserve"> pathway queries</w:t>
      </w:r>
      <w:r>
        <w:rPr>
          <w:b/>
          <w:bCs/>
        </w:rPr>
        <w:t>.</w:t>
      </w:r>
      <w:r>
        <w:rPr>
          <w:b/>
          <w:bCs/>
        </w:rPr>
        <w:br/>
      </w:r>
      <w:r w:rsidRPr="002C44B4">
        <w:t>Summary of mapped gene counts, total pathway-member genes, and final percentage coverage across the eight selected inflammatory and kinase signatures in the TCGA-KIRC expression matrix</w:t>
      </w:r>
    </w:p>
    <w:p w14:paraId="7C7993DF" w14:textId="26E306CB" w:rsidR="00B82FDC" w:rsidRPr="00150AFE" w:rsidRDefault="00B82FDC" w:rsidP="00B82FDC">
      <w:r w:rsidRPr="00150AFE">
        <w:lastRenderedPageBreak/>
        <w:t xml:space="preserve">nine curated </w:t>
      </w:r>
      <w:proofErr w:type="spellStart"/>
      <w:r w:rsidRPr="00150AFE">
        <w:t>ccRCC</w:t>
      </w:r>
      <w:proofErr w:type="spellEnd"/>
      <w:r w:rsidRPr="00150AFE">
        <w:t xml:space="preserve"> driver genes (VHL, PBRM1, BAP1, SETD2, KDM5C, MTOR, PTEN, TSC1, TSC2)</w:t>
      </w:r>
      <w:r w:rsidR="000E5898" w:rsidRPr="000E5898">
        <w:rPr>
          <w:vertAlign w:val="superscript"/>
        </w:rPr>
        <w:t>4</w:t>
      </w:r>
      <w:r w:rsidRPr="00150AFE">
        <w:t xml:space="preserve">. </w:t>
      </w:r>
      <w:r w:rsidR="00C416FC" w:rsidRPr="00C416FC">
        <w:t>Four low-prevalence focal deletion events (PBRM1, SETD2, BAP1, VHL) were retained following prevalence filtering</w:t>
      </w:r>
      <w:r w:rsidRPr="00150AFE">
        <w:t>.</w:t>
      </w:r>
    </w:p>
    <w:p w14:paraId="083FA032" w14:textId="33D0B4D6" w:rsidR="00B82FDC" w:rsidRPr="00150AFE" w:rsidRDefault="00B82FDC" w:rsidP="00D27C42">
      <w:pPr>
        <w:pStyle w:val="Heading3"/>
      </w:pPr>
      <w:r w:rsidRPr="00150AFE">
        <w:t>2.</w:t>
      </w:r>
      <w:r w:rsidR="00F35C6E">
        <w:t>5</w:t>
      </w:r>
      <w:r w:rsidRPr="00150AFE">
        <w:t xml:space="preserve"> Multi-Omics Model Comparison</w:t>
      </w:r>
    </w:p>
    <w:p w14:paraId="46F20E6D" w14:textId="31B0CFB3" w:rsidR="00B82FDC" w:rsidRDefault="00B82FDC" w:rsidP="00B82FDC">
      <w:r w:rsidRPr="00150AFE">
        <w:t xml:space="preserve">Six survival models were compared by stratified 5-fold cross-validation, evaluating true out-of-fold Harrell's C-index as the primary performance metric (Figure 7, Table 3). All models included the four selected clinical variables as a baseline; omics layers were added incrementally. </w:t>
      </w:r>
    </w:p>
    <w:p w14:paraId="41CEB87C" w14:textId="2B530017" w:rsidR="00E23FB9" w:rsidRDefault="00E23FB9" w:rsidP="00E23FB9">
      <w:r w:rsidRPr="00150AFE">
        <w:t>The unbiased data-driven transcriptomic score was the single best-performing model (C-index = 0.789), adding 0.0</w:t>
      </w:r>
      <w:r>
        <w:t>18</w:t>
      </w:r>
      <w:r w:rsidRPr="00150AFE">
        <w:t xml:space="preserve"> over the clinical baseline. RPPA proteomics was the second strongest individual layer (C-index = 0.784, +0.016). Curated RNA pathway signatures added a modest but positive increment (+0.004). CNA features did not improve upon the clinical baseline,</w:t>
      </w:r>
      <w:r>
        <w:t xml:space="preserve"> </w:t>
      </w:r>
      <w:r w:rsidRPr="00150AFE">
        <w:t>consistent with the very low focal alteration prevalence in this cohort. Notably, the fully integrated model (C-index = 0.77</w:t>
      </w:r>
      <w:r>
        <w:t>3</w:t>
      </w:r>
      <w:r w:rsidRPr="00150AFE">
        <w:t>) underperformed both the data-driven RNA score and the RPPA model individually, suggesting that incorporating noisier layers dilutes the strongest signals rather than compounding them. This finding is consistent with the literature on multi-omics model saturation</w:t>
      </w:r>
      <w:r w:rsidR="00B34ADB" w:rsidRPr="00B34ADB">
        <w:rPr>
          <w:vertAlign w:val="superscript"/>
        </w:rPr>
        <w:t>14,15</w:t>
      </w:r>
      <w:r w:rsidRPr="00150AFE">
        <w:t>.</w:t>
      </w:r>
    </w:p>
    <w:p w14:paraId="3754E71F" w14:textId="77777777" w:rsidR="00E23FB9" w:rsidRPr="00150AFE" w:rsidRDefault="00E23FB9" w:rsidP="00E23FB9">
      <w:pPr>
        <w:pStyle w:val="Heading3"/>
      </w:pPr>
      <w:r w:rsidRPr="00150AFE">
        <w:t>2.</w:t>
      </w:r>
      <w:r>
        <w:t>6</w:t>
      </w:r>
      <w:r w:rsidRPr="00150AFE">
        <w:t xml:space="preserve"> Integrated Model Coefficients and Biological Interpretation</w:t>
      </w:r>
    </w:p>
    <w:p w14:paraId="4F3358CB" w14:textId="77777777" w:rsidR="00E23FB9" w:rsidRPr="00150AFE" w:rsidRDefault="00E23FB9" w:rsidP="00E23FB9">
      <w:r w:rsidRPr="00150AFE">
        <w:t>The final integrated model was fitted on the full complete-case cohort (n = 448) using clinical variables, RPPA proteins, and curated RNA pathway scores. CNA features were excluded from the integrated model due to near-complete separation arising from their very low prevalence, though CNA was retained as a standalone cross-validated comparison model. The full coefficient forest plot is presented in Figure 8.</w:t>
      </w:r>
    </w:p>
    <w:p w14:paraId="5BB51656" w14:textId="77777777" w:rsidR="00E23FB9" w:rsidRPr="00150AFE" w:rsidRDefault="00E23FB9" w:rsidP="00E23FB9">
      <w:r w:rsidRPr="00D27C42">
        <w:rPr>
          <w:b/>
          <w:bCs/>
        </w:rPr>
        <w:t>Clinical variables.</w:t>
      </w:r>
      <w:r w:rsidRPr="00150AFE">
        <w:t xml:space="preserve"> Stage IV conferred the largest hazard in the model (HR = 4.32, 95% CI 2.61–7.17, p = 1.34 × 10</w:t>
      </w:r>
      <w:r w:rsidRPr="00150AFE">
        <w:rPr>
          <w:rFonts w:ascii="Cambria Math" w:hAnsi="Cambria Math" w:cs="Cambria Math"/>
        </w:rPr>
        <w:t>⁻</w:t>
      </w:r>
      <w:r w:rsidRPr="00150AFE">
        <w:t>⁸), consistent with the strong clinical dominance observed throughout the analysis. Age (HR = 1.04 per year, p = 6.40 × 10</w:t>
      </w:r>
      <w:r w:rsidRPr="00150AFE">
        <w:rPr>
          <w:rFonts w:ascii="Cambria Math" w:hAnsi="Cambria Math" w:cs="Cambria Math"/>
        </w:rPr>
        <w:t>⁻</w:t>
      </w:r>
      <w:r w:rsidRPr="00150AFE">
        <w:t xml:space="preserve">⁶) and Stage III (HR = 1.93, p = 0.008) also reached significance. Grade and </w:t>
      </w:r>
      <w:r>
        <w:t>TBL</w:t>
      </w:r>
      <w:r w:rsidRPr="00150AFE">
        <w:t xml:space="preserve"> score, whilst selected by univariable screening, did not retain independent significance in the fully adjusted model, likely reflecting partial mediation through stage.</w:t>
      </w:r>
    </w:p>
    <w:p w14:paraId="0EB17D66" w14:textId="57FD8F36" w:rsidR="00C734A8" w:rsidRDefault="009353B1" w:rsidP="00C734A8">
      <w:pPr>
        <w:keepNext/>
        <w:jc w:val="center"/>
      </w:pPr>
      <w:r>
        <w:rPr>
          <w:noProof/>
        </w:rPr>
        <w:lastRenderedPageBreak/>
        <w:drawing>
          <wp:inline distT="0" distB="0" distL="0" distR="0" wp14:anchorId="17064D7A" wp14:editId="4A5ECD86">
            <wp:extent cx="5673090" cy="3119140"/>
            <wp:effectExtent l="0" t="0" r="3810" b="5080"/>
            <wp:docPr id="1471710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4352" cy="3125332"/>
                    </a:xfrm>
                    <a:prstGeom prst="rect">
                      <a:avLst/>
                    </a:prstGeom>
                    <a:noFill/>
                    <a:ln>
                      <a:noFill/>
                    </a:ln>
                  </pic:spPr>
                </pic:pic>
              </a:graphicData>
            </a:graphic>
          </wp:inline>
        </w:drawing>
      </w:r>
    </w:p>
    <w:p w14:paraId="45090D70" w14:textId="412A9DEB" w:rsidR="008A35C5" w:rsidRPr="008A35C5" w:rsidRDefault="00C734A8" w:rsidP="008A35C5">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00417F53" w:rsidRPr="008A35C5">
        <w:rPr>
          <w:b/>
          <w:bCs/>
          <w:noProof/>
        </w:rPr>
        <w:t>7</w:t>
      </w:r>
      <w:r w:rsidRPr="008A35C5">
        <w:rPr>
          <w:b/>
          <w:bCs/>
        </w:rPr>
        <w:fldChar w:fldCharType="end"/>
      </w:r>
      <w:r w:rsidRPr="008A35C5">
        <w:rPr>
          <w:b/>
          <w:bCs/>
        </w:rPr>
        <w:t xml:space="preserve">. </w:t>
      </w:r>
      <w:r w:rsidR="002C44B4" w:rsidRPr="002C44B4">
        <w:rPr>
          <w:b/>
          <w:bCs/>
        </w:rPr>
        <w:t>Cross-validated model performance comparison</w:t>
      </w:r>
      <w:r w:rsidR="008A35C5">
        <w:rPr>
          <w:b/>
          <w:bCs/>
        </w:rPr>
        <w:t>.</w:t>
      </w:r>
      <w:r w:rsidR="008A35C5">
        <w:rPr>
          <w:b/>
          <w:bCs/>
        </w:rPr>
        <w:br/>
      </w:r>
      <w:r w:rsidR="00DC67B9" w:rsidRPr="00DC67B9">
        <w:t>Out-of-fold Harrell's C-index scores and 95% confidence intervals across six survival model configurations evaluated via stratified 5-fold cross-validation. The vertical gr</w:t>
      </w:r>
      <w:r w:rsidR="009353B1">
        <w:t>e</w:t>
      </w:r>
      <w:r w:rsidR="00DC67B9" w:rsidRPr="00DC67B9">
        <w:t>y line defines the clinical baseline (C = 0.768). The supervised data-driven RNA score (red point) achieved peak predictive performance (C = 0.78</w:t>
      </w:r>
      <w:r w:rsidR="009353B1">
        <w:t>6</w:t>
      </w:r>
      <w:r w:rsidR="00DC67B9" w:rsidRPr="00DC67B9">
        <w:t>).</w:t>
      </w:r>
    </w:p>
    <w:p w14:paraId="230BB4E5" w14:textId="6B025C98" w:rsidR="00443B53" w:rsidRPr="008A35C5" w:rsidRDefault="00443B53" w:rsidP="00443B53">
      <w:pPr>
        <w:rPr>
          <w:b/>
          <w:bCs/>
        </w:rPr>
      </w:pPr>
      <w:r w:rsidRPr="00D27C42">
        <w:rPr>
          <w:b/>
          <w:bCs/>
        </w:rPr>
        <w:t>Proteomic markers.</w:t>
      </w:r>
      <w:r w:rsidRPr="00150AFE">
        <w:t xml:space="preserve"> Three RPPA proteins reached statistical significance in the multivariable model. PEA15 (HR = 1.28, p = 0.014) was associated with increased mortality risk; PEA15 sequesters phosphorylated ERK in the cytoplasm, altering its transcriptional programme and modulating apoptotic sensitivity</w:t>
      </w:r>
      <w:r w:rsidR="00B34ADB" w:rsidRPr="00B34ADB">
        <w:rPr>
          <w:vertAlign w:val="superscript"/>
        </w:rPr>
        <w:t>16</w:t>
      </w:r>
      <w:r w:rsidRPr="00150AFE">
        <w:t>. ERRFI1/MIG-6 (HR = 0.76, p = 0.021) was protective,</w:t>
      </w:r>
      <w:r>
        <w:t xml:space="preserve"> </w:t>
      </w:r>
      <w:r w:rsidRPr="00150AFE">
        <w:t>consistent with its role as a negative regulator of EGFR and ERBB family receptor tyrosine</w:t>
      </w:r>
      <w:r w:rsidR="00B34ADB">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536"/>
        <w:gridCol w:w="2254"/>
        <w:gridCol w:w="2254"/>
      </w:tblGrid>
      <w:tr w:rsidR="00C734A8" w14:paraId="69D76A2A" w14:textId="77777777" w:rsidTr="008A35C5">
        <w:tc>
          <w:tcPr>
            <w:tcW w:w="2972" w:type="dxa"/>
            <w:tcBorders>
              <w:bottom w:val="single" w:sz="4" w:space="0" w:color="auto"/>
            </w:tcBorders>
          </w:tcPr>
          <w:p w14:paraId="173B3786" w14:textId="2E1F4953" w:rsidR="00C734A8" w:rsidRPr="00C734A8" w:rsidRDefault="00C734A8" w:rsidP="00C734A8">
            <w:pPr>
              <w:keepNext/>
              <w:spacing w:after="0"/>
              <w:rPr>
                <w:b/>
                <w:bCs/>
              </w:rPr>
            </w:pPr>
            <w:r w:rsidRPr="00C734A8">
              <w:rPr>
                <w:b/>
                <w:bCs/>
              </w:rPr>
              <w:t xml:space="preserve">Model                   </w:t>
            </w:r>
          </w:p>
        </w:tc>
        <w:tc>
          <w:tcPr>
            <w:tcW w:w="1536" w:type="dxa"/>
            <w:tcBorders>
              <w:bottom w:val="single" w:sz="4" w:space="0" w:color="auto"/>
            </w:tcBorders>
          </w:tcPr>
          <w:p w14:paraId="55CDC2B4" w14:textId="5BBAF49A" w:rsidR="00C734A8" w:rsidRPr="00C734A8" w:rsidRDefault="00C734A8" w:rsidP="00417F53">
            <w:pPr>
              <w:keepNext/>
              <w:spacing w:after="0"/>
              <w:jc w:val="center"/>
              <w:rPr>
                <w:b/>
                <w:bCs/>
              </w:rPr>
            </w:pPr>
            <w:r w:rsidRPr="00C734A8">
              <w:rPr>
                <w:b/>
                <w:bCs/>
              </w:rPr>
              <w:t>CV C-index</w:t>
            </w:r>
          </w:p>
        </w:tc>
        <w:tc>
          <w:tcPr>
            <w:tcW w:w="2254" w:type="dxa"/>
            <w:tcBorders>
              <w:bottom w:val="single" w:sz="4" w:space="0" w:color="auto"/>
            </w:tcBorders>
          </w:tcPr>
          <w:p w14:paraId="51B367FA" w14:textId="054585A7" w:rsidR="00C734A8" w:rsidRPr="00C734A8" w:rsidRDefault="00C734A8" w:rsidP="00417F53">
            <w:pPr>
              <w:keepNext/>
              <w:spacing w:after="0"/>
              <w:jc w:val="center"/>
              <w:rPr>
                <w:b/>
                <w:bCs/>
              </w:rPr>
            </w:pPr>
            <w:r w:rsidRPr="00C734A8">
              <w:rPr>
                <w:b/>
                <w:bCs/>
              </w:rPr>
              <w:t>95% CI</w:t>
            </w:r>
          </w:p>
        </w:tc>
        <w:tc>
          <w:tcPr>
            <w:tcW w:w="2254" w:type="dxa"/>
            <w:tcBorders>
              <w:bottom w:val="single" w:sz="4" w:space="0" w:color="auto"/>
            </w:tcBorders>
          </w:tcPr>
          <w:p w14:paraId="6AA8D3EF" w14:textId="6CF213F5" w:rsidR="00C734A8" w:rsidRPr="00C734A8" w:rsidRDefault="00C734A8" w:rsidP="00417F53">
            <w:pPr>
              <w:keepNext/>
              <w:spacing w:after="0"/>
              <w:jc w:val="center"/>
              <w:rPr>
                <w:b/>
                <w:bCs/>
              </w:rPr>
            </w:pPr>
            <w:r w:rsidRPr="00C734A8">
              <w:rPr>
                <w:b/>
                <w:bCs/>
              </w:rPr>
              <w:t>Increment vs Clinical-only</w:t>
            </w:r>
          </w:p>
        </w:tc>
      </w:tr>
      <w:tr w:rsidR="00C734A8" w14:paraId="1FD6F4CD" w14:textId="77777777" w:rsidTr="008A35C5">
        <w:tc>
          <w:tcPr>
            <w:tcW w:w="2972" w:type="dxa"/>
            <w:tcBorders>
              <w:top w:val="single" w:sz="4" w:space="0" w:color="auto"/>
            </w:tcBorders>
          </w:tcPr>
          <w:p w14:paraId="0810AE25" w14:textId="14A05869" w:rsidR="00C734A8" w:rsidRDefault="00C734A8" w:rsidP="00C734A8">
            <w:pPr>
              <w:keepNext/>
              <w:spacing w:after="0"/>
            </w:pPr>
            <w:r w:rsidRPr="00150AFE">
              <w:t xml:space="preserve">RNA Data-Driven Score   </w:t>
            </w:r>
          </w:p>
        </w:tc>
        <w:tc>
          <w:tcPr>
            <w:tcW w:w="1536" w:type="dxa"/>
            <w:tcBorders>
              <w:top w:val="single" w:sz="4" w:space="0" w:color="auto"/>
            </w:tcBorders>
          </w:tcPr>
          <w:p w14:paraId="02F56F9A" w14:textId="10415653" w:rsidR="00C734A8" w:rsidRDefault="00C734A8" w:rsidP="00417F53">
            <w:pPr>
              <w:keepNext/>
              <w:spacing w:after="0"/>
              <w:jc w:val="center"/>
            </w:pPr>
            <w:r w:rsidRPr="00150AFE">
              <w:t>0.78</w:t>
            </w:r>
            <w:r w:rsidR="009353B1">
              <w:t>6</w:t>
            </w:r>
          </w:p>
        </w:tc>
        <w:tc>
          <w:tcPr>
            <w:tcW w:w="2254" w:type="dxa"/>
            <w:tcBorders>
              <w:top w:val="single" w:sz="4" w:space="0" w:color="auto"/>
            </w:tcBorders>
          </w:tcPr>
          <w:p w14:paraId="1CC7163A" w14:textId="011CEF11" w:rsidR="00C734A8" w:rsidRDefault="00C734A8" w:rsidP="00417F53">
            <w:pPr>
              <w:keepNext/>
              <w:spacing w:after="0"/>
              <w:jc w:val="center"/>
            </w:pPr>
            <w:r w:rsidRPr="00150AFE">
              <w:t>0.75</w:t>
            </w:r>
            <w:r w:rsidR="009353B1">
              <w:t>1</w:t>
            </w:r>
            <w:r w:rsidRPr="00150AFE">
              <w:t>–0.82</w:t>
            </w:r>
            <w:r w:rsidR="009353B1">
              <w:t>0</w:t>
            </w:r>
          </w:p>
        </w:tc>
        <w:tc>
          <w:tcPr>
            <w:tcW w:w="2254" w:type="dxa"/>
            <w:tcBorders>
              <w:top w:val="single" w:sz="4" w:space="0" w:color="auto"/>
            </w:tcBorders>
          </w:tcPr>
          <w:p w14:paraId="1CAC7A27" w14:textId="294EB526" w:rsidR="00C734A8" w:rsidRDefault="00C734A8" w:rsidP="00417F53">
            <w:pPr>
              <w:keepNext/>
              <w:spacing w:after="0"/>
              <w:jc w:val="center"/>
            </w:pPr>
            <w:r w:rsidRPr="00150AFE">
              <w:t>+0.0</w:t>
            </w:r>
            <w:r w:rsidR="009353B1">
              <w:t>18</w:t>
            </w:r>
          </w:p>
        </w:tc>
      </w:tr>
      <w:tr w:rsidR="00C734A8" w14:paraId="10A114DA" w14:textId="77777777" w:rsidTr="008A35C5">
        <w:tc>
          <w:tcPr>
            <w:tcW w:w="2972" w:type="dxa"/>
          </w:tcPr>
          <w:p w14:paraId="147A0CA8" w14:textId="3BD517DE" w:rsidR="00C734A8" w:rsidRDefault="00417F53" w:rsidP="00C734A8">
            <w:pPr>
              <w:keepNext/>
              <w:spacing w:after="0"/>
            </w:pPr>
            <w:r w:rsidRPr="00150AFE">
              <w:t xml:space="preserve">RPPA Proteomics         </w:t>
            </w:r>
          </w:p>
        </w:tc>
        <w:tc>
          <w:tcPr>
            <w:tcW w:w="1536" w:type="dxa"/>
          </w:tcPr>
          <w:p w14:paraId="294434A4" w14:textId="3B9C5723" w:rsidR="00C734A8" w:rsidRDefault="00417F53" w:rsidP="00417F53">
            <w:pPr>
              <w:keepNext/>
              <w:spacing w:after="0"/>
              <w:jc w:val="center"/>
            </w:pPr>
            <w:r w:rsidRPr="00150AFE">
              <w:t>0.784</w:t>
            </w:r>
          </w:p>
        </w:tc>
        <w:tc>
          <w:tcPr>
            <w:tcW w:w="2254" w:type="dxa"/>
          </w:tcPr>
          <w:p w14:paraId="38A4467A" w14:textId="3D2818B5" w:rsidR="00C734A8" w:rsidRDefault="00417F53" w:rsidP="00417F53">
            <w:pPr>
              <w:keepNext/>
              <w:spacing w:after="0"/>
              <w:jc w:val="center"/>
            </w:pPr>
            <w:r w:rsidRPr="00150AFE">
              <w:t>0.747–0.820</w:t>
            </w:r>
          </w:p>
        </w:tc>
        <w:tc>
          <w:tcPr>
            <w:tcW w:w="2254" w:type="dxa"/>
          </w:tcPr>
          <w:p w14:paraId="11309A6D" w14:textId="77C7A96F" w:rsidR="00C734A8" w:rsidRDefault="00417F53" w:rsidP="00417F53">
            <w:pPr>
              <w:keepNext/>
              <w:spacing w:after="0"/>
              <w:jc w:val="center"/>
            </w:pPr>
            <w:r w:rsidRPr="00150AFE">
              <w:t>+0.016</w:t>
            </w:r>
          </w:p>
        </w:tc>
      </w:tr>
      <w:tr w:rsidR="00417F53" w14:paraId="1EFE29C2" w14:textId="77777777" w:rsidTr="008A35C5">
        <w:tc>
          <w:tcPr>
            <w:tcW w:w="2972" w:type="dxa"/>
          </w:tcPr>
          <w:p w14:paraId="56FC7F4C" w14:textId="289AA8A9" w:rsidR="00417F53" w:rsidRPr="00150AFE" w:rsidRDefault="00417F53" w:rsidP="00C734A8">
            <w:pPr>
              <w:keepNext/>
              <w:spacing w:after="0"/>
            </w:pPr>
            <w:r w:rsidRPr="00150AFE">
              <w:t xml:space="preserve">Integrated </w:t>
            </w:r>
            <w:proofErr w:type="gramStart"/>
            <w:r w:rsidRPr="00150AFE">
              <w:t>Multi-Omics</w:t>
            </w:r>
            <w:proofErr w:type="gramEnd"/>
            <w:r w:rsidRPr="00150AFE">
              <w:t xml:space="preserve">  </w:t>
            </w:r>
          </w:p>
        </w:tc>
        <w:tc>
          <w:tcPr>
            <w:tcW w:w="1536" w:type="dxa"/>
          </w:tcPr>
          <w:p w14:paraId="2FAC73A2" w14:textId="47362482" w:rsidR="00417F53" w:rsidRPr="00150AFE" w:rsidRDefault="00417F53" w:rsidP="00417F53">
            <w:pPr>
              <w:keepNext/>
              <w:spacing w:after="0"/>
              <w:jc w:val="center"/>
            </w:pPr>
            <w:r w:rsidRPr="00150AFE">
              <w:t>0.</w:t>
            </w:r>
            <w:r>
              <w:t>77</w:t>
            </w:r>
            <w:r w:rsidR="009353B1">
              <w:t>3</w:t>
            </w:r>
          </w:p>
        </w:tc>
        <w:tc>
          <w:tcPr>
            <w:tcW w:w="2254" w:type="dxa"/>
          </w:tcPr>
          <w:p w14:paraId="05DCCC58" w14:textId="29907283" w:rsidR="00417F53" w:rsidRPr="00150AFE" w:rsidRDefault="00417F53" w:rsidP="00417F53">
            <w:pPr>
              <w:keepNext/>
              <w:spacing w:after="0"/>
              <w:jc w:val="center"/>
            </w:pPr>
            <w:r w:rsidRPr="00150AFE">
              <w:t>0.73</w:t>
            </w:r>
            <w:r w:rsidR="009353B1">
              <w:t>6</w:t>
            </w:r>
            <w:r w:rsidRPr="00150AFE">
              <w:t>–0.81</w:t>
            </w:r>
            <w:r w:rsidR="009353B1">
              <w:t>0</w:t>
            </w:r>
          </w:p>
        </w:tc>
        <w:tc>
          <w:tcPr>
            <w:tcW w:w="2254" w:type="dxa"/>
          </w:tcPr>
          <w:p w14:paraId="0298122E" w14:textId="1C49A3F0" w:rsidR="00417F53" w:rsidRPr="00150AFE" w:rsidRDefault="00417F53" w:rsidP="00417F53">
            <w:pPr>
              <w:keepNext/>
              <w:spacing w:after="0"/>
              <w:jc w:val="center"/>
            </w:pPr>
            <w:r w:rsidRPr="00150AFE">
              <w:t>+0.00</w:t>
            </w:r>
            <w:r w:rsidR="009353B1">
              <w:t>5</w:t>
            </w:r>
            <w:r w:rsidRPr="00150AFE">
              <w:t xml:space="preserve">                </w:t>
            </w:r>
          </w:p>
        </w:tc>
      </w:tr>
      <w:tr w:rsidR="00417F53" w14:paraId="21396F3F" w14:textId="77777777" w:rsidTr="008A35C5">
        <w:tc>
          <w:tcPr>
            <w:tcW w:w="2972" w:type="dxa"/>
          </w:tcPr>
          <w:p w14:paraId="1794B00D" w14:textId="6398032B" w:rsidR="00417F53" w:rsidRPr="00150AFE" w:rsidRDefault="00417F53" w:rsidP="00C734A8">
            <w:pPr>
              <w:keepNext/>
              <w:spacing w:after="0"/>
            </w:pPr>
            <w:r w:rsidRPr="00150AFE">
              <w:t xml:space="preserve">RNA Pathway Signatures  </w:t>
            </w:r>
          </w:p>
        </w:tc>
        <w:tc>
          <w:tcPr>
            <w:tcW w:w="1536" w:type="dxa"/>
          </w:tcPr>
          <w:p w14:paraId="3E32B286" w14:textId="39EDCC8E" w:rsidR="00417F53" w:rsidRPr="00150AFE" w:rsidRDefault="00417F53" w:rsidP="00417F53">
            <w:pPr>
              <w:keepNext/>
              <w:spacing w:after="0"/>
              <w:jc w:val="center"/>
            </w:pPr>
            <w:r w:rsidRPr="00150AFE">
              <w:t xml:space="preserve">0.772      </w:t>
            </w:r>
          </w:p>
        </w:tc>
        <w:tc>
          <w:tcPr>
            <w:tcW w:w="2254" w:type="dxa"/>
          </w:tcPr>
          <w:p w14:paraId="39F78351" w14:textId="594F4F26" w:rsidR="00417F53" w:rsidRPr="00150AFE" w:rsidRDefault="00417F53" w:rsidP="00417F53">
            <w:pPr>
              <w:keepNext/>
              <w:spacing w:after="0"/>
              <w:jc w:val="center"/>
            </w:pPr>
            <w:r w:rsidRPr="00150AFE">
              <w:t>0.737–0.808</w:t>
            </w:r>
          </w:p>
        </w:tc>
        <w:tc>
          <w:tcPr>
            <w:tcW w:w="2254" w:type="dxa"/>
          </w:tcPr>
          <w:p w14:paraId="67757C96" w14:textId="53EF27CD" w:rsidR="00417F53" w:rsidRPr="00150AFE" w:rsidRDefault="00417F53" w:rsidP="00417F53">
            <w:pPr>
              <w:keepNext/>
              <w:spacing w:after="0"/>
              <w:jc w:val="center"/>
            </w:pPr>
            <w:r w:rsidRPr="00150AFE">
              <w:t xml:space="preserve">+0.004                </w:t>
            </w:r>
          </w:p>
        </w:tc>
      </w:tr>
      <w:tr w:rsidR="00417F53" w14:paraId="187C9215" w14:textId="77777777" w:rsidTr="008A35C5">
        <w:tc>
          <w:tcPr>
            <w:tcW w:w="2972" w:type="dxa"/>
          </w:tcPr>
          <w:p w14:paraId="336D74D1" w14:textId="7FF55797" w:rsidR="00417F53" w:rsidRPr="00150AFE" w:rsidRDefault="00417F53" w:rsidP="00C734A8">
            <w:pPr>
              <w:keepNext/>
              <w:spacing w:after="0"/>
            </w:pPr>
            <w:r w:rsidRPr="00150AFE">
              <w:t xml:space="preserve">Clinical Baseline       </w:t>
            </w:r>
          </w:p>
        </w:tc>
        <w:tc>
          <w:tcPr>
            <w:tcW w:w="1536" w:type="dxa"/>
          </w:tcPr>
          <w:p w14:paraId="092740DC" w14:textId="624DBC1D" w:rsidR="00417F53" w:rsidRPr="00150AFE" w:rsidRDefault="00417F53" w:rsidP="00417F53">
            <w:pPr>
              <w:keepNext/>
              <w:spacing w:after="0"/>
              <w:jc w:val="center"/>
            </w:pPr>
            <w:r w:rsidRPr="00150AFE">
              <w:t xml:space="preserve">0.768      </w:t>
            </w:r>
          </w:p>
        </w:tc>
        <w:tc>
          <w:tcPr>
            <w:tcW w:w="2254" w:type="dxa"/>
          </w:tcPr>
          <w:p w14:paraId="41EFDD9C" w14:textId="524570B4" w:rsidR="00417F53" w:rsidRPr="00150AFE" w:rsidRDefault="00417F53" w:rsidP="00417F53">
            <w:pPr>
              <w:keepNext/>
              <w:spacing w:after="0"/>
              <w:jc w:val="center"/>
            </w:pPr>
            <w:r w:rsidRPr="00150AFE">
              <w:t>0.731–0.804</w:t>
            </w:r>
          </w:p>
        </w:tc>
        <w:tc>
          <w:tcPr>
            <w:tcW w:w="2254" w:type="dxa"/>
          </w:tcPr>
          <w:p w14:paraId="2A159186" w14:textId="0303C4C8" w:rsidR="00417F53" w:rsidRPr="00150AFE" w:rsidRDefault="00417F53" w:rsidP="00417F53">
            <w:pPr>
              <w:keepNext/>
              <w:spacing w:after="0"/>
              <w:jc w:val="center"/>
            </w:pPr>
            <w:r w:rsidRPr="00150AFE">
              <w:t>—</w:t>
            </w:r>
          </w:p>
        </w:tc>
      </w:tr>
      <w:tr w:rsidR="00417F53" w14:paraId="0D01D165" w14:textId="77777777" w:rsidTr="008A35C5">
        <w:tc>
          <w:tcPr>
            <w:tcW w:w="2972" w:type="dxa"/>
          </w:tcPr>
          <w:p w14:paraId="510E1D41" w14:textId="4A7454A5" w:rsidR="00417F53" w:rsidRPr="00150AFE" w:rsidRDefault="00417F53" w:rsidP="00C734A8">
            <w:pPr>
              <w:keepNext/>
              <w:spacing w:after="0"/>
            </w:pPr>
            <w:r w:rsidRPr="00150AFE">
              <w:t>Copy Number Alterations</w:t>
            </w:r>
          </w:p>
        </w:tc>
        <w:tc>
          <w:tcPr>
            <w:tcW w:w="1536" w:type="dxa"/>
          </w:tcPr>
          <w:p w14:paraId="25853968" w14:textId="4E6A687D" w:rsidR="00417F53" w:rsidRPr="00150AFE" w:rsidRDefault="00417F53" w:rsidP="00417F53">
            <w:pPr>
              <w:keepNext/>
              <w:spacing w:after="0"/>
              <w:jc w:val="center"/>
            </w:pPr>
            <w:r w:rsidRPr="00150AFE">
              <w:t xml:space="preserve">0.767      </w:t>
            </w:r>
          </w:p>
        </w:tc>
        <w:tc>
          <w:tcPr>
            <w:tcW w:w="2254" w:type="dxa"/>
          </w:tcPr>
          <w:p w14:paraId="02F808C0" w14:textId="4608AB12" w:rsidR="00417F53" w:rsidRPr="00150AFE" w:rsidRDefault="00417F53" w:rsidP="00417F53">
            <w:pPr>
              <w:keepNext/>
              <w:spacing w:after="0"/>
              <w:jc w:val="center"/>
            </w:pPr>
            <w:r w:rsidRPr="00150AFE">
              <w:t>0.730–0.804</w:t>
            </w:r>
          </w:p>
        </w:tc>
        <w:tc>
          <w:tcPr>
            <w:tcW w:w="2254" w:type="dxa"/>
          </w:tcPr>
          <w:p w14:paraId="0074698C" w14:textId="1FCC7DE2" w:rsidR="00417F53" w:rsidRPr="00150AFE" w:rsidRDefault="00417F53" w:rsidP="00417F53">
            <w:pPr>
              <w:keepNext/>
              <w:spacing w:after="0"/>
              <w:jc w:val="center"/>
            </w:pPr>
            <w:r w:rsidRPr="00150AFE">
              <w:t xml:space="preserve">−0.001                </w:t>
            </w:r>
          </w:p>
        </w:tc>
      </w:tr>
    </w:tbl>
    <w:p w14:paraId="0AB9FACE" w14:textId="4FEFA2B4" w:rsidR="00B82FDC" w:rsidRPr="000B7451" w:rsidRDefault="00417F53" w:rsidP="00417F53">
      <w:pPr>
        <w:pStyle w:val="Caption"/>
        <w:rPr>
          <w:b/>
          <w:bCs/>
        </w:rPr>
      </w:pPr>
      <w:r w:rsidRPr="000B7451">
        <w:rPr>
          <w:b/>
          <w:bCs/>
        </w:rPr>
        <w:t xml:space="preserve">Table </w:t>
      </w:r>
      <w:r w:rsidRPr="000B7451">
        <w:rPr>
          <w:b/>
          <w:bCs/>
        </w:rPr>
        <w:fldChar w:fldCharType="begin"/>
      </w:r>
      <w:r w:rsidRPr="000B7451">
        <w:rPr>
          <w:b/>
          <w:bCs/>
        </w:rPr>
        <w:instrText xml:space="preserve"> SEQ Table \* ARABIC </w:instrText>
      </w:r>
      <w:r w:rsidRPr="000B7451">
        <w:rPr>
          <w:b/>
          <w:bCs/>
        </w:rPr>
        <w:fldChar w:fldCharType="separate"/>
      </w:r>
      <w:r w:rsidRPr="000B7451">
        <w:rPr>
          <w:b/>
          <w:bCs/>
          <w:noProof/>
        </w:rPr>
        <w:t>3</w:t>
      </w:r>
      <w:r w:rsidRPr="000B7451">
        <w:rPr>
          <w:b/>
          <w:bCs/>
        </w:rPr>
        <w:fldChar w:fldCharType="end"/>
      </w:r>
      <w:r w:rsidRPr="000B7451">
        <w:rPr>
          <w:b/>
          <w:bCs/>
        </w:rPr>
        <w:t xml:space="preserve">. </w:t>
      </w:r>
      <w:r w:rsidR="00DC67B9" w:rsidRPr="00DC67B9">
        <w:rPr>
          <w:b/>
          <w:bCs/>
        </w:rPr>
        <w:t>Cross-validated performance and incremental metrics against clinical baseline</w:t>
      </w:r>
      <w:r w:rsidR="000B7451" w:rsidRPr="000B7451">
        <w:rPr>
          <w:b/>
          <w:bCs/>
        </w:rPr>
        <w:t>.</w:t>
      </w:r>
      <w:r w:rsidR="000B7451" w:rsidRPr="000B7451">
        <w:rPr>
          <w:b/>
          <w:bCs/>
        </w:rPr>
        <w:br/>
      </w:r>
      <w:r w:rsidR="00DC67B9" w:rsidRPr="00DC67B9">
        <w:t>Summary of out-of-fold Harrell's C-index values, 95% confidence intervals, and incremental performance gains (∆C) relative to the clinical baseline across the six evaluated survival models</w:t>
      </w:r>
      <w:r w:rsidR="000B7451" w:rsidRPr="000B7451">
        <w:t>.</w:t>
      </w:r>
    </w:p>
    <w:p w14:paraId="7C5F7035" w14:textId="3D1ECD55" w:rsidR="00417F53" w:rsidRDefault="009353B1" w:rsidP="009353B1">
      <w:pPr>
        <w:keepNext/>
        <w:jc w:val="center"/>
      </w:pPr>
      <w:r>
        <w:rPr>
          <w:noProof/>
        </w:rPr>
        <w:lastRenderedPageBreak/>
        <w:drawing>
          <wp:inline distT="0" distB="0" distL="0" distR="0" wp14:anchorId="64189BAC" wp14:editId="6805AF31">
            <wp:extent cx="6111240" cy="4838700"/>
            <wp:effectExtent l="0" t="0" r="3810" b="0"/>
            <wp:docPr id="3149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1240" cy="4838700"/>
                    </a:xfrm>
                    <a:prstGeom prst="rect">
                      <a:avLst/>
                    </a:prstGeom>
                    <a:noFill/>
                    <a:ln>
                      <a:noFill/>
                    </a:ln>
                  </pic:spPr>
                </pic:pic>
              </a:graphicData>
            </a:graphic>
          </wp:inline>
        </w:drawing>
      </w:r>
    </w:p>
    <w:p w14:paraId="765E8BE2" w14:textId="5EF35A8A" w:rsidR="008A35C5" w:rsidRPr="008A35C5" w:rsidRDefault="00417F53" w:rsidP="008A35C5">
      <w:pPr>
        <w:pStyle w:val="Caption"/>
      </w:pPr>
      <w:r w:rsidRPr="008A35C5">
        <w:rPr>
          <w:b/>
          <w:bCs/>
        </w:rPr>
        <w:t xml:space="preserve">Figure </w:t>
      </w:r>
      <w:r w:rsidRPr="008A35C5">
        <w:rPr>
          <w:b/>
          <w:bCs/>
        </w:rPr>
        <w:fldChar w:fldCharType="begin"/>
      </w:r>
      <w:r w:rsidRPr="008A35C5">
        <w:rPr>
          <w:b/>
          <w:bCs/>
        </w:rPr>
        <w:instrText xml:space="preserve"> SEQ Figure \* ARABIC </w:instrText>
      </w:r>
      <w:r w:rsidRPr="008A35C5">
        <w:rPr>
          <w:b/>
          <w:bCs/>
        </w:rPr>
        <w:fldChar w:fldCharType="separate"/>
      </w:r>
      <w:r w:rsidRPr="008A35C5">
        <w:rPr>
          <w:b/>
          <w:bCs/>
          <w:noProof/>
        </w:rPr>
        <w:t>8</w:t>
      </w:r>
      <w:r w:rsidRPr="008A35C5">
        <w:rPr>
          <w:b/>
          <w:bCs/>
        </w:rPr>
        <w:fldChar w:fldCharType="end"/>
      </w:r>
      <w:r w:rsidRPr="008A35C5">
        <w:rPr>
          <w:b/>
          <w:bCs/>
        </w:rPr>
        <w:t xml:space="preserve">. </w:t>
      </w:r>
      <w:r w:rsidR="00DC67B9" w:rsidRPr="00DC67B9">
        <w:rPr>
          <w:b/>
          <w:bCs/>
        </w:rPr>
        <w:t>Multivariable hazard ratios for the integrated multi-omics model</w:t>
      </w:r>
      <w:r w:rsidR="008A35C5" w:rsidRPr="008A35C5">
        <w:rPr>
          <w:b/>
          <w:bCs/>
        </w:rPr>
        <w:t>.</w:t>
      </w:r>
      <w:r w:rsidR="008A35C5">
        <w:rPr>
          <w:b/>
          <w:bCs/>
        </w:rPr>
        <w:br/>
      </w:r>
      <w:r w:rsidR="00DC67B9" w:rsidRPr="00DC67B9">
        <w:t xml:space="preserve">Full-cohort Cox proportional hazards fit (n = 448) across clinical metadata, proteomic markers, </w:t>
      </w:r>
      <w:r w:rsidR="009353B1">
        <w:t xml:space="preserve">data-driven genes </w:t>
      </w:r>
      <w:r w:rsidR="00DC67B9" w:rsidRPr="00DC67B9">
        <w:t>and transcriptomic pathway scores. Points show hazard ratios (HR) and horizontal whiskers represent 95% confidence intervals on a log scale. Green indicates protective effects (HR &lt; 1) and red indicates increased risk (HR &gt; 1)</w:t>
      </w:r>
      <w:r w:rsidR="00DC67B9">
        <w:t>.</w:t>
      </w:r>
    </w:p>
    <w:p w14:paraId="54F23838" w14:textId="76541AB9" w:rsidR="00B82FDC" w:rsidRPr="00150AFE" w:rsidRDefault="00B82FDC" w:rsidP="00B82FDC">
      <w:r w:rsidRPr="00150AFE">
        <w:t>kinase signalling (higher ERRFI1 expression reflects greater suppression of the oncogenic kinase axis)</w:t>
      </w:r>
      <w:r w:rsidR="00B34ADB" w:rsidRPr="00B34ADB">
        <w:rPr>
          <w:vertAlign w:val="superscript"/>
        </w:rPr>
        <w:t>17</w:t>
      </w:r>
      <w:r w:rsidRPr="00150AFE">
        <w:t xml:space="preserve">. Phosphorylated MAPK/ERK (pT202/Y204; HR = 0.81, p = 0.030) was also independently protective. Although MAPK/ERK activation is usually linked to tumour growth, there is published evidence in </w:t>
      </w:r>
      <w:proofErr w:type="spellStart"/>
      <w:r w:rsidRPr="00150AFE">
        <w:t>ccRCC</w:t>
      </w:r>
      <w:proofErr w:type="spellEnd"/>
      <w:r w:rsidRPr="00150AFE">
        <w:t xml:space="preserve"> that higher ERK activity may instead reflect more differentiated, less aggressive tumours. The similar effects seen for ERRFI1, phospho-ERK, and the borderline-significant p90RSK (HR = 0.82, p = 0.098) suggest a consistent ERK/MAPK signalling pattern, where higher pathway activity is linked to improved survival in </w:t>
      </w:r>
      <w:r w:rsidR="00D27C42">
        <w:t>ccRCC</w:t>
      </w:r>
      <w:r w:rsidR="00B34ADB" w:rsidRPr="00B34ADB">
        <w:rPr>
          <w:vertAlign w:val="superscript"/>
        </w:rPr>
        <w:t>18</w:t>
      </w:r>
      <w:r w:rsidRPr="00150AFE">
        <w:t>. The remaining seven proteins did not reach significance in the fully adjusted model, consistent with partial redundancy in their prognostic information relative to stage and the other retained proteins.</w:t>
      </w:r>
    </w:p>
    <w:p w14:paraId="4C76597C" w14:textId="08533AB3" w:rsidR="00B82FDC" w:rsidRDefault="00B82FDC" w:rsidP="00B82FDC">
      <w:r w:rsidRPr="00D27C42">
        <w:rPr>
          <w:b/>
          <w:bCs/>
        </w:rPr>
        <w:lastRenderedPageBreak/>
        <w:t>Transcriptomic pathway scores.</w:t>
      </w:r>
      <w:r w:rsidRPr="00150AFE">
        <w:t xml:space="preserve"> No individual pathway score reached conventional significance in the multivariable integrated model, despite the combined RNA pathway feature set improving cross-validated C-index by 0.004 over the clinical baseline. This apparent paradox is explained by multicollinearity: the eight pathway gene sets share a substantial number of member genes (</w:t>
      </w:r>
      <w:proofErr w:type="spellStart"/>
      <w:r w:rsidRPr="00C11FF7">
        <w:rPr>
          <w:rStyle w:val="CodeChar"/>
        </w:rPr>
        <w:t>inflammatory_response</w:t>
      </w:r>
      <w:proofErr w:type="spellEnd"/>
      <w:r w:rsidRPr="00150AFE">
        <w:t xml:space="preserve"> and </w:t>
      </w:r>
      <w:proofErr w:type="spellStart"/>
      <w:r w:rsidRPr="00C11FF7">
        <w:rPr>
          <w:rStyle w:val="CodeChar"/>
        </w:rPr>
        <w:t>ecm_remodelling</w:t>
      </w:r>
      <w:proofErr w:type="spellEnd"/>
      <w:r w:rsidRPr="00150AFE">
        <w:t xml:space="preserve"> each contain over 1,800 genes with considerable overlap), producing highly correlated PC1 scores that inflate standard errors and p-values in multivariable regression whilst retaining joint discriminatory power in cross-validation. The neutrophil activation score carried the numerically largest pathway hazard ratio in the integrated model (HR = 1.15), consistent with the established role of tumour-associated neutrophils as mediators of invasion and poor prognosis in ccRCC</w:t>
      </w:r>
      <w:r w:rsidR="000E5898" w:rsidRPr="000E5898">
        <w:rPr>
          <w:vertAlign w:val="superscript"/>
        </w:rPr>
        <w:t>10</w:t>
      </w:r>
      <w:r w:rsidRPr="00150AFE">
        <w:t>. Notably, neutrophil activation was a stronger individual signal than neutrophil degranulation, suggesting that upstream neutrophil recruitment and activation state (rather than downstream effector functions) is the more prognostically relevant component of neutrophil biology in this tumour.</w:t>
      </w:r>
    </w:p>
    <w:p w14:paraId="59ECAD38" w14:textId="0C68E5AB" w:rsidR="00222900" w:rsidRDefault="00222900" w:rsidP="00B82FDC">
      <w:r w:rsidRPr="00222900">
        <w:rPr>
          <w:b/>
          <w:bCs/>
        </w:rPr>
        <w:t>Data-driven gene selection</w:t>
      </w:r>
      <w:r>
        <w:t xml:space="preserve">. </w:t>
      </w:r>
      <w:r w:rsidR="005A1A13" w:rsidRPr="005A1A13">
        <w:t xml:space="preserve">DONSON was the only gene that retained independent statistical significance in the multivariable model, suggesting its prognostic effect is not explained by co-expression with the other selected features or shared underlying biological pathways. </w:t>
      </w:r>
    </w:p>
    <w:p w14:paraId="5A3150B9" w14:textId="0637DB98" w:rsidR="00594BC2" w:rsidRDefault="00594BC2" w:rsidP="00594BC2">
      <w:pPr>
        <w:pStyle w:val="Heading3"/>
      </w:pPr>
      <w:r>
        <w:t>2.7 Conclusion</w:t>
      </w:r>
    </w:p>
    <w:p w14:paraId="34F37F85" w14:textId="311F12A0" w:rsidR="00594BC2" w:rsidRPr="00594BC2" w:rsidRDefault="00F111B4" w:rsidP="00594BC2">
      <w:r w:rsidRPr="00F111B4">
        <w:t>Overall, this multi-omics survival analysis in TCGA-KIRC shows that clinical variables, particularly stage and age, remain the dominant determinants of survival, with molecular layers providing only modest additional prognostic gain.</w:t>
      </w:r>
      <w:r>
        <w:t xml:space="preserve"> The data-drive</w:t>
      </w:r>
      <w:r w:rsidR="00B34ADB">
        <w:t>n</w:t>
      </w:r>
      <w:r>
        <w:t xml:space="preserve"> RNA-score and </w:t>
      </w:r>
      <w:r w:rsidRPr="00F111B4">
        <w:rPr>
          <w:lang w:val="en-IE"/>
        </w:rPr>
        <w:t xml:space="preserve">RPPA proteomics yielded the strongest incremental improvements in discrimination, whereas full integration of all omics layers did not enhance performance beyond these individual models, likely due to redundancy and multicollinearity. In the multivariable model, only a small number of molecular features retained independent significance, with DONSON emerging as the sole transcriptomic signal, suggesting a distinct association with tumour biology beyond shared pathway effects. Collectively, these results highlight limited but non-redundant value from selected molecular features on top of a strong clinical baseline in </w:t>
      </w:r>
      <w:proofErr w:type="spellStart"/>
      <w:r w:rsidRPr="00F111B4">
        <w:rPr>
          <w:lang w:val="en-IE"/>
        </w:rPr>
        <w:t>ccRCC</w:t>
      </w:r>
      <w:proofErr w:type="spellEnd"/>
      <w:r w:rsidRPr="00F111B4">
        <w:rPr>
          <w:lang w:val="en-IE"/>
        </w:rPr>
        <w:t xml:space="preserve"> prognosis.</w:t>
      </w:r>
    </w:p>
    <w:p w14:paraId="385BED83" w14:textId="77777777" w:rsidR="00DC67B9" w:rsidRDefault="00DC67B9">
      <w:pPr>
        <w:spacing w:after="160" w:line="259" w:lineRule="auto"/>
        <w:rPr>
          <w:rFonts w:eastAsiaTheme="majorEastAsia"/>
          <w:b/>
          <w:bCs/>
          <w:sz w:val="32"/>
          <w:szCs w:val="32"/>
        </w:rPr>
      </w:pPr>
      <w:r>
        <w:br w:type="page"/>
      </w:r>
    </w:p>
    <w:p w14:paraId="7353D617" w14:textId="12CF5E28" w:rsidR="00B82FDC" w:rsidRPr="00150AFE" w:rsidRDefault="00B82FDC" w:rsidP="000972D6">
      <w:pPr>
        <w:pStyle w:val="Heading2"/>
      </w:pPr>
      <w:r w:rsidRPr="00150AFE">
        <w:lastRenderedPageBreak/>
        <w:t>3. Methods and Code</w:t>
      </w:r>
    </w:p>
    <w:p w14:paraId="7C6B749B" w14:textId="42C6E7F8" w:rsidR="00B82FDC" w:rsidRDefault="00B82FDC" w:rsidP="00B82FDC">
      <w:r w:rsidRPr="00150AFE">
        <w:t xml:space="preserve">The complete analysis pipeline is publicly available at </w:t>
      </w:r>
      <w:hyperlink r:id="rId16" w:history="1">
        <w:r w:rsidR="00D27C42" w:rsidRPr="00BB0C36">
          <w:rPr>
            <w:rStyle w:val="Hyperlink"/>
          </w:rPr>
          <w:t>https://github.com/gillespieza/tcga-kirc-survival-omics/</w:t>
        </w:r>
      </w:hyperlink>
      <w:r w:rsidRPr="00150AFE">
        <w:t>. All analyses were performed in R (version 4.6.0)</w:t>
      </w:r>
      <w:r w:rsidR="00B34ADB" w:rsidRPr="00B34ADB">
        <w:rPr>
          <w:vertAlign w:val="superscript"/>
        </w:rPr>
        <w:t>19</w:t>
      </w:r>
      <w:r w:rsidRPr="00150AFE">
        <w:t xml:space="preserve"> using the </w:t>
      </w:r>
      <w:proofErr w:type="spellStart"/>
      <w:r w:rsidRPr="00C11FF7">
        <w:rPr>
          <w:rStyle w:val="CodeChar"/>
        </w:rPr>
        <w:t>tidyverse</w:t>
      </w:r>
      <w:proofErr w:type="spellEnd"/>
      <w:r w:rsidRPr="00150AFE">
        <w:t xml:space="preserve"> suite</w:t>
      </w:r>
      <w:r w:rsidR="00B34ADB" w:rsidRPr="00B34ADB">
        <w:rPr>
          <w:vertAlign w:val="superscript"/>
        </w:rPr>
        <w:t>20</w:t>
      </w:r>
      <w:r w:rsidR="00C5345B">
        <w:t>,</w:t>
      </w:r>
      <w:r w:rsidRPr="00150AFE">
        <w:t xml:space="preserve"> </w:t>
      </w:r>
      <w:r w:rsidRPr="00C11FF7">
        <w:rPr>
          <w:rStyle w:val="CodeChar"/>
        </w:rPr>
        <w:t>survival</w:t>
      </w:r>
      <w:r w:rsidR="00B34ADB" w:rsidRPr="00B34ADB">
        <w:rPr>
          <w:vertAlign w:val="superscript"/>
        </w:rPr>
        <w:t>21,22</w:t>
      </w:r>
      <w:r w:rsidRPr="00150AFE">
        <w:t xml:space="preserve">, </w:t>
      </w:r>
      <w:r w:rsidRPr="00C11FF7">
        <w:rPr>
          <w:rStyle w:val="CodeChar"/>
        </w:rPr>
        <w:t>survminer</w:t>
      </w:r>
      <w:r w:rsidR="00B34ADB" w:rsidRPr="00B34ADB">
        <w:rPr>
          <w:vertAlign w:val="superscript"/>
        </w:rPr>
        <w:t>23</w:t>
      </w:r>
      <w:r w:rsidRPr="00150AFE">
        <w:t xml:space="preserve">, </w:t>
      </w:r>
      <w:r w:rsidRPr="00C11FF7">
        <w:rPr>
          <w:rStyle w:val="CodeChar"/>
        </w:rPr>
        <w:t>glmnet</w:t>
      </w:r>
      <w:r w:rsidR="00B34ADB" w:rsidRPr="00B34ADB">
        <w:rPr>
          <w:rFonts w:ascii="Courier New" w:hAnsi="Courier New" w:cs="Courier New"/>
          <w:vertAlign w:val="superscript"/>
        </w:rPr>
        <w:t>24,25</w:t>
      </w:r>
      <w:r w:rsidRPr="00150AFE">
        <w:t xml:space="preserve">, </w:t>
      </w:r>
      <w:r w:rsidR="00C11FF7" w:rsidRPr="00C11FF7">
        <w:rPr>
          <w:rStyle w:val="CodeChar"/>
        </w:rPr>
        <w:t>broom</w:t>
      </w:r>
      <w:r w:rsidR="00B34ADB" w:rsidRPr="00B34ADB">
        <w:rPr>
          <w:vertAlign w:val="superscript"/>
        </w:rPr>
        <w:t>26</w:t>
      </w:r>
      <w:r w:rsidRPr="00150AFE">
        <w:t xml:space="preserve">, and </w:t>
      </w:r>
      <w:r w:rsidR="00C11FF7" w:rsidRPr="00C11FF7">
        <w:rPr>
          <w:rStyle w:val="CodeChar"/>
        </w:rPr>
        <w:t>msigdbr</w:t>
      </w:r>
      <w:r w:rsidR="00B34ADB" w:rsidRPr="00B34ADB">
        <w:rPr>
          <w:vertAlign w:val="superscript"/>
        </w:rPr>
        <w:t>27</w:t>
      </w:r>
      <w:r w:rsidRPr="00150AFE">
        <w:t>. A global random seed of 42 was set prior to all stochastic steps. The pipeline is orchestrated by a single entry-point script (</w:t>
      </w:r>
      <w:proofErr w:type="spellStart"/>
      <w:r w:rsidRPr="00D27C42">
        <w:rPr>
          <w:rFonts w:ascii="Courier New" w:hAnsi="Courier New" w:cs="Courier New"/>
          <w:b/>
          <w:bCs/>
        </w:rPr>
        <w:t>run_</w:t>
      </w:r>
      <w:proofErr w:type="gramStart"/>
      <w:r w:rsidRPr="00D27C42">
        <w:rPr>
          <w:rFonts w:ascii="Courier New" w:hAnsi="Courier New" w:cs="Courier New"/>
          <w:b/>
          <w:bCs/>
        </w:rPr>
        <w:t>analysis.R</w:t>
      </w:r>
      <w:proofErr w:type="spellEnd"/>
      <w:proofErr w:type="gramEnd"/>
      <w:r w:rsidRPr="00150AFE">
        <w:t xml:space="preserve">) that sources fourteen modular scripts in a defined sequence, with centralised logging, timing, and error handling. </w:t>
      </w:r>
    </w:p>
    <w:p w14:paraId="401BE115" w14:textId="77777777" w:rsidR="00872381" w:rsidRDefault="00872381" w:rsidP="00872381">
      <w:pPr>
        <w:pStyle w:val="Heading3"/>
      </w:pPr>
      <w:r>
        <w:t>3.1 Data Acquisition and Integration</w:t>
      </w:r>
    </w:p>
    <w:p w14:paraId="1FC3804D" w14:textId="7A5C11FE" w:rsidR="00872381" w:rsidRDefault="00872381" w:rsidP="00872381">
      <w:r>
        <w:t xml:space="preserve">Multi-omics and clinical data were obtained from the TCGA Kidney Renal Clear Cell Carcinoma (TCGA-KIRC) </w:t>
      </w:r>
      <w:proofErr w:type="spellStart"/>
      <w:r>
        <w:t>PanCancer</w:t>
      </w:r>
      <w:proofErr w:type="spellEnd"/>
      <w:r>
        <w:t xml:space="preserve"> Atlas cohort through </w:t>
      </w:r>
      <w:proofErr w:type="spellStart"/>
      <w:r>
        <w:t>cBioPortal</w:t>
      </w:r>
      <w:proofErr w:type="spellEnd"/>
      <w:r>
        <w:t>. Four data modalities were analysed: clinical metadata, RPPA proteomics, RNA sequencing (RNA-</w:t>
      </w:r>
      <w:proofErr w:type="spellStart"/>
      <w:r>
        <w:t>seq</w:t>
      </w:r>
      <w:proofErr w:type="spellEnd"/>
      <w:r>
        <w:t>) expression, and somatic CNA data.</w:t>
      </w:r>
    </w:p>
    <w:p w14:paraId="2A1DCC49" w14:textId="77777777" w:rsidR="00872381" w:rsidRDefault="00872381" w:rsidP="00872381">
      <w:r>
        <w:t>Clinical patient-level and sample-level datasets were merged and standardised using TCGA sample identifiers. RPPA and RNA-</w:t>
      </w:r>
      <w:proofErr w:type="spellStart"/>
      <w:r>
        <w:t>seq</w:t>
      </w:r>
      <w:proofErr w:type="spellEnd"/>
      <w:r>
        <w:t xml:space="preserve"> data were reshaped into sample-by-feature matrices, while CNA data were restricted to a curated panel of biologically relevant </w:t>
      </w:r>
      <w:proofErr w:type="spellStart"/>
      <w:r>
        <w:t>ccRCC</w:t>
      </w:r>
      <w:proofErr w:type="spellEnd"/>
      <w:r>
        <w:t xml:space="preserve"> driver genes. Data layers were integrated by sample matching to generate a unified analysis cohort containing complete multi-omics profiles and survival outcomes.</w:t>
      </w:r>
    </w:p>
    <w:p w14:paraId="4928AD18" w14:textId="3E4F1985" w:rsidR="00872381" w:rsidRDefault="00872381" w:rsidP="00872381">
      <w:r>
        <w:t xml:space="preserve">Overall survival was defined using TCGA overall survival status and follow-up time variables. Patients recorded as deceased were treated as events, while all others were considered </w:t>
      </w:r>
      <w:proofErr w:type="gramStart"/>
      <w:r>
        <w:t>right-censored</w:t>
      </w:r>
      <w:proofErr w:type="gramEnd"/>
      <w:r>
        <w:t>.</w:t>
      </w:r>
    </w:p>
    <w:p w14:paraId="58445160" w14:textId="77777777" w:rsidR="00872381" w:rsidRPr="00872381" w:rsidRDefault="00872381" w:rsidP="00872381">
      <w:pPr>
        <w:pStyle w:val="Heading3"/>
      </w:pPr>
      <w:r w:rsidRPr="00872381">
        <w:t>3.2 Clinical Feature Selection</w:t>
      </w:r>
    </w:p>
    <w:p w14:paraId="4FF2ABBD" w14:textId="77777777" w:rsidR="00872381" w:rsidRPr="00872381" w:rsidRDefault="00872381" w:rsidP="00872381">
      <w:r w:rsidRPr="00872381">
        <w:t>An initial set of candidate clinical variables was assembled from the TCGA clinical metadata. Administrative identifiers, procedural variables, post-baseline outcome variables, and variables exhibiting no meaningful variation within the cohort were excluded prior to analysis.</w:t>
      </w:r>
    </w:p>
    <w:p w14:paraId="2BB33FA9" w14:textId="77777777" w:rsidR="00872381" w:rsidRPr="00872381" w:rsidRDefault="00872381" w:rsidP="00872381">
      <w:r w:rsidRPr="00872381">
        <w:t xml:space="preserve">Remaining candidate predictors were evaluated using univariable Cox proportional hazards regression. For categorical variables, overall likelihood-ratio test statistics were used to generate a single p-value per variable. Multiple testing correction was performed using the </w:t>
      </w:r>
      <w:r w:rsidRPr="00872381">
        <w:lastRenderedPageBreak/>
        <w:t>Benjamini-Hochberg false discovery rate procedure, and variables with adjusted p-values below 0.05 were retained.</w:t>
      </w:r>
    </w:p>
    <w:p w14:paraId="169E139C" w14:textId="77777777" w:rsidR="00872381" w:rsidRPr="00872381" w:rsidRDefault="00872381" w:rsidP="00872381">
      <w:r w:rsidRPr="00872381">
        <w:t>Because the individual TNM staging variables are highly correlated with composite AJCC pathological stage, a predefined collinearity rule retained the composite stage variable when both representations were significant. The resulting set of selected clinical predictors formed the baseline model used throughout all downstream analyses.</w:t>
      </w:r>
    </w:p>
    <w:p w14:paraId="69DF00BD" w14:textId="77777777" w:rsidR="00872381" w:rsidRPr="00872381" w:rsidRDefault="00872381" w:rsidP="00872381">
      <w:pPr>
        <w:pStyle w:val="Heading3"/>
      </w:pPr>
      <w:r w:rsidRPr="00872381">
        <w:t>3.3 RPPA Proteomic Feature Selection</w:t>
      </w:r>
    </w:p>
    <w:p w14:paraId="2B2C4048" w14:textId="77777777" w:rsidR="00872381" w:rsidRPr="00872381" w:rsidRDefault="00872381" w:rsidP="00872381">
      <w:r w:rsidRPr="00872381">
        <w:t>RPPA data comprised 198 quantified protein features. Each protein was screened independently using univariable Cox regression to identify associations with overall survival.</w:t>
      </w:r>
    </w:p>
    <w:p w14:paraId="5BAADA07" w14:textId="77777777" w:rsidR="00872381" w:rsidRPr="00872381" w:rsidRDefault="00872381" w:rsidP="00872381">
      <w:r w:rsidRPr="00872381">
        <w:t>To derive a parsimonious multivariable protein signature, the 30 strongest proteins from the univariable screen were entered into a cross-validated least absolute shrinkage and selection operator (</w:t>
      </w:r>
      <w:r w:rsidRPr="00872381">
        <w:rPr>
          <w:i/>
          <w:iCs/>
        </w:rPr>
        <w:t>LASSO</w:t>
      </w:r>
      <w:r w:rsidRPr="00872381">
        <w:t>) Cox regression model. Clinical variables were intentionally excluded from the regularisation procedure to prevent dominant clinical predictors such as stage and grade from suppressing molecular feature selection.</w:t>
      </w:r>
    </w:p>
    <w:p w14:paraId="447B3082" w14:textId="77777777" w:rsidR="00872381" w:rsidRDefault="00872381" w:rsidP="00872381">
      <w:r w:rsidRPr="00872381">
        <w:t xml:space="preserve">The </w:t>
      </w:r>
      <w:r w:rsidRPr="00872381">
        <w:rPr>
          <w:i/>
          <w:iCs/>
        </w:rPr>
        <w:t>LASSO</w:t>
      </w:r>
      <w:r w:rsidRPr="00872381">
        <w:t xml:space="preserve"> model was fitted using 10-fold cross-validation. Features with non-zero coefficients at the selected penalty parameter were retained for subsequent survival modelling. A maximum of ten proteins was imposed to maintain an acceptable events-per-variable ratio and reduce overfitting risk.</w:t>
      </w:r>
    </w:p>
    <w:p w14:paraId="28A3E58B" w14:textId="77777777" w:rsidR="00872381" w:rsidRDefault="00872381" w:rsidP="00872381">
      <w:pPr>
        <w:pStyle w:val="Heading3"/>
      </w:pPr>
      <w:r>
        <w:t>3.4 Transcriptomic Feature Construction</w:t>
      </w:r>
    </w:p>
    <w:p w14:paraId="36158404" w14:textId="67FFC101" w:rsidR="00872381" w:rsidRDefault="00872381" w:rsidP="00872381">
      <w:r>
        <w:t>RNA-</w:t>
      </w:r>
      <w:proofErr w:type="spellStart"/>
      <w:r>
        <w:t>seq</w:t>
      </w:r>
      <w:proofErr w:type="spellEnd"/>
      <w:r>
        <w:t xml:space="preserve"> data were processed using a hybrid knowledge-driven and data-driven strategy. </w:t>
      </w:r>
    </w:p>
    <w:p w14:paraId="4134F323" w14:textId="13716116" w:rsidR="00872381" w:rsidRDefault="00872381" w:rsidP="00872381">
      <w:r>
        <w:t xml:space="preserve">For the knowledge-driven analysis, eight biological pathway signatures were retrieved from the </w:t>
      </w:r>
      <w:proofErr w:type="spellStart"/>
      <w:r>
        <w:t>MSigDB</w:t>
      </w:r>
      <w:proofErr w:type="spellEnd"/>
      <w:r>
        <w:t xml:space="preserve">. These pathways represented two biological themes relevant to </w:t>
      </w:r>
      <w:proofErr w:type="spellStart"/>
      <w:r>
        <w:t>ccRCC</w:t>
      </w:r>
      <w:proofErr w:type="spellEnd"/>
      <w:r>
        <w:t xml:space="preserve"> progression: inflammatory invasion (including neutrophil activation, neutrophil degranulation, inflammatory response, </w:t>
      </w:r>
      <w:r w:rsidR="00E032A2">
        <w:t>ECM</w:t>
      </w:r>
      <w:r>
        <w:t xml:space="preserve"> remodelling, and metalloprotease activity) and kinase signalling.</w:t>
      </w:r>
    </w:p>
    <w:p w14:paraId="03440952" w14:textId="37091AE4" w:rsidR="00E4404C" w:rsidRDefault="00872381" w:rsidP="00872381">
      <w:r>
        <w:t xml:space="preserve">Genes absent from the expression matrix were discarded, duplicate mappings were resolved, and quality-control filtering removed zero-variance genes and genes with more than 20% missing data. Expression values were log-transformed prior to analysis. For each pathway, </w:t>
      </w:r>
      <w:r>
        <w:lastRenderedPageBreak/>
        <w:t>principal component analysis (PCA) was applied to the corresponding gene set, and PC1</w:t>
      </w:r>
      <w:r w:rsidR="00A926F0">
        <w:t xml:space="preserve"> score</w:t>
      </w:r>
      <w:r>
        <w:t xml:space="preserve"> was retained as a pathway activity score. These scores provided a single quantitative summary of coordinated pathway expression for each sample.</w:t>
      </w:r>
    </w:p>
    <w:p w14:paraId="3CABA148" w14:textId="75240E43" w:rsidR="00872381" w:rsidRPr="00872381" w:rsidRDefault="00872381" w:rsidP="00872381">
      <w:r>
        <w:t>In parallel, a data-driven transcriptomic screen was conducted across all retained genes using univariable Cox regression. The twenty genes most strongly associated with survival were identified, and a joint PC1 score was calculated to generate an alternative transcriptomic feature representing the dominant survival-associated expression pattern.</w:t>
      </w:r>
    </w:p>
    <w:p w14:paraId="33ACF466" w14:textId="77777777" w:rsidR="00E4404C" w:rsidRDefault="00E4404C" w:rsidP="00E4404C">
      <w:pPr>
        <w:pStyle w:val="Heading3"/>
      </w:pPr>
      <w:r>
        <w:t>3.5 Copy Number Alteration Features</w:t>
      </w:r>
    </w:p>
    <w:p w14:paraId="6D359576" w14:textId="77777777" w:rsidR="00E4404C" w:rsidRDefault="00E4404C" w:rsidP="00E4404C">
      <w:r>
        <w:t xml:space="preserve">CNA analysis focused on a curated panel of established </w:t>
      </w:r>
      <w:proofErr w:type="spellStart"/>
      <w:r>
        <w:t>ccRCC</w:t>
      </w:r>
      <w:proofErr w:type="spellEnd"/>
      <w:r>
        <w:t xml:space="preserve"> driver genes: VHL, PBRM1, BAP1, SETD2, KDM5C, MTOR, PTEN, TSC1, and TSC2.</w:t>
      </w:r>
    </w:p>
    <w:p w14:paraId="4F07C58B" w14:textId="78BE5CD6" w:rsidR="00872381" w:rsidRDefault="00E4404C" w:rsidP="00E4404C">
      <w:r>
        <w:t>Only high-impact focal events were considered, defined as deep deletions or high-level amplifications according to GISTIC classifications. To avoid instability arising from extremely rare alterations, prevalence filtering was applied, with progressive threshold relaxation where necessary to retain informative features. Retained CNA events were encoded as binary predictors for survival modelling.</w:t>
      </w:r>
    </w:p>
    <w:p w14:paraId="37CFC635" w14:textId="301AF7D4" w:rsidR="00E4404C" w:rsidRDefault="00E4404C" w:rsidP="00E4404C">
      <w:pPr>
        <w:pStyle w:val="Heading3"/>
      </w:pPr>
      <w:r>
        <w:t>3.6 Survival Modelling and Cross-Validation</w:t>
      </w:r>
    </w:p>
    <w:p w14:paraId="79559C49" w14:textId="6B90E12A" w:rsidR="00E4404C" w:rsidRDefault="00E4404C" w:rsidP="00E4404C">
      <w:r>
        <w:t>Six Cox proportional hazards model configurations were evaluated:</w:t>
      </w:r>
    </w:p>
    <w:p w14:paraId="64598617" w14:textId="77777777" w:rsidR="00E4404C" w:rsidRDefault="00E4404C" w:rsidP="00E4404C">
      <w:pPr>
        <w:pStyle w:val="ListParagraph"/>
        <w:numPr>
          <w:ilvl w:val="0"/>
          <w:numId w:val="2"/>
        </w:numPr>
      </w:pPr>
      <w:r>
        <w:t>Clinical baseline model.</w:t>
      </w:r>
    </w:p>
    <w:p w14:paraId="597A1E02" w14:textId="77777777" w:rsidR="00E4404C" w:rsidRDefault="00E4404C" w:rsidP="00E4404C">
      <w:pPr>
        <w:pStyle w:val="ListParagraph"/>
        <w:numPr>
          <w:ilvl w:val="0"/>
          <w:numId w:val="2"/>
        </w:numPr>
      </w:pPr>
      <w:r>
        <w:t>Clinical plus RPPA proteomics.</w:t>
      </w:r>
    </w:p>
    <w:p w14:paraId="3CDE2405" w14:textId="77777777" w:rsidR="00E4404C" w:rsidRDefault="00E4404C" w:rsidP="00E4404C">
      <w:pPr>
        <w:pStyle w:val="ListParagraph"/>
        <w:numPr>
          <w:ilvl w:val="0"/>
          <w:numId w:val="2"/>
        </w:numPr>
      </w:pPr>
      <w:r>
        <w:t>Clinical plus curated RNA pathway scores.</w:t>
      </w:r>
    </w:p>
    <w:p w14:paraId="31189FDF" w14:textId="77777777" w:rsidR="00E4404C" w:rsidRDefault="00E4404C" w:rsidP="00E4404C">
      <w:pPr>
        <w:pStyle w:val="ListParagraph"/>
        <w:numPr>
          <w:ilvl w:val="0"/>
          <w:numId w:val="2"/>
        </w:numPr>
      </w:pPr>
      <w:r>
        <w:t>Clinical plus CNA features.</w:t>
      </w:r>
    </w:p>
    <w:p w14:paraId="18B9EF80" w14:textId="77777777" w:rsidR="00E4404C" w:rsidRDefault="00E4404C" w:rsidP="00E4404C">
      <w:pPr>
        <w:pStyle w:val="ListParagraph"/>
        <w:numPr>
          <w:ilvl w:val="0"/>
          <w:numId w:val="2"/>
        </w:numPr>
      </w:pPr>
      <w:r>
        <w:t>Clinical plus data-driven RNA score.</w:t>
      </w:r>
    </w:p>
    <w:p w14:paraId="35F23A93" w14:textId="23270557" w:rsidR="00E4404C" w:rsidRDefault="00E4404C" w:rsidP="00E4404C">
      <w:pPr>
        <w:pStyle w:val="ListParagraph"/>
        <w:numPr>
          <w:ilvl w:val="0"/>
          <w:numId w:val="2"/>
        </w:numPr>
      </w:pPr>
      <w:r>
        <w:t>Integrated multi-omics model.</w:t>
      </w:r>
    </w:p>
    <w:p w14:paraId="176C02C1" w14:textId="238E3F81" w:rsidR="00E4404C" w:rsidRDefault="00E4404C" w:rsidP="00E4404C">
      <w:r>
        <w:t>Model performance was assessed using stratified five-fold cross-validation. Folds were stratified by event status to preserve similar proportions of deaths across training and testing partitions. For each fold, models were trained on the training subset and evaluated on held-out samples.</w:t>
      </w:r>
    </w:p>
    <w:p w14:paraId="4748FA56" w14:textId="1FD7596C" w:rsidR="00E4404C" w:rsidRDefault="00E4404C" w:rsidP="00E4404C">
      <w:r>
        <w:lastRenderedPageBreak/>
        <w:t>Predictive discrimination was quantified using Harrell’s concordance index (C-index), calculated from out-of-fold predictions. Mean cross-validated C-indices and corresponding confidence intervals were used to compare model performance and estimate the incremental value contributed by each molecular data layer relative to the clinical baseline.</w:t>
      </w:r>
    </w:p>
    <w:p w14:paraId="2483E83C" w14:textId="7E94719C" w:rsidR="00E4404C" w:rsidRDefault="00E4404C" w:rsidP="00E4404C">
      <w:r>
        <w:t>Following model comparison, the final integrated model was fitted to the complete-case cohort to estimate hazard ratios and generate biological interpretations of the retained predictors.</w:t>
      </w:r>
    </w:p>
    <w:p w14:paraId="51A47241" w14:textId="424F13C5" w:rsidR="00E4404C" w:rsidRDefault="00E4404C" w:rsidP="00E4404C">
      <w:pPr>
        <w:pStyle w:val="Heading3"/>
      </w:pPr>
      <w:r>
        <w:t>3.7 Survival Assumption Testing</w:t>
      </w:r>
    </w:p>
    <w:p w14:paraId="63E8E7D2" w14:textId="77777777" w:rsidR="000E5898" w:rsidRDefault="00E4404C" w:rsidP="00417F53">
      <w:pPr>
        <w:sectPr w:rsidR="000E5898" w:rsidSect="00A94471">
          <w:pgSz w:w="11906" w:h="16838"/>
          <w:pgMar w:top="1134" w:right="1134" w:bottom="1134" w:left="1134" w:header="709" w:footer="709" w:gutter="0"/>
          <w:pgNumType w:start="1"/>
          <w:cols w:space="708"/>
          <w:docGrid w:linePitch="360"/>
        </w:sectPr>
      </w:pPr>
      <w:r>
        <w:t>The proportional hazards assumption was assessed using Schoenfeld residual tests applied to the clinical baseline model. Any detected violations were reported and considered during interpretation of model coefficients and survival estimates.</w:t>
      </w:r>
    </w:p>
    <w:p w14:paraId="5A7CC705" w14:textId="5788E424" w:rsidR="00D27C42" w:rsidRPr="00BD6E8D" w:rsidRDefault="00D27C42" w:rsidP="00BD6E8D">
      <w:pPr>
        <w:pStyle w:val="Heading2"/>
        <w:spacing w:after="120" w:line="240" w:lineRule="auto"/>
        <w:rPr>
          <w:sz w:val="20"/>
          <w:szCs w:val="20"/>
        </w:rPr>
      </w:pPr>
      <w:r>
        <w:lastRenderedPageBreak/>
        <w:t>4. References</w:t>
      </w:r>
    </w:p>
    <w:p w14:paraId="2A75AAE2" w14:textId="6453D45C" w:rsidR="000E5898" w:rsidRPr="000E5898" w:rsidRDefault="000E5898" w:rsidP="000E5898">
      <w:pPr>
        <w:pStyle w:val="References"/>
        <w:tabs>
          <w:tab w:val="clear" w:pos="504"/>
          <w:tab w:val="left" w:pos="426"/>
        </w:tabs>
        <w:ind w:left="426" w:hanging="362"/>
        <w:rPr>
          <w:sz w:val="20"/>
        </w:rPr>
      </w:pPr>
      <w:r w:rsidRPr="000E5898">
        <w:rPr>
          <w:sz w:val="20"/>
        </w:rPr>
        <w:t xml:space="preserve">1. </w:t>
      </w:r>
      <w:r w:rsidRPr="000E5898">
        <w:rPr>
          <w:sz w:val="20"/>
        </w:rPr>
        <w:tab/>
        <w:t xml:space="preserve">Motzer RJ, </w:t>
      </w:r>
      <w:proofErr w:type="spellStart"/>
      <w:r w:rsidRPr="000E5898">
        <w:rPr>
          <w:sz w:val="20"/>
        </w:rPr>
        <w:t>Jonasch</w:t>
      </w:r>
      <w:proofErr w:type="spellEnd"/>
      <w:r w:rsidRPr="000E5898">
        <w:rPr>
          <w:sz w:val="20"/>
        </w:rPr>
        <w:t xml:space="preserve"> E, Agarwal N, Alva A, Baine M, Beckermann K, et al. Kidney Cancer, Version 3.2022, NCCN Clinical Practice Guidelines in Oncology. J Natl </w:t>
      </w:r>
      <w:proofErr w:type="spellStart"/>
      <w:r w:rsidRPr="000E5898">
        <w:rPr>
          <w:sz w:val="20"/>
        </w:rPr>
        <w:t>Compr</w:t>
      </w:r>
      <w:proofErr w:type="spellEnd"/>
      <w:r w:rsidRPr="000E5898">
        <w:rPr>
          <w:sz w:val="20"/>
        </w:rPr>
        <w:t xml:space="preserve"> </w:t>
      </w:r>
      <w:proofErr w:type="spellStart"/>
      <w:r w:rsidRPr="000E5898">
        <w:rPr>
          <w:sz w:val="20"/>
        </w:rPr>
        <w:t>Canc</w:t>
      </w:r>
      <w:proofErr w:type="spellEnd"/>
      <w:r w:rsidRPr="000E5898">
        <w:rPr>
          <w:sz w:val="20"/>
        </w:rPr>
        <w:t xml:space="preserve"> </w:t>
      </w:r>
      <w:proofErr w:type="spellStart"/>
      <w:r w:rsidRPr="000E5898">
        <w:rPr>
          <w:sz w:val="20"/>
        </w:rPr>
        <w:t>Netw</w:t>
      </w:r>
      <w:proofErr w:type="spellEnd"/>
      <w:r w:rsidRPr="000E5898">
        <w:rPr>
          <w:sz w:val="20"/>
        </w:rPr>
        <w:t xml:space="preserve"> [Internet]. 2022 Jan 1;</w:t>
      </w:r>
      <w:r w:rsidR="00D8745A">
        <w:rPr>
          <w:sz w:val="20"/>
        </w:rPr>
        <w:t xml:space="preserve"> </w:t>
      </w:r>
      <w:r w:rsidRPr="000E5898">
        <w:rPr>
          <w:sz w:val="20"/>
        </w:rPr>
        <w:t>20(1):</w:t>
      </w:r>
      <w:r w:rsidR="00D8745A">
        <w:rPr>
          <w:sz w:val="20"/>
        </w:rPr>
        <w:t xml:space="preserve"> </w:t>
      </w:r>
      <w:r w:rsidRPr="000E5898">
        <w:rPr>
          <w:sz w:val="20"/>
        </w:rPr>
        <w:t>71–90.</w:t>
      </w:r>
      <w:r w:rsidR="00A46B34">
        <w:rPr>
          <w:sz w:val="20"/>
        </w:rPr>
        <w:t xml:space="preserve"> </w:t>
      </w:r>
      <w:proofErr w:type="spellStart"/>
      <w:r w:rsidR="00A46B34">
        <w:rPr>
          <w:sz w:val="20"/>
        </w:rPr>
        <w:t>doi</w:t>
      </w:r>
      <w:proofErr w:type="spellEnd"/>
      <w:r w:rsidR="00A46B34">
        <w:rPr>
          <w:sz w:val="20"/>
        </w:rPr>
        <w:t>:</w:t>
      </w:r>
      <w:r w:rsidRPr="000E5898">
        <w:rPr>
          <w:sz w:val="20"/>
        </w:rPr>
        <w:t xml:space="preserve"> </w:t>
      </w:r>
      <w:hyperlink r:id="rId17" w:history="1">
        <w:r w:rsidR="00A46B34" w:rsidRPr="00C61AA5">
          <w:rPr>
            <w:rStyle w:val="Hyperlink"/>
            <w:sz w:val="20"/>
          </w:rPr>
          <w:t>10.6004/jnccn.2022.0001</w:t>
        </w:r>
      </w:hyperlink>
      <w:r w:rsidR="00A46B34">
        <w:rPr>
          <w:sz w:val="20"/>
        </w:rPr>
        <w:t xml:space="preserve"> </w:t>
      </w:r>
      <w:r>
        <w:rPr>
          <w:sz w:val="20"/>
        </w:rPr>
        <w:t xml:space="preserve"> </w:t>
      </w:r>
    </w:p>
    <w:p w14:paraId="7F296EB3" w14:textId="6BE73721" w:rsidR="000E5898" w:rsidRPr="000E5898" w:rsidRDefault="000E5898" w:rsidP="000E5898">
      <w:pPr>
        <w:pStyle w:val="References"/>
        <w:tabs>
          <w:tab w:val="clear" w:pos="504"/>
          <w:tab w:val="left" w:pos="426"/>
        </w:tabs>
        <w:ind w:left="426" w:hanging="362"/>
        <w:rPr>
          <w:sz w:val="20"/>
        </w:rPr>
      </w:pPr>
      <w:r w:rsidRPr="000E5898">
        <w:rPr>
          <w:sz w:val="20"/>
        </w:rPr>
        <w:t xml:space="preserve">2. </w:t>
      </w:r>
      <w:r w:rsidRPr="000E5898">
        <w:rPr>
          <w:sz w:val="20"/>
        </w:rPr>
        <w:tab/>
      </w:r>
      <w:proofErr w:type="spellStart"/>
      <w:r w:rsidRPr="000E5898">
        <w:rPr>
          <w:sz w:val="20"/>
        </w:rPr>
        <w:t>Gnarra</w:t>
      </w:r>
      <w:proofErr w:type="spellEnd"/>
      <w:r w:rsidRPr="000E5898">
        <w:rPr>
          <w:sz w:val="20"/>
        </w:rPr>
        <w:t xml:space="preserve"> JR, Tory K, Weng Y, Schmidt L, Wei MH, Li H, et al. Mutations of the VHL tumour suppressor gene in renal carcinoma. Nat Genet [Internet]. 1994 May;</w:t>
      </w:r>
      <w:r w:rsidR="00D8745A">
        <w:rPr>
          <w:sz w:val="20"/>
        </w:rPr>
        <w:t xml:space="preserve"> </w:t>
      </w:r>
      <w:r w:rsidRPr="000E5898">
        <w:rPr>
          <w:sz w:val="20"/>
        </w:rPr>
        <w:t>7(1):</w:t>
      </w:r>
      <w:r w:rsidR="00D8745A">
        <w:rPr>
          <w:sz w:val="20"/>
        </w:rPr>
        <w:t xml:space="preserve"> </w:t>
      </w:r>
      <w:r w:rsidRPr="000E5898">
        <w:rPr>
          <w:sz w:val="20"/>
        </w:rPr>
        <w:t>85–90.</w:t>
      </w:r>
      <w:r w:rsidR="00A46B34">
        <w:rPr>
          <w:sz w:val="20"/>
        </w:rPr>
        <w:t xml:space="preserve"> </w:t>
      </w:r>
      <w:proofErr w:type="spellStart"/>
      <w:r w:rsidR="00A46B34">
        <w:rPr>
          <w:sz w:val="20"/>
        </w:rPr>
        <w:t>doi</w:t>
      </w:r>
      <w:proofErr w:type="spellEnd"/>
      <w:r w:rsidR="00A46B34">
        <w:rPr>
          <w:sz w:val="20"/>
        </w:rPr>
        <w:t>:</w:t>
      </w:r>
      <w:r w:rsidRPr="000E5898">
        <w:rPr>
          <w:sz w:val="20"/>
        </w:rPr>
        <w:t xml:space="preserve"> </w:t>
      </w:r>
      <w:hyperlink r:id="rId18" w:history="1">
        <w:r w:rsidR="00A46B34" w:rsidRPr="00C61AA5">
          <w:rPr>
            <w:rStyle w:val="Hyperlink"/>
            <w:sz w:val="20"/>
          </w:rPr>
          <w:t>10.1038/ng0594-85</w:t>
        </w:r>
      </w:hyperlink>
      <w:r w:rsidR="00A46B34">
        <w:rPr>
          <w:sz w:val="20"/>
        </w:rPr>
        <w:t xml:space="preserve"> </w:t>
      </w:r>
    </w:p>
    <w:p w14:paraId="7388B79E" w14:textId="0BDEAE43" w:rsidR="000E5898" w:rsidRPr="000E5898" w:rsidRDefault="000E5898" w:rsidP="000E5898">
      <w:pPr>
        <w:pStyle w:val="References"/>
        <w:tabs>
          <w:tab w:val="clear" w:pos="504"/>
          <w:tab w:val="left" w:pos="426"/>
        </w:tabs>
        <w:ind w:left="426" w:hanging="362"/>
        <w:rPr>
          <w:sz w:val="20"/>
        </w:rPr>
      </w:pPr>
      <w:r w:rsidRPr="000E5898">
        <w:rPr>
          <w:sz w:val="20"/>
        </w:rPr>
        <w:t xml:space="preserve">3. </w:t>
      </w:r>
      <w:r w:rsidRPr="000E5898">
        <w:rPr>
          <w:sz w:val="20"/>
        </w:rPr>
        <w:tab/>
        <w:t>Cancer Genome Atlas Research Network. Comprehensive molecular characterization of clear cell renal cell carcinoma. Nature [Internet]. 2013 July 4;</w:t>
      </w:r>
      <w:r w:rsidR="00D8745A">
        <w:rPr>
          <w:sz w:val="20"/>
        </w:rPr>
        <w:t xml:space="preserve"> </w:t>
      </w:r>
      <w:r w:rsidRPr="000E5898">
        <w:rPr>
          <w:sz w:val="20"/>
        </w:rPr>
        <w:t>499(7456):</w:t>
      </w:r>
      <w:r w:rsidR="00D8745A">
        <w:rPr>
          <w:sz w:val="20"/>
        </w:rPr>
        <w:t xml:space="preserve"> </w:t>
      </w:r>
      <w:r w:rsidRPr="000E5898">
        <w:rPr>
          <w:sz w:val="20"/>
        </w:rPr>
        <w:t xml:space="preserve">43–9. </w:t>
      </w:r>
      <w:proofErr w:type="spellStart"/>
      <w:r w:rsidR="00A46B34">
        <w:rPr>
          <w:sz w:val="20"/>
        </w:rPr>
        <w:t>doi</w:t>
      </w:r>
      <w:proofErr w:type="spellEnd"/>
      <w:r w:rsidRPr="000E5898">
        <w:rPr>
          <w:sz w:val="20"/>
        </w:rPr>
        <w:t xml:space="preserve">: </w:t>
      </w:r>
      <w:hyperlink r:id="rId19" w:history="1">
        <w:r w:rsidR="00A46B34" w:rsidRPr="00C61AA5">
          <w:rPr>
            <w:rStyle w:val="Hyperlink"/>
            <w:sz w:val="20"/>
          </w:rPr>
          <w:t>10.1038/nature12222</w:t>
        </w:r>
      </w:hyperlink>
      <w:r w:rsidR="00A46B34">
        <w:rPr>
          <w:sz w:val="20"/>
        </w:rPr>
        <w:t xml:space="preserve"> </w:t>
      </w:r>
    </w:p>
    <w:p w14:paraId="5EF92C7F" w14:textId="5F89AAE9" w:rsidR="000E5898" w:rsidRPr="000E5898" w:rsidRDefault="000E5898" w:rsidP="000E5898">
      <w:pPr>
        <w:pStyle w:val="References"/>
        <w:tabs>
          <w:tab w:val="clear" w:pos="504"/>
          <w:tab w:val="left" w:pos="426"/>
        </w:tabs>
        <w:ind w:left="426" w:hanging="362"/>
        <w:rPr>
          <w:sz w:val="20"/>
        </w:rPr>
      </w:pPr>
      <w:r w:rsidRPr="000E5898">
        <w:rPr>
          <w:sz w:val="20"/>
        </w:rPr>
        <w:t xml:space="preserve">4. </w:t>
      </w:r>
      <w:r w:rsidRPr="000E5898">
        <w:rPr>
          <w:sz w:val="20"/>
        </w:rPr>
        <w:tab/>
        <w:t>Hakimi AA, Reznik E, Lee CH, Creighton CJ, Brannon AR, Luna A, et al. An integrated metabolic atlas of clear cell renal cell carcinoma. Cancer Cell [Internet]. 2016 Jan 11;</w:t>
      </w:r>
      <w:r w:rsidR="00D8745A">
        <w:rPr>
          <w:sz w:val="20"/>
        </w:rPr>
        <w:t xml:space="preserve"> </w:t>
      </w:r>
      <w:r w:rsidRPr="000E5898">
        <w:rPr>
          <w:sz w:val="20"/>
        </w:rPr>
        <w:t>29(1):</w:t>
      </w:r>
      <w:r w:rsidR="00D8745A">
        <w:rPr>
          <w:sz w:val="20"/>
        </w:rPr>
        <w:t xml:space="preserve"> </w:t>
      </w:r>
      <w:r w:rsidRPr="000E5898">
        <w:rPr>
          <w:sz w:val="20"/>
        </w:rPr>
        <w:t>104–16.</w:t>
      </w:r>
      <w:r w:rsidR="00A46B34">
        <w:rPr>
          <w:sz w:val="20"/>
        </w:rPr>
        <w:t xml:space="preserve"> </w:t>
      </w:r>
      <w:proofErr w:type="spellStart"/>
      <w:r w:rsidR="00A46B34">
        <w:rPr>
          <w:sz w:val="20"/>
        </w:rPr>
        <w:t>doi</w:t>
      </w:r>
      <w:proofErr w:type="spellEnd"/>
      <w:r w:rsidRPr="000E5898">
        <w:rPr>
          <w:sz w:val="20"/>
        </w:rPr>
        <w:t xml:space="preserve">: </w:t>
      </w:r>
      <w:hyperlink r:id="rId20" w:history="1">
        <w:r w:rsidR="00A46B34" w:rsidRPr="00C61AA5">
          <w:rPr>
            <w:rStyle w:val="Hyperlink"/>
            <w:sz w:val="20"/>
          </w:rPr>
          <w:t>10.1016/j.ccell.2015.12.004</w:t>
        </w:r>
      </w:hyperlink>
      <w:r w:rsidR="00A46B34">
        <w:rPr>
          <w:sz w:val="20"/>
        </w:rPr>
        <w:t xml:space="preserve"> </w:t>
      </w:r>
    </w:p>
    <w:p w14:paraId="182CE6F8" w14:textId="1206E83C" w:rsidR="000E5898" w:rsidRPr="000E5898" w:rsidRDefault="000E5898" w:rsidP="000E5898">
      <w:pPr>
        <w:pStyle w:val="References"/>
        <w:tabs>
          <w:tab w:val="clear" w:pos="504"/>
          <w:tab w:val="left" w:pos="426"/>
        </w:tabs>
        <w:ind w:left="426" w:hanging="362"/>
        <w:rPr>
          <w:sz w:val="20"/>
        </w:rPr>
      </w:pPr>
      <w:r w:rsidRPr="000E5898">
        <w:rPr>
          <w:sz w:val="20"/>
        </w:rPr>
        <w:t xml:space="preserve">5. </w:t>
      </w:r>
      <w:r w:rsidRPr="000E5898">
        <w:rPr>
          <w:sz w:val="20"/>
        </w:rPr>
        <w:tab/>
      </w:r>
      <w:proofErr w:type="spellStart"/>
      <w:r w:rsidRPr="000E5898">
        <w:rPr>
          <w:sz w:val="20"/>
        </w:rPr>
        <w:t>Chifu</w:t>
      </w:r>
      <w:proofErr w:type="spellEnd"/>
      <w:r w:rsidRPr="000E5898">
        <w:rPr>
          <w:sz w:val="20"/>
        </w:rPr>
        <w:t xml:space="preserve"> MB, </w:t>
      </w:r>
      <w:proofErr w:type="spellStart"/>
      <w:r w:rsidRPr="000E5898">
        <w:rPr>
          <w:sz w:val="20"/>
        </w:rPr>
        <w:t>Giușcă</w:t>
      </w:r>
      <w:proofErr w:type="spellEnd"/>
      <w:r w:rsidRPr="000E5898">
        <w:rPr>
          <w:sz w:val="20"/>
        </w:rPr>
        <w:t xml:space="preserve"> SE, Timofte AD, Costin CA, Rusu A, </w:t>
      </w:r>
      <w:proofErr w:type="spellStart"/>
      <w:r w:rsidRPr="000E5898">
        <w:rPr>
          <w:sz w:val="20"/>
        </w:rPr>
        <w:t>Ipatov</w:t>
      </w:r>
      <w:proofErr w:type="spellEnd"/>
      <w:r w:rsidRPr="000E5898">
        <w:rPr>
          <w:sz w:val="20"/>
        </w:rPr>
        <w:t xml:space="preserve"> AM, et al. Refining prognostic stratification in clear cell renal cell carcinoma: genomic, tissue-based, circulating biomarkers and integrated models. Cancers [Internet]. 2026 Apr 25;</w:t>
      </w:r>
      <w:r w:rsidR="00D8745A">
        <w:rPr>
          <w:sz w:val="20"/>
        </w:rPr>
        <w:t xml:space="preserve"> </w:t>
      </w:r>
      <w:r w:rsidRPr="000E5898">
        <w:rPr>
          <w:sz w:val="20"/>
        </w:rPr>
        <w:t>18(9):</w:t>
      </w:r>
      <w:r w:rsidR="00D8745A">
        <w:rPr>
          <w:sz w:val="20"/>
        </w:rPr>
        <w:t xml:space="preserve"> </w:t>
      </w:r>
      <w:r w:rsidRPr="000E5898">
        <w:rPr>
          <w:sz w:val="20"/>
        </w:rPr>
        <w:t>1371.</w:t>
      </w:r>
      <w:r w:rsidR="00A46B34">
        <w:rPr>
          <w:sz w:val="20"/>
        </w:rPr>
        <w:t xml:space="preserve"> </w:t>
      </w:r>
      <w:proofErr w:type="spellStart"/>
      <w:r w:rsidR="00A46B34">
        <w:rPr>
          <w:sz w:val="20"/>
        </w:rPr>
        <w:t>doi</w:t>
      </w:r>
      <w:proofErr w:type="spellEnd"/>
      <w:r w:rsidRPr="000E5898">
        <w:rPr>
          <w:sz w:val="20"/>
        </w:rPr>
        <w:t xml:space="preserve">: </w:t>
      </w:r>
      <w:hyperlink r:id="rId21" w:history="1">
        <w:r w:rsidR="00A46B34" w:rsidRPr="00C61AA5">
          <w:rPr>
            <w:rStyle w:val="Hyperlink"/>
            <w:sz w:val="20"/>
          </w:rPr>
          <w:t>10.3390/cancers18091371</w:t>
        </w:r>
      </w:hyperlink>
      <w:r w:rsidR="00A46B34">
        <w:rPr>
          <w:sz w:val="20"/>
        </w:rPr>
        <w:t xml:space="preserve"> </w:t>
      </w:r>
    </w:p>
    <w:p w14:paraId="0DA581FA" w14:textId="032681C7" w:rsidR="000E5898" w:rsidRPr="000E5898" w:rsidRDefault="000E5898" w:rsidP="000E5898">
      <w:pPr>
        <w:pStyle w:val="References"/>
        <w:tabs>
          <w:tab w:val="clear" w:pos="504"/>
          <w:tab w:val="left" w:pos="426"/>
        </w:tabs>
        <w:ind w:left="426" w:hanging="362"/>
        <w:rPr>
          <w:sz w:val="20"/>
        </w:rPr>
      </w:pPr>
      <w:r w:rsidRPr="000E5898">
        <w:rPr>
          <w:sz w:val="20"/>
        </w:rPr>
        <w:t xml:space="preserve">6. </w:t>
      </w:r>
      <w:r w:rsidRPr="000E5898">
        <w:rPr>
          <w:sz w:val="20"/>
        </w:rPr>
        <w:tab/>
        <w:t xml:space="preserve">Cerami E, Gao J, </w:t>
      </w:r>
      <w:proofErr w:type="spellStart"/>
      <w:r w:rsidRPr="000E5898">
        <w:rPr>
          <w:sz w:val="20"/>
        </w:rPr>
        <w:t>Dogrusoz</w:t>
      </w:r>
      <w:proofErr w:type="spellEnd"/>
      <w:r w:rsidRPr="000E5898">
        <w:rPr>
          <w:sz w:val="20"/>
        </w:rPr>
        <w:t xml:space="preserve"> U, Gross BE, Sumer SO, Aksoy BA, et al. The </w:t>
      </w:r>
      <w:proofErr w:type="spellStart"/>
      <w:r w:rsidRPr="000E5898">
        <w:rPr>
          <w:sz w:val="20"/>
        </w:rPr>
        <w:t>cBio</w:t>
      </w:r>
      <w:proofErr w:type="spellEnd"/>
      <w:r w:rsidRPr="000E5898">
        <w:rPr>
          <w:sz w:val="20"/>
        </w:rPr>
        <w:t xml:space="preserve"> cancer genomics portal: an open platform for exploring multidimensional cancer genomics data. Cancer </w:t>
      </w:r>
      <w:proofErr w:type="spellStart"/>
      <w:r w:rsidRPr="000E5898">
        <w:rPr>
          <w:sz w:val="20"/>
        </w:rPr>
        <w:t>Discov</w:t>
      </w:r>
      <w:proofErr w:type="spellEnd"/>
      <w:r w:rsidRPr="000E5898">
        <w:rPr>
          <w:sz w:val="20"/>
        </w:rPr>
        <w:t xml:space="preserve"> [Internet]. 2012 May 9;</w:t>
      </w:r>
      <w:r w:rsidR="00D8745A">
        <w:rPr>
          <w:sz w:val="20"/>
        </w:rPr>
        <w:t xml:space="preserve"> </w:t>
      </w:r>
      <w:r w:rsidRPr="000E5898">
        <w:rPr>
          <w:sz w:val="20"/>
        </w:rPr>
        <w:t>2(5):</w:t>
      </w:r>
      <w:r w:rsidR="00D8745A">
        <w:rPr>
          <w:sz w:val="20"/>
        </w:rPr>
        <w:t xml:space="preserve"> </w:t>
      </w:r>
      <w:r w:rsidRPr="000E5898">
        <w:rPr>
          <w:sz w:val="20"/>
        </w:rPr>
        <w:t>401–4.</w:t>
      </w:r>
      <w:r w:rsidR="00A46B34">
        <w:rPr>
          <w:sz w:val="20"/>
        </w:rPr>
        <w:t xml:space="preserve"> </w:t>
      </w:r>
      <w:proofErr w:type="spellStart"/>
      <w:r w:rsidR="00A46B34">
        <w:rPr>
          <w:sz w:val="20"/>
        </w:rPr>
        <w:t>doi</w:t>
      </w:r>
      <w:proofErr w:type="spellEnd"/>
      <w:r w:rsidRPr="000E5898">
        <w:rPr>
          <w:sz w:val="20"/>
        </w:rPr>
        <w:t xml:space="preserve">: </w:t>
      </w:r>
      <w:hyperlink r:id="rId22" w:history="1">
        <w:r w:rsidR="00A46B34" w:rsidRPr="00C61AA5">
          <w:rPr>
            <w:rStyle w:val="Hyperlink"/>
            <w:sz w:val="20"/>
          </w:rPr>
          <w:t>10.1158/2159-8290.CD-12-0095</w:t>
        </w:r>
      </w:hyperlink>
      <w:r w:rsidR="00A46B34">
        <w:rPr>
          <w:sz w:val="20"/>
        </w:rPr>
        <w:t xml:space="preserve">  </w:t>
      </w:r>
    </w:p>
    <w:p w14:paraId="21780B0B" w14:textId="6F236D9E" w:rsidR="000E5898" w:rsidRPr="000E5898" w:rsidRDefault="000E5898" w:rsidP="000E5898">
      <w:pPr>
        <w:pStyle w:val="References"/>
        <w:tabs>
          <w:tab w:val="clear" w:pos="504"/>
          <w:tab w:val="left" w:pos="426"/>
        </w:tabs>
        <w:ind w:left="426" w:hanging="362"/>
        <w:rPr>
          <w:sz w:val="20"/>
        </w:rPr>
      </w:pPr>
      <w:r w:rsidRPr="000E5898">
        <w:rPr>
          <w:sz w:val="20"/>
        </w:rPr>
        <w:t xml:space="preserve">7. </w:t>
      </w:r>
      <w:r w:rsidRPr="000E5898">
        <w:rPr>
          <w:sz w:val="20"/>
        </w:rPr>
        <w:tab/>
        <w:t xml:space="preserve">Gao J, Aksoy BA, </w:t>
      </w:r>
      <w:proofErr w:type="spellStart"/>
      <w:r w:rsidRPr="000E5898">
        <w:rPr>
          <w:sz w:val="20"/>
        </w:rPr>
        <w:t>Dogrusoz</w:t>
      </w:r>
      <w:proofErr w:type="spellEnd"/>
      <w:r w:rsidRPr="000E5898">
        <w:rPr>
          <w:sz w:val="20"/>
        </w:rPr>
        <w:t xml:space="preserve"> U, Dresdner G, Gross B, Sumer SO, et al. Integrative analysis of complex cancer genomics and clinical profiles using the </w:t>
      </w:r>
      <w:proofErr w:type="spellStart"/>
      <w:r w:rsidRPr="000E5898">
        <w:rPr>
          <w:sz w:val="20"/>
        </w:rPr>
        <w:t>cBioPortal</w:t>
      </w:r>
      <w:proofErr w:type="spellEnd"/>
      <w:r w:rsidRPr="000E5898">
        <w:rPr>
          <w:sz w:val="20"/>
        </w:rPr>
        <w:t>. Sci Signal [Internet]. 2013 Apr 2;</w:t>
      </w:r>
      <w:r w:rsidR="00D8745A">
        <w:rPr>
          <w:sz w:val="20"/>
        </w:rPr>
        <w:t xml:space="preserve"> </w:t>
      </w:r>
      <w:r w:rsidRPr="000E5898">
        <w:rPr>
          <w:sz w:val="20"/>
        </w:rPr>
        <w:t>6(269):</w:t>
      </w:r>
      <w:r w:rsidR="00D8745A">
        <w:rPr>
          <w:sz w:val="20"/>
        </w:rPr>
        <w:t xml:space="preserve"> </w:t>
      </w:r>
      <w:r w:rsidRPr="000E5898">
        <w:rPr>
          <w:sz w:val="20"/>
        </w:rPr>
        <w:t>pl1.</w:t>
      </w:r>
      <w:r w:rsidR="00A46B34">
        <w:rPr>
          <w:sz w:val="20"/>
        </w:rPr>
        <w:t xml:space="preserve"> </w:t>
      </w:r>
      <w:proofErr w:type="spellStart"/>
      <w:r w:rsidR="00A46B34">
        <w:rPr>
          <w:sz w:val="20"/>
        </w:rPr>
        <w:t>doi</w:t>
      </w:r>
      <w:proofErr w:type="spellEnd"/>
      <w:r w:rsidRPr="000E5898">
        <w:rPr>
          <w:sz w:val="20"/>
        </w:rPr>
        <w:t xml:space="preserve">: </w:t>
      </w:r>
      <w:hyperlink r:id="rId23" w:history="1">
        <w:r w:rsidR="00A46B34" w:rsidRPr="00C61AA5">
          <w:rPr>
            <w:rStyle w:val="Hyperlink"/>
            <w:sz w:val="20"/>
          </w:rPr>
          <w:t>10.1126/scisignal.2004088</w:t>
        </w:r>
      </w:hyperlink>
      <w:r w:rsidR="00A46B34">
        <w:rPr>
          <w:sz w:val="20"/>
        </w:rPr>
        <w:t xml:space="preserve"> </w:t>
      </w:r>
    </w:p>
    <w:p w14:paraId="154C79D1" w14:textId="24072F5F" w:rsidR="000E5898" w:rsidRPr="000E5898" w:rsidRDefault="000E5898" w:rsidP="000E5898">
      <w:pPr>
        <w:pStyle w:val="References"/>
        <w:tabs>
          <w:tab w:val="clear" w:pos="504"/>
          <w:tab w:val="left" w:pos="426"/>
        </w:tabs>
        <w:ind w:left="426" w:hanging="362"/>
        <w:rPr>
          <w:sz w:val="20"/>
        </w:rPr>
      </w:pPr>
      <w:r w:rsidRPr="000E5898">
        <w:rPr>
          <w:sz w:val="20"/>
        </w:rPr>
        <w:t xml:space="preserve">8. </w:t>
      </w:r>
      <w:r w:rsidRPr="000E5898">
        <w:rPr>
          <w:sz w:val="20"/>
        </w:rPr>
        <w:tab/>
        <w:t xml:space="preserve">de Bruijn I, Kundra R, Mastrogiacomo B, Tran TN, Sikina L, Mazor T, et al. Analysis and visualization of longitudinal genomic and clinical data from the AACR project GENIE biopharma collaborative in </w:t>
      </w:r>
      <w:proofErr w:type="spellStart"/>
      <w:r w:rsidRPr="000E5898">
        <w:rPr>
          <w:sz w:val="20"/>
        </w:rPr>
        <w:t>cBioPortal</w:t>
      </w:r>
      <w:proofErr w:type="spellEnd"/>
      <w:r w:rsidRPr="000E5898">
        <w:rPr>
          <w:sz w:val="20"/>
        </w:rPr>
        <w:t>. Cancer Res [Internet]. 2023 Dec 1;</w:t>
      </w:r>
      <w:r w:rsidR="00D8745A">
        <w:rPr>
          <w:sz w:val="20"/>
        </w:rPr>
        <w:t xml:space="preserve"> </w:t>
      </w:r>
      <w:r w:rsidRPr="000E5898">
        <w:rPr>
          <w:sz w:val="20"/>
        </w:rPr>
        <w:t>83(23):</w:t>
      </w:r>
      <w:r w:rsidR="00D8745A">
        <w:rPr>
          <w:sz w:val="20"/>
        </w:rPr>
        <w:t xml:space="preserve"> </w:t>
      </w:r>
      <w:r w:rsidRPr="000E5898">
        <w:rPr>
          <w:sz w:val="20"/>
        </w:rPr>
        <w:t>3861–7.</w:t>
      </w:r>
      <w:r w:rsidR="00A46B34">
        <w:rPr>
          <w:sz w:val="20"/>
        </w:rPr>
        <w:t xml:space="preserve"> </w:t>
      </w:r>
      <w:proofErr w:type="spellStart"/>
      <w:r w:rsidR="00A46B34">
        <w:rPr>
          <w:sz w:val="20"/>
        </w:rPr>
        <w:t>doi</w:t>
      </w:r>
      <w:proofErr w:type="spellEnd"/>
      <w:r w:rsidRPr="000E5898">
        <w:rPr>
          <w:sz w:val="20"/>
        </w:rPr>
        <w:t xml:space="preserve">: </w:t>
      </w:r>
      <w:hyperlink r:id="rId24" w:history="1">
        <w:r w:rsidR="00A46B34" w:rsidRPr="00C61AA5">
          <w:rPr>
            <w:rStyle w:val="Hyperlink"/>
            <w:sz w:val="20"/>
          </w:rPr>
          <w:t>10.1158/0008-5472.CAN-23-0816</w:t>
        </w:r>
      </w:hyperlink>
      <w:r w:rsidR="00A46B34">
        <w:rPr>
          <w:sz w:val="20"/>
        </w:rPr>
        <w:t xml:space="preserve"> </w:t>
      </w:r>
    </w:p>
    <w:p w14:paraId="31EA1214" w14:textId="42B1090F" w:rsidR="000E5898" w:rsidRPr="000E5898" w:rsidRDefault="000E5898" w:rsidP="000E5898">
      <w:pPr>
        <w:pStyle w:val="References"/>
        <w:tabs>
          <w:tab w:val="clear" w:pos="504"/>
          <w:tab w:val="left" w:pos="426"/>
        </w:tabs>
        <w:ind w:left="426" w:hanging="362"/>
        <w:rPr>
          <w:sz w:val="20"/>
        </w:rPr>
      </w:pPr>
      <w:r w:rsidRPr="000E5898">
        <w:rPr>
          <w:sz w:val="20"/>
        </w:rPr>
        <w:t xml:space="preserve">9. </w:t>
      </w:r>
      <w:r w:rsidRPr="000E5898">
        <w:rPr>
          <w:sz w:val="20"/>
        </w:rPr>
        <w:tab/>
        <w:t xml:space="preserve">Royston P, Altman DG. External validation of a Cox prognostic model: principles and methods. BMC Med Res </w:t>
      </w:r>
      <w:proofErr w:type="spellStart"/>
      <w:r w:rsidRPr="000E5898">
        <w:rPr>
          <w:sz w:val="20"/>
        </w:rPr>
        <w:t>Methodol</w:t>
      </w:r>
      <w:proofErr w:type="spellEnd"/>
      <w:r w:rsidRPr="000E5898">
        <w:rPr>
          <w:sz w:val="20"/>
        </w:rPr>
        <w:t xml:space="preserve"> [Internet]. 2013 Mar 6;</w:t>
      </w:r>
      <w:r w:rsidR="00D8745A">
        <w:rPr>
          <w:sz w:val="20"/>
        </w:rPr>
        <w:t xml:space="preserve"> </w:t>
      </w:r>
      <w:r w:rsidRPr="000E5898">
        <w:rPr>
          <w:sz w:val="20"/>
        </w:rPr>
        <w:t>13(1):</w:t>
      </w:r>
      <w:r w:rsidR="00D8745A">
        <w:rPr>
          <w:sz w:val="20"/>
        </w:rPr>
        <w:t xml:space="preserve"> </w:t>
      </w:r>
      <w:r w:rsidRPr="000E5898">
        <w:rPr>
          <w:sz w:val="20"/>
        </w:rPr>
        <w:t>33.</w:t>
      </w:r>
      <w:r w:rsidR="00A46B34">
        <w:rPr>
          <w:sz w:val="20"/>
        </w:rPr>
        <w:t xml:space="preserve"> </w:t>
      </w:r>
      <w:proofErr w:type="spellStart"/>
      <w:r w:rsidR="00A46B34">
        <w:rPr>
          <w:sz w:val="20"/>
        </w:rPr>
        <w:t>doi</w:t>
      </w:r>
      <w:proofErr w:type="spellEnd"/>
      <w:r w:rsidRPr="000E5898">
        <w:rPr>
          <w:sz w:val="20"/>
        </w:rPr>
        <w:t xml:space="preserve">: </w:t>
      </w:r>
      <w:hyperlink r:id="rId25" w:history="1">
        <w:r w:rsidR="00A46B34" w:rsidRPr="00C61AA5">
          <w:rPr>
            <w:rStyle w:val="Hyperlink"/>
            <w:sz w:val="20"/>
          </w:rPr>
          <w:t>10.1186/1471-2288-13-33</w:t>
        </w:r>
      </w:hyperlink>
      <w:r w:rsidR="00A46B34">
        <w:rPr>
          <w:sz w:val="20"/>
        </w:rPr>
        <w:t xml:space="preserve"> </w:t>
      </w:r>
    </w:p>
    <w:p w14:paraId="7BC46A38" w14:textId="1CB54B1C" w:rsidR="000E5898" w:rsidRPr="000E5898" w:rsidRDefault="000E5898" w:rsidP="000E5898">
      <w:pPr>
        <w:pStyle w:val="References"/>
        <w:tabs>
          <w:tab w:val="clear" w:pos="504"/>
          <w:tab w:val="left" w:pos="426"/>
        </w:tabs>
        <w:ind w:left="426" w:hanging="362"/>
        <w:rPr>
          <w:sz w:val="20"/>
        </w:rPr>
      </w:pPr>
      <w:r w:rsidRPr="000E5898">
        <w:rPr>
          <w:sz w:val="20"/>
        </w:rPr>
        <w:t xml:space="preserve">10. </w:t>
      </w:r>
      <w:r w:rsidRPr="000E5898">
        <w:rPr>
          <w:sz w:val="20"/>
        </w:rPr>
        <w:tab/>
        <w:t xml:space="preserve">Németh T, Sperandio M, </w:t>
      </w:r>
      <w:proofErr w:type="spellStart"/>
      <w:r w:rsidRPr="000E5898">
        <w:rPr>
          <w:sz w:val="20"/>
        </w:rPr>
        <w:t>Mócsai</w:t>
      </w:r>
      <w:proofErr w:type="spellEnd"/>
      <w:r w:rsidRPr="000E5898">
        <w:rPr>
          <w:sz w:val="20"/>
        </w:rPr>
        <w:t xml:space="preserve"> A. Neutrophils as emerging therapeutic targets. Nat Rev Drug </w:t>
      </w:r>
      <w:proofErr w:type="spellStart"/>
      <w:r w:rsidRPr="000E5898">
        <w:rPr>
          <w:sz w:val="20"/>
        </w:rPr>
        <w:t>Discov</w:t>
      </w:r>
      <w:proofErr w:type="spellEnd"/>
      <w:r w:rsidRPr="000E5898">
        <w:rPr>
          <w:sz w:val="20"/>
        </w:rPr>
        <w:t xml:space="preserve"> [Internet]. 2020 Apr;</w:t>
      </w:r>
      <w:r w:rsidR="00D8745A">
        <w:rPr>
          <w:sz w:val="20"/>
        </w:rPr>
        <w:t xml:space="preserve"> </w:t>
      </w:r>
      <w:r w:rsidRPr="000E5898">
        <w:rPr>
          <w:sz w:val="20"/>
        </w:rPr>
        <w:t>19(4):</w:t>
      </w:r>
      <w:r w:rsidR="00D8745A">
        <w:rPr>
          <w:sz w:val="20"/>
        </w:rPr>
        <w:t xml:space="preserve"> </w:t>
      </w:r>
      <w:r w:rsidRPr="000E5898">
        <w:rPr>
          <w:sz w:val="20"/>
        </w:rPr>
        <w:t>253–75.</w:t>
      </w:r>
      <w:r w:rsidR="00A46B34">
        <w:rPr>
          <w:sz w:val="20"/>
        </w:rPr>
        <w:t xml:space="preserve"> </w:t>
      </w:r>
      <w:proofErr w:type="spellStart"/>
      <w:r w:rsidR="00A46B34">
        <w:rPr>
          <w:sz w:val="20"/>
        </w:rPr>
        <w:t>doi</w:t>
      </w:r>
      <w:proofErr w:type="spellEnd"/>
      <w:r w:rsidRPr="000E5898">
        <w:rPr>
          <w:sz w:val="20"/>
        </w:rPr>
        <w:t xml:space="preserve">: </w:t>
      </w:r>
      <w:hyperlink r:id="rId26" w:history="1">
        <w:r w:rsidR="00A46B34" w:rsidRPr="00C61AA5">
          <w:rPr>
            <w:rStyle w:val="Hyperlink"/>
            <w:sz w:val="20"/>
          </w:rPr>
          <w:t>10.1038/s41573-019-0054-z</w:t>
        </w:r>
      </w:hyperlink>
      <w:r w:rsidR="00A46B34">
        <w:rPr>
          <w:sz w:val="20"/>
        </w:rPr>
        <w:t xml:space="preserve"> </w:t>
      </w:r>
    </w:p>
    <w:p w14:paraId="392BE832" w14:textId="7A0FAF35" w:rsidR="000E5898" w:rsidRPr="00D8745A" w:rsidRDefault="000E5898" w:rsidP="000E5898">
      <w:pPr>
        <w:pStyle w:val="References"/>
        <w:tabs>
          <w:tab w:val="clear" w:pos="504"/>
          <w:tab w:val="left" w:pos="426"/>
        </w:tabs>
        <w:ind w:left="426" w:hanging="362"/>
      </w:pPr>
      <w:r w:rsidRPr="000E5898">
        <w:rPr>
          <w:sz w:val="20"/>
        </w:rPr>
        <w:t xml:space="preserve">11. </w:t>
      </w:r>
      <w:r w:rsidRPr="000E5898">
        <w:rPr>
          <w:sz w:val="20"/>
        </w:rPr>
        <w:tab/>
        <w:t xml:space="preserve">Hayes MP, Roman DL. Regulator of G protein </w:t>
      </w:r>
      <w:proofErr w:type="spellStart"/>
      <w:r w:rsidRPr="000E5898">
        <w:rPr>
          <w:sz w:val="20"/>
        </w:rPr>
        <w:t>signaling</w:t>
      </w:r>
      <w:proofErr w:type="spellEnd"/>
      <w:r w:rsidRPr="000E5898">
        <w:rPr>
          <w:sz w:val="20"/>
        </w:rPr>
        <w:t xml:space="preserve"> 17 as a negative modulator of GPCR </w:t>
      </w:r>
      <w:proofErr w:type="spellStart"/>
      <w:r w:rsidRPr="000E5898">
        <w:rPr>
          <w:sz w:val="20"/>
        </w:rPr>
        <w:t>signaling</w:t>
      </w:r>
      <w:proofErr w:type="spellEnd"/>
      <w:r w:rsidRPr="000E5898">
        <w:rPr>
          <w:sz w:val="20"/>
        </w:rPr>
        <w:t xml:space="preserve"> in multiple human cancers. AAPS J [Internet]. 2016 May;</w:t>
      </w:r>
      <w:r w:rsidR="00D8745A">
        <w:rPr>
          <w:sz w:val="20"/>
        </w:rPr>
        <w:t xml:space="preserve"> </w:t>
      </w:r>
      <w:r w:rsidRPr="000E5898">
        <w:rPr>
          <w:sz w:val="20"/>
        </w:rPr>
        <w:t>18(3):</w:t>
      </w:r>
      <w:r w:rsidR="00D8745A">
        <w:rPr>
          <w:sz w:val="20"/>
        </w:rPr>
        <w:t xml:space="preserve"> </w:t>
      </w:r>
      <w:r w:rsidRPr="000E5898">
        <w:rPr>
          <w:sz w:val="20"/>
        </w:rPr>
        <w:t>550–9.</w:t>
      </w:r>
      <w:r w:rsidR="00D8745A">
        <w:rPr>
          <w:sz w:val="20"/>
        </w:rPr>
        <w:t xml:space="preserve"> </w:t>
      </w:r>
      <w:proofErr w:type="spellStart"/>
      <w:r w:rsidR="00D8745A">
        <w:rPr>
          <w:sz w:val="20"/>
        </w:rPr>
        <w:t>doi</w:t>
      </w:r>
      <w:proofErr w:type="spellEnd"/>
      <w:r w:rsidRPr="000E5898">
        <w:rPr>
          <w:sz w:val="20"/>
        </w:rPr>
        <w:t xml:space="preserve">: </w:t>
      </w:r>
      <w:hyperlink r:id="rId27" w:history="1">
        <w:r w:rsidR="00D8745A" w:rsidRPr="00C61AA5">
          <w:rPr>
            <w:rStyle w:val="Hyperlink"/>
            <w:sz w:val="20"/>
          </w:rPr>
          <w:t>10.1208/s12248-016-9894-1</w:t>
        </w:r>
      </w:hyperlink>
      <w:r w:rsidR="00D8745A">
        <w:rPr>
          <w:sz w:val="20"/>
        </w:rPr>
        <w:t xml:space="preserve">  </w:t>
      </w:r>
    </w:p>
    <w:p w14:paraId="647797C2" w14:textId="46C19085" w:rsidR="000E5898" w:rsidRPr="000E5898" w:rsidRDefault="000E5898" w:rsidP="000E5898">
      <w:pPr>
        <w:pStyle w:val="References"/>
        <w:tabs>
          <w:tab w:val="clear" w:pos="504"/>
          <w:tab w:val="left" w:pos="426"/>
        </w:tabs>
        <w:ind w:left="426" w:hanging="362"/>
        <w:rPr>
          <w:sz w:val="20"/>
        </w:rPr>
      </w:pPr>
      <w:r w:rsidRPr="000E5898">
        <w:rPr>
          <w:sz w:val="20"/>
        </w:rPr>
        <w:t xml:space="preserve">12. </w:t>
      </w:r>
      <w:r w:rsidRPr="000E5898">
        <w:rPr>
          <w:sz w:val="20"/>
        </w:rPr>
        <w:tab/>
      </w:r>
      <w:proofErr w:type="spellStart"/>
      <w:r w:rsidRPr="000E5898">
        <w:rPr>
          <w:sz w:val="20"/>
        </w:rPr>
        <w:t>Klümper</w:t>
      </w:r>
      <w:proofErr w:type="spellEnd"/>
      <w:r w:rsidRPr="000E5898">
        <w:rPr>
          <w:sz w:val="20"/>
        </w:rPr>
        <w:t xml:space="preserve"> N, Blajan I, Schmidt D, Kristiansen G, Toma M, Hölzel M, et al. Downstream </w:t>
      </w:r>
      <w:proofErr w:type="spellStart"/>
      <w:r w:rsidRPr="000E5898">
        <w:rPr>
          <w:sz w:val="20"/>
        </w:rPr>
        <w:t>neighbor</w:t>
      </w:r>
      <w:proofErr w:type="spellEnd"/>
      <w:r w:rsidRPr="000E5898">
        <w:rPr>
          <w:sz w:val="20"/>
        </w:rPr>
        <w:t xml:space="preserve"> of SON (DONSON) is associated with </w:t>
      </w:r>
      <w:proofErr w:type="spellStart"/>
      <w:r w:rsidRPr="000E5898">
        <w:rPr>
          <w:sz w:val="20"/>
        </w:rPr>
        <w:t>unfavorable</w:t>
      </w:r>
      <w:proofErr w:type="spellEnd"/>
      <w:r w:rsidRPr="000E5898">
        <w:rPr>
          <w:sz w:val="20"/>
        </w:rPr>
        <w:t xml:space="preserve"> survival across diverse cancers with oncogenic properties in clear cell renal cell carcinoma. </w:t>
      </w:r>
      <w:proofErr w:type="spellStart"/>
      <w:r w:rsidRPr="000E5898">
        <w:rPr>
          <w:sz w:val="20"/>
        </w:rPr>
        <w:t>Transl</w:t>
      </w:r>
      <w:proofErr w:type="spellEnd"/>
      <w:r w:rsidRPr="000E5898">
        <w:rPr>
          <w:sz w:val="20"/>
        </w:rPr>
        <w:t xml:space="preserve"> Oncol [Internet]. 2020 Nov;</w:t>
      </w:r>
      <w:r w:rsidR="00D8745A">
        <w:rPr>
          <w:sz w:val="20"/>
        </w:rPr>
        <w:t xml:space="preserve"> </w:t>
      </w:r>
      <w:r w:rsidRPr="000E5898">
        <w:rPr>
          <w:sz w:val="20"/>
        </w:rPr>
        <w:t>13(11):</w:t>
      </w:r>
      <w:r w:rsidR="00D8745A">
        <w:rPr>
          <w:sz w:val="20"/>
        </w:rPr>
        <w:t xml:space="preserve"> </w:t>
      </w:r>
      <w:r w:rsidRPr="000E5898">
        <w:rPr>
          <w:sz w:val="20"/>
        </w:rPr>
        <w:t>100844.</w:t>
      </w:r>
      <w:r w:rsidR="00D8745A">
        <w:rPr>
          <w:sz w:val="20"/>
        </w:rPr>
        <w:t xml:space="preserve"> </w:t>
      </w:r>
      <w:proofErr w:type="spellStart"/>
      <w:r w:rsidR="00D8745A">
        <w:rPr>
          <w:sz w:val="20"/>
        </w:rPr>
        <w:t>doi</w:t>
      </w:r>
      <w:proofErr w:type="spellEnd"/>
      <w:r w:rsidRPr="000E5898">
        <w:rPr>
          <w:sz w:val="20"/>
        </w:rPr>
        <w:t xml:space="preserve">: </w:t>
      </w:r>
      <w:hyperlink r:id="rId28" w:history="1">
        <w:r w:rsidR="00D8745A" w:rsidRPr="00C61AA5">
          <w:rPr>
            <w:rStyle w:val="Hyperlink"/>
            <w:sz w:val="20"/>
          </w:rPr>
          <w:t>10.1016/j.tranon.2020.100844</w:t>
        </w:r>
      </w:hyperlink>
      <w:r w:rsidR="00D8745A">
        <w:rPr>
          <w:sz w:val="20"/>
        </w:rPr>
        <w:t xml:space="preserve"> </w:t>
      </w:r>
    </w:p>
    <w:p w14:paraId="5B05E642" w14:textId="43FE2150" w:rsidR="000E5898" w:rsidRPr="000E5898" w:rsidRDefault="000E5898" w:rsidP="000E5898">
      <w:pPr>
        <w:pStyle w:val="References"/>
        <w:tabs>
          <w:tab w:val="clear" w:pos="504"/>
          <w:tab w:val="left" w:pos="426"/>
        </w:tabs>
        <w:ind w:left="426" w:hanging="362"/>
        <w:rPr>
          <w:sz w:val="20"/>
        </w:rPr>
      </w:pPr>
      <w:r w:rsidRPr="000E5898">
        <w:rPr>
          <w:sz w:val="20"/>
        </w:rPr>
        <w:t xml:space="preserve">13. </w:t>
      </w:r>
      <w:r w:rsidRPr="000E5898">
        <w:rPr>
          <w:sz w:val="20"/>
        </w:rPr>
        <w:tab/>
        <w:t>Yu J, Zhao B, Yu Y. Identification and validation of cytotoxicity-related features to predict prognostic and immunotherapy response in patients with clear cell renal cell carcinoma. Genet Res [Internet]. 2024;</w:t>
      </w:r>
      <w:r w:rsidR="00D8745A">
        <w:rPr>
          <w:sz w:val="20"/>
        </w:rPr>
        <w:t xml:space="preserve"> </w:t>
      </w:r>
      <w:r w:rsidRPr="000E5898">
        <w:rPr>
          <w:sz w:val="20"/>
        </w:rPr>
        <w:t>2024:</w:t>
      </w:r>
      <w:r w:rsidR="00D8745A">
        <w:rPr>
          <w:sz w:val="20"/>
        </w:rPr>
        <w:t xml:space="preserve"> </w:t>
      </w:r>
      <w:r w:rsidRPr="000E5898">
        <w:rPr>
          <w:sz w:val="20"/>
        </w:rPr>
        <w:t>3468209.</w:t>
      </w:r>
      <w:r w:rsidR="00D8745A">
        <w:rPr>
          <w:sz w:val="20"/>
        </w:rPr>
        <w:t xml:space="preserve"> </w:t>
      </w:r>
      <w:proofErr w:type="spellStart"/>
      <w:r w:rsidR="00D8745A">
        <w:rPr>
          <w:sz w:val="20"/>
        </w:rPr>
        <w:t>doi</w:t>
      </w:r>
      <w:proofErr w:type="spellEnd"/>
      <w:r w:rsidRPr="000E5898">
        <w:rPr>
          <w:sz w:val="20"/>
        </w:rPr>
        <w:t xml:space="preserve">: </w:t>
      </w:r>
      <w:hyperlink r:id="rId29" w:history="1">
        <w:r w:rsidR="00D8745A" w:rsidRPr="00C61AA5">
          <w:rPr>
            <w:rStyle w:val="Hyperlink"/>
            <w:sz w:val="20"/>
          </w:rPr>
          <w:t>10.1155/2024/3468209</w:t>
        </w:r>
      </w:hyperlink>
      <w:r w:rsidR="00D8745A">
        <w:rPr>
          <w:sz w:val="20"/>
        </w:rPr>
        <w:t xml:space="preserve"> </w:t>
      </w:r>
    </w:p>
    <w:p w14:paraId="0C5F6AB1" w14:textId="742D3EF2" w:rsidR="000E5898" w:rsidRPr="000E5898" w:rsidRDefault="000E5898" w:rsidP="000E5898">
      <w:pPr>
        <w:pStyle w:val="References"/>
        <w:tabs>
          <w:tab w:val="clear" w:pos="504"/>
          <w:tab w:val="left" w:pos="426"/>
        </w:tabs>
        <w:ind w:left="426" w:hanging="362"/>
        <w:rPr>
          <w:sz w:val="20"/>
        </w:rPr>
      </w:pPr>
      <w:r w:rsidRPr="000E5898">
        <w:rPr>
          <w:sz w:val="20"/>
        </w:rPr>
        <w:t xml:space="preserve">14. </w:t>
      </w:r>
      <w:r w:rsidRPr="000E5898">
        <w:rPr>
          <w:sz w:val="20"/>
        </w:rPr>
        <w:tab/>
        <w:t xml:space="preserve">Herrmann M, Probst P, Hornung R, </w:t>
      </w:r>
      <w:proofErr w:type="spellStart"/>
      <w:r w:rsidRPr="000E5898">
        <w:rPr>
          <w:sz w:val="20"/>
        </w:rPr>
        <w:t>Jurinovic</w:t>
      </w:r>
      <w:proofErr w:type="spellEnd"/>
      <w:r w:rsidRPr="000E5898">
        <w:rPr>
          <w:sz w:val="20"/>
        </w:rPr>
        <w:t xml:space="preserve"> V, Boulesteix AL. Large-scale benchmark study of survival prediction methods using multi-omics data. Brief </w:t>
      </w:r>
      <w:proofErr w:type="spellStart"/>
      <w:r w:rsidRPr="000E5898">
        <w:rPr>
          <w:sz w:val="20"/>
        </w:rPr>
        <w:t>Bioinform</w:t>
      </w:r>
      <w:proofErr w:type="spellEnd"/>
      <w:r w:rsidRPr="000E5898">
        <w:rPr>
          <w:sz w:val="20"/>
        </w:rPr>
        <w:t xml:space="preserve"> [Internet]. 2021 May 20;</w:t>
      </w:r>
      <w:r w:rsidR="00D8745A">
        <w:rPr>
          <w:sz w:val="20"/>
        </w:rPr>
        <w:t xml:space="preserve"> </w:t>
      </w:r>
      <w:r w:rsidRPr="000E5898">
        <w:rPr>
          <w:sz w:val="20"/>
        </w:rPr>
        <w:t>22(3):</w:t>
      </w:r>
      <w:r w:rsidR="00D8745A">
        <w:rPr>
          <w:sz w:val="20"/>
        </w:rPr>
        <w:t xml:space="preserve"> </w:t>
      </w:r>
      <w:r w:rsidRPr="000E5898">
        <w:rPr>
          <w:sz w:val="20"/>
        </w:rPr>
        <w:t>bbaa167.</w:t>
      </w:r>
      <w:r w:rsidR="00D8745A">
        <w:rPr>
          <w:sz w:val="20"/>
        </w:rPr>
        <w:t xml:space="preserve"> </w:t>
      </w:r>
      <w:proofErr w:type="spellStart"/>
      <w:r w:rsidR="00D8745A">
        <w:rPr>
          <w:sz w:val="20"/>
        </w:rPr>
        <w:t>doi</w:t>
      </w:r>
      <w:proofErr w:type="spellEnd"/>
      <w:r w:rsidRPr="000E5898">
        <w:rPr>
          <w:sz w:val="20"/>
        </w:rPr>
        <w:t xml:space="preserve">: </w:t>
      </w:r>
      <w:hyperlink r:id="rId30" w:history="1">
        <w:r w:rsidR="00D8745A" w:rsidRPr="00C61AA5">
          <w:rPr>
            <w:rStyle w:val="Hyperlink"/>
            <w:sz w:val="20"/>
          </w:rPr>
          <w:t>10.1093/bib/bbaa167</w:t>
        </w:r>
      </w:hyperlink>
      <w:r w:rsidR="00D8745A">
        <w:rPr>
          <w:sz w:val="20"/>
        </w:rPr>
        <w:t xml:space="preserve"> </w:t>
      </w:r>
    </w:p>
    <w:p w14:paraId="438CAD51" w14:textId="06AE5797" w:rsidR="000E5898" w:rsidRPr="000E5898" w:rsidRDefault="000E5898" w:rsidP="000E5898">
      <w:pPr>
        <w:pStyle w:val="References"/>
        <w:tabs>
          <w:tab w:val="clear" w:pos="504"/>
          <w:tab w:val="left" w:pos="426"/>
        </w:tabs>
        <w:ind w:left="426" w:hanging="362"/>
        <w:rPr>
          <w:sz w:val="20"/>
        </w:rPr>
      </w:pPr>
      <w:r w:rsidRPr="000E5898">
        <w:rPr>
          <w:sz w:val="20"/>
        </w:rPr>
        <w:lastRenderedPageBreak/>
        <w:t xml:space="preserve">15. </w:t>
      </w:r>
      <w:r w:rsidRPr="000E5898">
        <w:rPr>
          <w:sz w:val="20"/>
        </w:rPr>
        <w:tab/>
        <w:t xml:space="preserve">Li Y, Herold T, Mansmann U, Hornung R. Does combining numerous data types in multi-omics data improve or hinder performance in survival prediction? Insights from a large-scale benchmark study. BMC Med Inform </w:t>
      </w:r>
      <w:proofErr w:type="spellStart"/>
      <w:r w:rsidRPr="000E5898">
        <w:rPr>
          <w:sz w:val="20"/>
        </w:rPr>
        <w:t>Decis</w:t>
      </w:r>
      <w:proofErr w:type="spellEnd"/>
      <w:r w:rsidRPr="000E5898">
        <w:rPr>
          <w:sz w:val="20"/>
        </w:rPr>
        <w:t xml:space="preserve"> Mak [Internet]. 2024 Sept 2;</w:t>
      </w:r>
      <w:r w:rsidR="00D8745A">
        <w:rPr>
          <w:sz w:val="20"/>
        </w:rPr>
        <w:t xml:space="preserve"> </w:t>
      </w:r>
      <w:r w:rsidRPr="000E5898">
        <w:rPr>
          <w:sz w:val="20"/>
        </w:rPr>
        <w:t>24(1):</w:t>
      </w:r>
      <w:r w:rsidR="00D8745A">
        <w:rPr>
          <w:sz w:val="20"/>
        </w:rPr>
        <w:t xml:space="preserve"> </w:t>
      </w:r>
      <w:r w:rsidRPr="000E5898">
        <w:rPr>
          <w:sz w:val="20"/>
        </w:rPr>
        <w:t>244.</w:t>
      </w:r>
      <w:r w:rsidR="00D8745A">
        <w:rPr>
          <w:sz w:val="20"/>
        </w:rPr>
        <w:t xml:space="preserve"> </w:t>
      </w:r>
      <w:proofErr w:type="spellStart"/>
      <w:r w:rsidR="00D8745A">
        <w:rPr>
          <w:sz w:val="20"/>
        </w:rPr>
        <w:t>doi</w:t>
      </w:r>
      <w:proofErr w:type="spellEnd"/>
      <w:r w:rsidRPr="000E5898">
        <w:rPr>
          <w:sz w:val="20"/>
        </w:rPr>
        <w:t xml:space="preserve">: </w:t>
      </w:r>
      <w:hyperlink r:id="rId31" w:history="1">
        <w:r w:rsidR="00D8745A" w:rsidRPr="00C61AA5">
          <w:rPr>
            <w:rStyle w:val="Hyperlink"/>
            <w:sz w:val="20"/>
          </w:rPr>
          <w:t>10.1186/s12911-024-02642-9</w:t>
        </w:r>
      </w:hyperlink>
      <w:r w:rsidR="00D8745A">
        <w:rPr>
          <w:sz w:val="20"/>
        </w:rPr>
        <w:t xml:space="preserve"> </w:t>
      </w:r>
    </w:p>
    <w:p w14:paraId="06E1CBEE" w14:textId="66E3ECDA" w:rsidR="000E5898" w:rsidRPr="000E5898" w:rsidRDefault="000E5898" w:rsidP="000E5898">
      <w:pPr>
        <w:pStyle w:val="References"/>
        <w:tabs>
          <w:tab w:val="clear" w:pos="504"/>
          <w:tab w:val="left" w:pos="426"/>
        </w:tabs>
        <w:ind w:left="426" w:hanging="362"/>
        <w:rPr>
          <w:sz w:val="20"/>
        </w:rPr>
      </w:pPr>
      <w:r w:rsidRPr="000E5898">
        <w:rPr>
          <w:sz w:val="20"/>
        </w:rPr>
        <w:t xml:space="preserve">16. </w:t>
      </w:r>
      <w:r w:rsidRPr="000E5898">
        <w:rPr>
          <w:sz w:val="20"/>
        </w:rPr>
        <w:tab/>
        <w:t xml:space="preserve">Chu G, Xu T, Zhu G, Liu S, Niu H, Zhang M. Identification of a novel protein-based signature to improve prognosis prediction in renal clear cell carcinoma. Front Mol </w:t>
      </w:r>
      <w:proofErr w:type="spellStart"/>
      <w:r w:rsidRPr="000E5898">
        <w:rPr>
          <w:sz w:val="20"/>
        </w:rPr>
        <w:t>Biosci</w:t>
      </w:r>
      <w:proofErr w:type="spellEnd"/>
      <w:r w:rsidRPr="000E5898">
        <w:rPr>
          <w:sz w:val="20"/>
        </w:rPr>
        <w:t xml:space="preserve"> [Internet]. 2021;</w:t>
      </w:r>
      <w:r w:rsidR="00D8745A">
        <w:rPr>
          <w:sz w:val="20"/>
        </w:rPr>
        <w:t xml:space="preserve"> </w:t>
      </w:r>
      <w:r w:rsidRPr="000E5898">
        <w:rPr>
          <w:sz w:val="20"/>
        </w:rPr>
        <w:t>8:</w:t>
      </w:r>
      <w:r w:rsidR="00D8745A">
        <w:rPr>
          <w:sz w:val="20"/>
        </w:rPr>
        <w:t xml:space="preserve"> </w:t>
      </w:r>
      <w:r w:rsidRPr="000E5898">
        <w:rPr>
          <w:sz w:val="20"/>
        </w:rPr>
        <w:t>623120.</w:t>
      </w:r>
      <w:r w:rsidR="00D8745A">
        <w:rPr>
          <w:sz w:val="20"/>
        </w:rPr>
        <w:t xml:space="preserve"> </w:t>
      </w:r>
      <w:proofErr w:type="spellStart"/>
      <w:r w:rsidR="00D8745A">
        <w:rPr>
          <w:sz w:val="20"/>
        </w:rPr>
        <w:t>doi</w:t>
      </w:r>
      <w:proofErr w:type="spellEnd"/>
      <w:r w:rsidRPr="000E5898">
        <w:rPr>
          <w:sz w:val="20"/>
        </w:rPr>
        <w:t xml:space="preserve">: </w:t>
      </w:r>
      <w:hyperlink r:id="rId32" w:history="1">
        <w:r w:rsidR="00D8745A" w:rsidRPr="00C61AA5">
          <w:rPr>
            <w:rStyle w:val="Hyperlink"/>
            <w:sz w:val="20"/>
          </w:rPr>
          <w:t>10.3389/fmolb.2021.623120</w:t>
        </w:r>
      </w:hyperlink>
      <w:r w:rsidR="00D8745A">
        <w:rPr>
          <w:sz w:val="20"/>
        </w:rPr>
        <w:t xml:space="preserve"> </w:t>
      </w:r>
    </w:p>
    <w:p w14:paraId="1F591239" w14:textId="55B70046" w:rsidR="000E5898" w:rsidRPr="000E5898" w:rsidRDefault="000E5898" w:rsidP="000E5898">
      <w:pPr>
        <w:pStyle w:val="References"/>
        <w:tabs>
          <w:tab w:val="clear" w:pos="504"/>
          <w:tab w:val="left" w:pos="426"/>
        </w:tabs>
        <w:ind w:left="426" w:hanging="362"/>
        <w:rPr>
          <w:sz w:val="20"/>
        </w:rPr>
      </w:pPr>
      <w:r w:rsidRPr="000E5898">
        <w:rPr>
          <w:sz w:val="20"/>
        </w:rPr>
        <w:t xml:space="preserve">17. </w:t>
      </w:r>
      <w:r w:rsidRPr="000E5898">
        <w:rPr>
          <w:sz w:val="20"/>
        </w:rPr>
        <w:tab/>
        <w:t>Xu D, Li C. Gene 33/Mig6/ERRFI1, an adapter protein with complex functions in cell biology and human diseases. Cells [Internet]. 2021 June 22;</w:t>
      </w:r>
      <w:r w:rsidR="00D8745A">
        <w:rPr>
          <w:sz w:val="20"/>
        </w:rPr>
        <w:t xml:space="preserve"> </w:t>
      </w:r>
      <w:r w:rsidRPr="000E5898">
        <w:rPr>
          <w:sz w:val="20"/>
        </w:rPr>
        <w:t>10(7):</w:t>
      </w:r>
      <w:r w:rsidR="00D8745A">
        <w:rPr>
          <w:sz w:val="20"/>
        </w:rPr>
        <w:t xml:space="preserve"> </w:t>
      </w:r>
      <w:r w:rsidRPr="000E5898">
        <w:rPr>
          <w:sz w:val="20"/>
        </w:rPr>
        <w:t>1574.</w:t>
      </w:r>
      <w:r w:rsidR="00D8745A">
        <w:rPr>
          <w:sz w:val="20"/>
        </w:rPr>
        <w:t xml:space="preserve"> </w:t>
      </w:r>
      <w:proofErr w:type="spellStart"/>
      <w:r w:rsidR="00D8745A">
        <w:rPr>
          <w:sz w:val="20"/>
        </w:rPr>
        <w:t>doi</w:t>
      </w:r>
      <w:proofErr w:type="spellEnd"/>
      <w:r w:rsidRPr="000E5898">
        <w:rPr>
          <w:sz w:val="20"/>
        </w:rPr>
        <w:t xml:space="preserve">: </w:t>
      </w:r>
      <w:hyperlink r:id="rId33" w:history="1">
        <w:r w:rsidR="00D8745A" w:rsidRPr="00C61AA5">
          <w:rPr>
            <w:rStyle w:val="Hyperlink"/>
            <w:sz w:val="20"/>
          </w:rPr>
          <w:t>10.3390/cells10071574</w:t>
        </w:r>
      </w:hyperlink>
      <w:r w:rsidR="00D8745A">
        <w:rPr>
          <w:sz w:val="20"/>
        </w:rPr>
        <w:t xml:space="preserve">  </w:t>
      </w:r>
    </w:p>
    <w:p w14:paraId="371CE75B" w14:textId="55E6EF3A" w:rsidR="000E5898" w:rsidRPr="000E5898" w:rsidRDefault="000E5898" w:rsidP="000E5898">
      <w:pPr>
        <w:pStyle w:val="References"/>
        <w:tabs>
          <w:tab w:val="clear" w:pos="504"/>
          <w:tab w:val="left" w:pos="426"/>
        </w:tabs>
        <w:ind w:left="426" w:hanging="362"/>
        <w:rPr>
          <w:sz w:val="20"/>
        </w:rPr>
      </w:pPr>
      <w:r w:rsidRPr="000E5898">
        <w:rPr>
          <w:sz w:val="20"/>
        </w:rPr>
        <w:t xml:space="preserve">18. </w:t>
      </w:r>
      <w:r w:rsidRPr="000E5898">
        <w:rPr>
          <w:sz w:val="20"/>
        </w:rPr>
        <w:tab/>
        <w:t xml:space="preserve">Nakai Y, Miyake M, </w:t>
      </w:r>
      <w:proofErr w:type="spellStart"/>
      <w:r w:rsidRPr="000E5898">
        <w:rPr>
          <w:sz w:val="20"/>
        </w:rPr>
        <w:t>Morizawa</w:t>
      </w:r>
      <w:proofErr w:type="spellEnd"/>
      <w:r w:rsidRPr="000E5898">
        <w:rPr>
          <w:sz w:val="20"/>
        </w:rPr>
        <w:t xml:space="preserve"> Y, Hori S, Tatsumi Y, Anai S, et al. Potential biomarkers for the therapeutic efficacy of sorafenib, sunitinib and everolimus. Oncol Rep [Internet]. 2017 Jan;</w:t>
      </w:r>
      <w:r w:rsidR="00D8745A">
        <w:rPr>
          <w:sz w:val="20"/>
        </w:rPr>
        <w:t xml:space="preserve"> </w:t>
      </w:r>
      <w:r w:rsidRPr="000E5898">
        <w:rPr>
          <w:sz w:val="20"/>
        </w:rPr>
        <w:t>37(1):</w:t>
      </w:r>
      <w:r w:rsidR="00D8745A">
        <w:rPr>
          <w:sz w:val="20"/>
        </w:rPr>
        <w:t xml:space="preserve"> </w:t>
      </w:r>
      <w:r w:rsidRPr="000E5898">
        <w:rPr>
          <w:sz w:val="20"/>
        </w:rPr>
        <w:t>227–34.</w:t>
      </w:r>
      <w:r w:rsidR="00D8745A">
        <w:rPr>
          <w:sz w:val="20"/>
        </w:rPr>
        <w:t xml:space="preserve"> </w:t>
      </w:r>
      <w:proofErr w:type="spellStart"/>
      <w:r w:rsidR="00D8745A">
        <w:rPr>
          <w:sz w:val="20"/>
        </w:rPr>
        <w:t>doi</w:t>
      </w:r>
      <w:proofErr w:type="spellEnd"/>
      <w:r w:rsidRPr="000E5898">
        <w:rPr>
          <w:sz w:val="20"/>
        </w:rPr>
        <w:t xml:space="preserve">: </w:t>
      </w:r>
      <w:hyperlink r:id="rId34" w:history="1">
        <w:r w:rsidR="00D8745A" w:rsidRPr="00C61AA5">
          <w:rPr>
            <w:rStyle w:val="Hyperlink"/>
            <w:sz w:val="20"/>
          </w:rPr>
          <w:t>10.3892/or.2016.5232</w:t>
        </w:r>
      </w:hyperlink>
      <w:r w:rsidR="00D8745A">
        <w:rPr>
          <w:sz w:val="20"/>
        </w:rPr>
        <w:t xml:space="preserve"> </w:t>
      </w:r>
    </w:p>
    <w:p w14:paraId="6AE44EF2" w14:textId="16DFD259" w:rsidR="000E5898" w:rsidRPr="000E5898" w:rsidRDefault="000E5898" w:rsidP="000E5898">
      <w:pPr>
        <w:pStyle w:val="References"/>
        <w:tabs>
          <w:tab w:val="clear" w:pos="504"/>
          <w:tab w:val="left" w:pos="426"/>
        </w:tabs>
        <w:ind w:left="426" w:hanging="362"/>
        <w:rPr>
          <w:sz w:val="20"/>
        </w:rPr>
      </w:pPr>
      <w:r w:rsidRPr="000E5898">
        <w:rPr>
          <w:sz w:val="20"/>
        </w:rPr>
        <w:t xml:space="preserve">19. </w:t>
      </w:r>
      <w:r w:rsidRPr="000E5898">
        <w:rPr>
          <w:sz w:val="20"/>
        </w:rPr>
        <w:tab/>
        <w:t>R Core Team. R: A language and environment for statistical computing [Internet]. Vienna, Austria: R Foundation for Statistical Computing; 2019</w:t>
      </w:r>
      <w:r w:rsidR="00A86600">
        <w:rPr>
          <w:sz w:val="20"/>
        </w:rPr>
        <w:t xml:space="preserve"> </w:t>
      </w:r>
      <w:r w:rsidR="00A86600" w:rsidRPr="000E5898">
        <w:rPr>
          <w:sz w:val="20"/>
        </w:rPr>
        <w:t>[cited 2026 June 8]</w:t>
      </w:r>
      <w:r w:rsidRPr="000E5898">
        <w:rPr>
          <w:sz w:val="20"/>
        </w:rPr>
        <w:t xml:space="preserve">. Available from: </w:t>
      </w:r>
      <w:hyperlink r:id="rId35" w:history="1">
        <w:r w:rsidR="00D8745A" w:rsidRPr="00C61AA5">
          <w:rPr>
            <w:rStyle w:val="Hyperlink"/>
            <w:sz w:val="20"/>
          </w:rPr>
          <w:t>https://www.r-project.org/</w:t>
        </w:r>
      </w:hyperlink>
      <w:r w:rsidR="00D8745A">
        <w:rPr>
          <w:sz w:val="20"/>
        </w:rPr>
        <w:t xml:space="preserve"> </w:t>
      </w:r>
    </w:p>
    <w:p w14:paraId="53B57F4B" w14:textId="79CA7B4A" w:rsidR="000E5898" w:rsidRPr="000E5898" w:rsidRDefault="000E5898" w:rsidP="000E5898">
      <w:pPr>
        <w:pStyle w:val="References"/>
        <w:tabs>
          <w:tab w:val="clear" w:pos="504"/>
          <w:tab w:val="left" w:pos="426"/>
        </w:tabs>
        <w:ind w:left="426" w:hanging="362"/>
        <w:rPr>
          <w:sz w:val="20"/>
        </w:rPr>
      </w:pPr>
      <w:r w:rsidRPr="000E5898">
        <w:rPr>
          <w:sz w:val="20"/>
        </w:rPr>
        <w:t xml:space="preserve">20. </w:t>
      </w:r>
      <w:r w:rsidRPr="000E5898">
        <w:rPr>
          <w:sz w:val="20"/>
        </w:rPr>
        <w:tab/>
        <w:t xml:space="preserve">Wickham H, Averick M, Bryan J, Chang W, McGowan LD, François R, et al. Welcome to the </w:t>
      </w:r>
      <w:proofErr w:type="spellStart"/>
      <w:r w:rsidRPr="000E5898">
        <w:rPr>
          <w:sz w:val="20"/>
        </w:rPr>
        <w:t>Tidyverse</w:t>
      </w:r>
      <w:proofErr w:type="spellEnd"/>
      <w:r w:rsidRPr="000E5898">
        <w:rPr>
          <w:sz w:val="20"/>
        </w:rPr>
        <w:t xml:space="preserve">. J Open Source </w:t>
      </w:r>
      <w:proofErr w:type="spellStart"/>
      <w:r w:rsidRPr="000E5898">
        <w:rPr>
          <w:sz w:val="20"/>
        </w:rPr>
        <w:t>Softw</w:t>
      </w:r>
      <w:proofErr w:type="spellEnd"/>
      <w:r w:rsidRPr="000E5898">
        <w:rPr>
          <w:sz w:val="20"/>
        </w:rPr>
        <w:t xml:space="preserve"> [Internet]. 2019 Nov 21;</w:t>
      </w:r>
      <w:r w:rsidR="00D8745A">
        <w:rPr>
          <w:sz w:val="20"/>
        </w:rPr>
        <w:t xml:space="preserve"> </w:t>
      </w:r>
      <w:r w:rsidRPr="000E5898">
        <w:rPr>
          <w:sz w:val="20"/>
        </w:rPr>
        <w:t>4(43):</w:t>
      </w:r>
      <w:r w:rsidR="00D8745A">
        <w:rPr>
          <w:sz w:val="20"/>
        </w:rPr>
        <w:t xml:space="preserve"> </w:t>
      </w:r>
      <w:r w:rsidRPr="000E5898">
        <w:rPr>
          <w:sz w:val="20"/>
        </w:rPr>
        <w:t>1686.</w:t>
      </w:r>
      <w:r w:rsidR="00D8745A">
        <w:rPr>
          <w:sz w:val="20"/>
        </w:rPr>
        <w:t xml:space="preserve"> </w:t>
      </w:r>
      <w:proofErr w:type="spellStart"/>
      <w:r w:rsidR="00D8745A">
        <w:rPr>
          <w:sz w:val="20"/>
        </w:rPr>
        <w:t>doi</w:t>
      </w:r>
      <w:proofErr w:type="spellEnd"/>
      <w:r w:rsidRPr="000E5898">
        <w:rPr>
          <w:sz w:val="20"/>
        </w:rPr>
        <w:t xml:space="preserve">: </w:t>
      </w:r>
      <w:hyperlink r:id="rId36" w:history="1">
        <w:r w:rsidR="00D8745A" w:rsidRPr="00C61AA5">
          <w:rPr>
            <w:rStyle w:val="Hyperlink"/>
            <w:sz w:val="20"/>
          </w:rPr>
          <w:t>10.21105/joss.01686</w:t>
        </w:r>
      </w:hyperlink>
      <w:r w:rsidR="00D8745A">
        <w:rPr>
          <w:sz w:val="20"/>
        </w:rPr>
        <w:t xml:space="preserve"> </w:t>
      </w:r>
    </w:p>
    <w:p w14:paraId="74E130F1" w14:textId="04F9B27F" w:rsidR="000E5898" w:rsidRPr="000E5898" w:rsidRDefault="000E5898" w:rsidP="000E5898">
      <w:pPr>
        <w:pStyle w:val="References"/>
        <w:tabs>
          <w:tab w:val="clear" w:pos="504"/>
          <w:tab w:val="left" w:pos="426"/>
        </w:tabs>
        <w:ind w:left="426" w:hanging="362"/>
        <w:rPr>
          <w:sz w:val="20"/>
        </w:rPr>
      </w:pPr>
      <w:r w:rsidRPr="000E5898">
        <w:rPr>
          <w:sz w:val="20"/>
        </w:rPr>
        <w:t xml:space="preserve">21. </w:t>
      </w:r>
      <w:r w:rsidRPr="000E5898">
        <w:rPr>
          <w:sz w:val="20"/>
        </w:rPr>
        <w:tab/>
      </w:r>
      <w:proofErr w:type="spellStart"/>
      <w:r w:rsidRPr="000E5898">
        <w:rPr>
          <w:sz w:val="20"/>
        </w:rPr>
        <w:t>Therneau</w:t>
      </w:r>
      <w:proofErr w:type="spellEnd"/>
      <w:r w:rsidRPr="000E5898">
        <w:rPr>
          <w:sz w:val="20"/>
        </w:rPr>
        <w:t xml:space="preserve"> T. A package for survival analysis in R [Internet]. 2026</w:t>
      </w:r>
      <w:r w:rsidR="00A86600">
        <w:rPr>
          <w:sz w:val="20"/>
        </w:rPr>
        <w:t xml:space="preserve"> </w:t>
      </w:r>
      <w:r w:rsidR="00A86600" w:rsidRPr="000E5898">
        <w:rPr>
          <w:sz w:val="20"/>
        </w:rPr>
        <w:t>[cited 2026 June 8]</w:t>
      </w:r>
      <w:r w:rsidRPr="000E5898">
        <w:rPr>
          <w:sz w:val="20"/>
        </w:rPr>
        <w:t xml:space="preserve">. (R package version 3.8-6). Available from: </w:t>
      </w:r>
      <w:hyperlink r:id="rId37" w:history="1">
        <w:r w:rsidR="00D8745A" w:rsidRPr="00C61AA5">
          <w:rPr>
            <w:rStyle w:val="Hyperlink"/>
            <w:sz w:val="20"/>
          </w:rPr>
          <w:t>https://CRAN.R-project.org/package=survival</w:t>
        </w:r>
      </w:hyperlink>
      <w:r w:rsidR="00D8745A">
        <w:rPr>
          <w:sz w:val="20"/>
        </w:rPr>
        <w:t xml:space="preserve"> </w:t>
      </w:r>
    </w:p>
    <w:p w14:paraId="7E1F7F70" w14:textId="77777777" w:rsidR="000E5898" w:rsidRPr="000E5898" w:rsidRDefault="000E5898" w:rsidP="000E5898">
      <w:pPr>
        <w:pStyle w:val="References"/>
        <w:tabs>
          <w:tab w:val="clear" w:pos="504"/>
          <w:tab w:val="left" w:pos="426"/>
        </w:tabs>
        <w:ind w:left="426" w:hanging="362"/>
        <w:rPr>
          <w:sz w:val="20"/>
        </w:rPr>
      </w:pPr>
      <w:r w:rsidRPr="000E5898">
        <w:rPr>
          <w:sz w:val="20"/>
        </w:rPr>
        <w:t xml:space="preserve">22. </w:t>
      </w:r>
      <w:r w:rsidRPr="000E5898">
        <w:rPr>
          <w:sz w:val="20"/>
        </w:rPr>
        <w:tab/>
      </w:r>
      <w:proofErr w:type="spellStart"/>
      <w:r w:rsidRPr="000E5898">
        <w:rPr>
          <w:sz w:val="20"/>
        </w:rPr>
        <w:t>Therneau</w:t>
      </w:r>
      <w:proofErr w:type="spellEnd"/>
      <w:r w:rsidRPr="000E5898">
        <w:rPr>
          <w:sz w:val="20"/>
        </w:rPr>
        <w:t xml:space="preserve"> TM, </w:t>
      </w:r>
      <w:proofErr w:type="spellStart"/>
      <w:r w:rsidRPr="000E5898">
        <w:rPr>
          <w:sz w:val="20"/>
        </w:rPr>
        <w:t>Grambsch</w:t>
      </w:r>
      <w:proofErr w:type="spellEnd"/>
      <w:r w:rsidRPr="000E5898">
        <w:rPr>
          <w:sz w:val="20"/>
        </w:rPr>
        <w:t xml:space="preserve"> PM. </w:t>
      </w:r>
      <w:proofErr w:type="spellStart"/>
      <w:r w:rsidRPr="000E5898">
        <w:rPr>
          <w:sz w:val="20"/>
        </w:rPr>
        <w:t>Modeling</w:t>
      </w:r>
      <w:proofErr w:type="spellEnd"/>
      <w:r w:rsidRPr="000E5898">
        <w:rPr>
          <w:sz w:val="20"/>
        </w:rPr>
        <w:t xml:space="preserve"> survival data: extending the cox model. New York: Springer; 2000. </w:t>
      </w:r>
    </w:p>
    <w:p w14:paraId="1968EF7D" w14:textId="563F65D8" w:rsidR="000E5898" w:rsidRPr="000E5898" w:rsidRDefault="000E5898" w:rsidP="000E5898">
      <w:pPr>
        <w:pStyle w:val="References"/>
        <w:tabs>
          <w:tab w:val="clear" w:pos="504"/>
          <w:tab w:val="left" w:pos="426"/>
        </w:tabs>
        <w:ind w:left="426" w:hanging="362"/>
        <w:rPr>
          <w:sz w:val="20"/>
        </w:rPr>
      </w:pPr>
      <w:r w:rsidRPr="000E5898">
        <w:rPr>
          <w:sz w:val="20"/>
        </w:rPr>
        <w:t xml:space="preserve">23. </w:t>
      </w:r>
      <w:r w:rsidRPr="000E5898">
        <w:rPr>
          <w:sz w:val="20"/>
        </w:rPr>
        <w:tab/>
      </w:r>
      <w:proofErr w:type="spellStart"/>
      <w:r w:rsidRPr="000E5898">
        <w:rPr>
          <w:sz w:val="20"/>
        </w:rPr>
        <w:t>Kassambara</w:t>
      </w:r>
      <w:proofErr w:type="spellEnd"/>
      <w:r w:rsidRPr="000E5898">
        <w:rPr>
          <w:sz w:val="20"/>
        </w:rPr>
        <w:t xml:space="preserve"> A, Kosinski M, </w:t>
      </w:r>
      <w:proofErr w:type="spellStart"/>
      <w:r w:rsidRPr="000E5898">
        <w:rPr>
          <w:sz w:val="20"/>
        </w:rPr>
        <w:t>Biecek</w:t>
      </w:r>
      <w:proofErr w:type="spellEnd"/>
      <w:r w:rsidRPr="000E5898">
        <w:rPr>
          <w:sz w:val="20"/>
        </w:rPr>
        <w:t xml:space="preserve"> P. </w:t>
      </w:r>
      <w:proofErr w:type="spellStart"/>
      <w:r w:rsidRPr="000E5898">
        <w:rPr>
          <w:sz w:val="20"/>
        </w:rPr>
        <w:t>survminer</w:t>
      </w:r>
      <w:proofErr w:type="spellEnd"/>
      <w:r w:rsidRPr="000E5898">
        <w:rPr>
          <w:sz w:val="20"/>
        </w:rPr>
        <w:t>: Drawing survival curves using ‘ggplot2’ [Internet]. 2026</w:t>
      </w:r>
      <w:r w:rsidR="00A86600">
        <w:rPr>
          <w:sz w:val="20"/>
        </w:rPr>
        <w:t xml:space="preserve"> </w:t>
      </w:r>
      <w:r w:rsidR="00A86600" w:rsidRPr="000E5898">
        <w:rPr>
          <w:sz w:val="20"/>
        </w:rPr>
        <w:t>[cited 2026 June 8]</w:t>
      </w:r>
      <w:r w:rsidRPr="000E5898">
        <w:rPr>
          <w:sz w:val="20"/>
        </w:rPr>
        <w:t>. (R package version 0.5.2).</w:t>
      </w:r>
      <w:r w:rsidR="00D8745A">
        <w:rPr>
          <w:sz w:val="20"/>
        </w:rPr>
        <w:t xml:space="preserve"> </w:t>
      </w:r>
      <w:proofErr w:type="spellStart"/>
      <w:r w:rsidR="00D8745A">
        <w:rPr>
          <w:sz w:val="20"/>
        </w:rPr>
        <w:t>doi</w:t>
      </w:r>
      <w:proofErr w:type="spellEnd"/>
      <w:r w:rsidRPr="000E5898">
        <w:rPr>
          <w:sz w:val="20"/>
        </w:rPr>
        <w:t xml:space="preserve">: </w:t>
      </w:r>
      <w:hyperlink r:id="rId38" w:history="1">
        <w:r w:rsidR="00D8745A" w:rsidRPr="00C61AA5">
          <w:rPr>
            <w:rStyle w:val="Hyperlink"/>
            <w:sz w:val="20"/>
          </w:rPr>
          <w:t>10.32614/</w:t>
        </w:r>
        <w:proofErr w:type="spellStart"/>
        <w:r w:rsidR="00D8745A" w:rsidRPr="00C61AA5">
          <w:rPr>
            <w:rStyle w:val="Hyperlink"/>
            <w:sz w:val="20"/>
          </w:rPr>
          <w:t>CRAN.package.survminer</w:t>
        </w:r>
        <w:proofErr w:type="spellEnd"/>
      </w:hyperlink>
      <w:r w:rsidR="00D8745A">
        <w:rPr>
          <w:sz w:val="20"/>
        </w:rPr>
        <w:t xml:space="preserve"> </w:t>
      </w:r>
    </w:p>
    <w:p w14:paraId="69B8555D" w14:textId="7E6373AD" w:rsidR="000E5898" w:rsidRPr="000E5898" w:rsidRDefault="000E5898" w:rsidP="000E5898">
      <w:pPr>
        <w:pStyle w:val="References"/>
        <w:tabs>
          <w:tab w:val="clear" w:pos="504"/>
          <w:tab w:val="left" w:pos="426"/>
        </w:tabs>
        <w:ind w:left="426" w:hanging="362"/>
        <w:rPr>
          <w:sz w:val="20"/>
        </w:rPr>
      </w:pPr>
      <w:r w:rsidRPr="000E5898">
        <w:rPr>
          <w:sz w:val="20"/>
        </w:rPr>
        <w:t xml:space="preserve">24. </w:t>
      </w:r>
      <w:r w:rsidRPr="000E5898">
        <w:rPr>
          <w:sz w:val="20"/>
        </w:rPr>
        <w:tab/>
        <w:t xml:space="preserve">Friedman JH, Hastie T, </w:t>
      </w:r>
      <w:proofErr w:type="spellStart"/>
      <w:r w:rsidRPr="000E5898">
        <w:rPr>
          <w:sz w:val="20"/>
        </w:rPr>
        <w:t>Tibshirani</w:t>
      </w:r>
      <w:proofErr w:type="spellEnd"/>
      <w:r w:rsidRPr="000E5898">
        <w:rPr>
          <w:sz w:val="20"/>
        </w:rPr>
        <w:t xml:space="preserve"> R. Regularization paths for generalized linear models via coordinate descent. J Stat </w:t>
      </w:r>
      <w:proofErr w:type="spellStart"/>
      <w:r w:rsidRPr="000E5898">
        <w:rPr>
          <w:sz w:val="20"/>
        </w:rPr>
        <w:t>Softw</w:t>
      </w:r>
      <w:proofErr w:type="spellEnd"/>
      <w:r w:rsidRPr="000E5898">
        <w:rPr>
          <w:sz w:val="20"/>
        </w:rPr>
        <w:t xml:space="preserve"> [Internet]. 2010 Feb 2;</w:t>
      </w:r>
      <w:r w:rsidR="00D8745A">
        <w:rPr>
          <w:sz w:val="20"/>
        </w:rPr>
        <w:t xml:space="preserve"> </w:t>
      </w:r>
      <w:r w:rsidRPr="000E5898">
        <w:rPr>
          <w:sz w:val="20"/>
        </w:rPr>
        <w:t>33:</w:t>
      </w:r>
      <w:r w:rsidR="00D8745A">
        <w:rPr>
          <w:sz w:val="20"/>
        </w:rPr>
        <w:t xml:space="preserve"> </w:t>
      </w:r>
      <w:r w:rsidRPr="000E5898">
        <w:rPr>
          <w:sz w:val="20"/>
        </w:rPr>
        <w:t>1–22.</w:t>
      </w:r>
      <w:r w:rsidR="00D8745A">
        <w:rPr>
          <w:sz w:val="20"/>
        </w:rPr>
        <w:t xml:space="preserve"> </w:t>
      </w:r>
      <w:proofErr w:type="spellStart"/>
      <w:r w:rsidR="00D8745A">
        <w:rPr>
          <w:sz w:val="20"/>
        </w:rPr>
        <w:t>doi</w:t>
      </w:r>
      <w:proofErr w:type="spellEnd"/>
      <w:r w:rsidRPr="000E5898">
        <w:rPr>
          <w:sz w:val="20"/>
        </w:rPr>
        <w:t xml:space="preserve">: </w:t>
      </w:r>
      <w:hyperlink r:id="rId39" w:history="1">
        <w:r w:rsidR="00D8745A" w:rsidRPr="00C61AA5">
          <w:rPr>
            <w:rStyle w:val="Hyperlink"/>
            <w:sz w:val="20"/>
          </w:rPr>
          <w:t>10.18637/</w:t>
        </w:r>
        <w:proofErr w:type="gramStart"/>
        <w:r w:rsidR="00D8745A" w:rsidRPr="00C61AA5">
          <w:rPr>
            <w:rStyle w:val="Hyperlink"/>
            <w:sz w:val="20"/>
          </w:rPr>
          <w:t>jss.v033.i</w:t>
        </w:r>
        <w:proofErr w:type="gramEnd"/>
        <w:r w:rsidR="00D8745A" w:rsidRPr="00C61AA5">
          <w:rPr>
            <w:rStyle w:val="Hyperlink"/>
            <w:sz w:val="20"/>
          </w:rPr>
          <w:t>01</w:t>
        </w:r>
      </w:hyperlink>
      <w:r w:rsidR="00D8745A">
        <w:rPr>
          <w:sz w:val="20"/>
        </w:rPr>
        <w:t xml:space="preserve"> </w:t>
      </w:r>
    </w:p>
    <w:p w14:paraId="5FAFD183" w14:textId="1C9E2B1D" w:rsidR="000E5898" w:rsidRPr="000E5898" w:rsidRDefault="000E5898" w:rsidP="000E5898">
      <w:pPr>
        <w:pStyle w:val="References"/>
        <w:tabs>
          <w:tab w:val="clear" w:pos="504"/>
          <w:tab w:val="left" w:pos="426"/>
        </w:tabs>
        <w:ind w:left="426" w:hanging="362"/>
        <w:rPr>
          <w:sz w:val="20"/>
        </w:rPr>
      </w:pPr>
      <w:r w:rsidRPr="000E5898">
        <w:rPr>
          <w:sz w:val="20"/>
        </w:rPr>
        <w:t xml:space="preserve">25. </w:t>
      </w:r>
      <w:r w:rsidRPr="000E5898">
        <w:rPr>
          <w:sz w:val="20"/>
        </w:rPr>
        <w:tab/>
        <w:t xml:space="preserve">Tay JK, Narasimhan B, Hastie T. Elastic net regularization paths for all generalized linear models. J Stat </w:t>
      </w:r>
      <w:proofErr w:type="spellStart"/>
      <w:r w:rsidRPr="000E5898">
        <w:rPr>
          <w:sz w:val="20"/>
        </w:rPr>
        <w:t>Softw</w:t>
      </w:r>
      <w:proofErr w:type="spellEnd"/>
      <w:r w:rsidRPr="000E5898">
        <w:rPr>
          <w:sz w:val="20"/>
        </w:rPr>
        <w:t xml:space="preserve"> [Internet]. 2023 Mar 23;</w:t>
      </w:r>
      <w:r w:rsidR="00D8745A">
        <w:rPr>
          <w:sz w:val="20"/>
        </w:rPr>
        <w:t xml:space="preserve"> </w:t>
      </w:r>
      <w:r w:rsidRPr="000E5898">
        <w:rPr>
          <w:sz w:val="20"/>
        </w:rPr>
        <w:t>106:</w:t>
      </w:r>
      <w:r w:rsidR="00D8745A">
        <w:rPr>
          <w:sz w:val="20"/>
        </w:rPr>
        <w:t xml:space="preserve"> </w:t>
      </w:r>
      <w:r w:rsidRPr="000E5898">
        <w:rPr>
          <w:sz w:val="20"/>
        </w:rPr>
        <w:t>1–31.</w:t>
      </w:r>
      <w:r w:rsidR="00D8745A">
        <w:rPr>
          <w:sz w:val="20"/>
        </w:rPr>
        <w:t xml:space="preserve"> </w:t>
      </w:r>
      <w:proofErr w:type="spellStart"/>
      <w:r w:rsidR="00D8745A">
        <w:rPr>
          <w:sz w:val="20"/>
        </w:rPr>
        <w:t>doi</w:t>
      </w:r>
      <w:proofErr w:type="spellEnd"/>
      <w:r w:rsidRPr="000E5898">
        <w:rPr>
          <w:sz w:val="20"/>
        </w:rPr>
        <w:t xml:space="preserve">: </w:t>
      </w:r>
      <w:hyperlink r:id="rId40" w:history="1">
        <w:r w:rsidR="00D8745A" w:rsidRPr="00C61AA5">
          <w:rPr>
            <w:rStyle w:val="Hyperlink"/>
            <w:sz w:val="20"/>
          </w:rPr>
          <w:t>10.18637/</w:t>
        </w:r>
        <w:proofErr w:type="gramStart"/>
        <w:r w:rsidR="00D8745A" w:rsidRPr="00C61AA5">
          <w:rPr>
            <w:rStyle w:val="Hyperlink"/>
            <w:sz w:val="20"/>
          </w:rPr>
          <w:t>jss.v106.i</w:t>
        </w:r>
        <w:proofErr w:type="gramEnd"/>
        <w:r w:rsidR="00D8745A" w:rsidRPr="00C61AA5">
          <w:rPr>
            <w:rStyle w:val="Hyperlink"/>
            <w:sz w:val="20"/>
          </w:rPr>
          <w:t>01</w:t>
        </w:r>
      </w:hyperlink>
      <w:r w:rsidR="00D8745A">
        <w:rPr>
          <w:sz w:val="20"/>
        </w:rPr>
        <w:t xml:space="preserve"> </w:t>
      </w:r>
    </w:p>
    <w:p w14:paraId="77056AAC" w14:textId="76CAE4BD" w:rsidR="000E5898" w:rsidRPr="000E5898" w:rsidRDefault="000E5898" w:rsidP="000E5898">
      <w:pPr>
        <w:pStyle w:val="References"/>
        <w:tabs>
          <w:tab w:val="clear" w:pos="504"/>
          <w:tab w:val="left" w:pos="426"/>
        </w:tabs>
        <w:ind w:left="426" w:hanging="362"/>
        <w:rPr>
          <w:sz w:val="20"/>
        </w:rPr>
      </w:pPr>
      <w:r w:rsidRPr="000E5898">
        <w:rPr>
          <w:sz w:val="20"/>
        </w:rPr>
        <w:t xml:space="preserve">26. </w:t>
      </w:r>
      <w:r w:rsidRPr="000E5898">
        <w:rPr>
          <w:sz w:val="20"/>
        </w:rPr>
        <w:tab/>
        <w:t xml:space="preserve">Robinson D, Hayes A, Couch S, </w:t>
      </w:r>
      <w:proofErr w:type="spellStart"/>
      <w:r w:rsidRPr="000E5898">
        <w:rPr>
          <w:sz w:val="20"/>
        </w:rPr>
        <w:t>Hvitfeldt</w:t>
      </w:r>
      <w:proofErr w:type="spellEnd"/>
      <w:r w:rsidRPr="000E5898">
        <w:rPr>
          <w:sz w:val="20"/>
        </w:rPr>
        <w:t xml:space="preserve"> E, Posit Software PBC, Patil I, et al. broom: Convert statistical objects into tidy </w:t>
      </w:r>
      <w:proofErr w:type="spellStart"/>
      <w:r w:rsidRPr="000E5898">
        <w:rPr>
          <w:sz w:val="20"/>
        </w:rPr>
        <w:t>tibbles</w:t>
      </w:r>
      <w:proofErr w:type="spellEnd"/>
      <w:r w:rsidRPr="000E5898">
        <w:rPr>
          <w:sz w:val="20"/>
        </w:rPr>
        <w:t xml:space="preserve"> [Internet]. 2026 [cited 2026 June 8]. (R package version 1.0.13).</w:t>
      </w:r>
      <w:r w:rsidR="00A86600">
        <w:rPr>
          <w:sz w:val="20"/>
        </w:rPr>
        <w:t xml:space="preserve"> </w:t>
      </w:r>
      <w:proofErr w:type="spellStart"/>
      <w:r w:rsidR="00A86600">
        <w:rPr>
          <w:sz w:val="20"/>
        </w:rPr>
        <w:t>doi</w:t>
      </w:r>
      <w:proofErr w:type="spellEnd"/>
      <w:r w:rsidRPr="000E5898">
        <w:rPr>
          <w:sz w:val="20"/>
        </w:rPr>
        <w:t xml:space="preserve">: </w:t>
      </w:r>
      <w:hyperlink r:id="rId41" w:history="1">
        <w:r w:rsidR="00A86600" w:rsidRPr="00C61AA5">
          <w:rPr>
            <w:rStyle w:val="Hyperlink"/>
            <w:sz w:val="20"/>
          </w:rPr>
          <w:t>10.32614/</w:t>
        </w:r>
        <w:proofErr w:type="spellStart"/>
        <w:r w:rsidR="00A86600" w:rsidRPr="00C61AA5">
          <w:rPr>
            <w:rStyle w:val="Hyperlink"/>
            <w:sz w:val="20"/>
          </w:rPr>
          <w:t>CRAN.package.broom</w:t>
        </w:r>
        <w:proofErr w:type="spellEnd"/>
      </w:hyperlink>
      <w:r w:rsidR="00A86600">
        <w:rPr>
          <w:sz w:val="20"/>
        </w:rPr>
        <w:t xml:space="preserve"> </w:t>
      </w:r>
    </w:p>
    <w:p w14:paraId="25DA51C1" w14:textId="56F7C866" w:rsidR="000E5898" w:rsidRPr="000E5898" w:rsidRDefault="000E5898" w:rsidP="000E5898">
      <w:pPr>
        <w:pStyle w:val="References"/>
        <w:tabs>
          <w:tab w:val="clear" w:pos="504"/>
          <w:tab w:val="left" w:pos="426"/>
        </w:tabs>
        <w:ind w:left="426" w:hanging="362"/>
        <w:rPr>
          <w:sz w:val="20"/>
        </w:rPr>
      </w:pPr>
      <w:r w:rsidRPr="000E5898">
        <w:rPr>
          <w:sz w:val="20"/>
        </w:rPr>
        <w:t xml:space="preserve">27. </w:t>
      </w:r>
      <w:r w:rsidRPr="000E5898">
        <w:rPr>
          <w:sz w:val="20"/>
        </w:rPr>
        <w:tab/>
      </w:r>
      <w:proofErr w:type="spellStart"/>
      <w:r w:rsidRPr="000E5898">
        <w:rPr>
          <w:sz w:val="20"/>
        </w:rPr>
        <w:t>Dolgalev</w:t>
      </w:r>
      <w:proofErr w:type="spellEnd"/>
      <w:r w:rsidRPr="000E5898">
        <w:rPr>
          <w:sz w:val="20"/>
        </w:rPr>
        <w:t xml:space="preserve"> I. </w:t>
      </w:r>
      <w:proofErr w:type="spellStart"/>
      <w:r w:rsidRPr="000E5898">
        <w:rPr>
          <w:sz w:val="20"/>
        </w:rPr>
        <w:t>msigdbr</w:t>
      </w:r>
      <w:proofErr w:type="spellEnd"/>
      <w:r w:rsidRPr="000E5898">
        <w:rPr>
          <w:sz w:val="20"/>
        </w:rPr>
        <w:t xml:space="preserve">: </w:t>
      </w:r>
      <w:proofErr w:type="spellStart"/>
      <w:r w:rsidRPr="000E5898">
        <w:rPr>
          <w:sz w:val="20"/>
        </w:rPr>
        <w:t>MSigDB</w:t>
      </w:r>
      <w:proofErr w:type="spellEnd"/>
      <w:r w:rsidRPr="000E5898">
        <w:rPr>
          <w:sz w:val="20"/>
        </w:rPr>
        <w:t xml:space="preserve"> gene sets for multiple organisms in a tidy data format [Internet]. 2026 [cited 2026 June 8]. (R package version 26.1.0).</w:t>
      </w:r>
      <w:r w:rsidR="00A86600">
        <w:rPr>
          <w:sz w:val="20"/>
        </w:rPr>
        <w:t xml:space="preserve"> </w:t>
      </w:r>
      <w:proofErr w:type="spellStart"/>
      <w:r w:rsidR="00A86600">
        <w:rPr>
          <w:sz w:val="20"/>
        </w:rPr>
        <w:t>doi</w:t>
      </w:r>
      <w:proofErr w:type="spellEnd"/>
      <w:r w:rsidRPr="000E5898">
        <w:rPr>
          <w:sz w:val="20"/>
        </w:rPr>
        <w:t xml:space="preserve">: </w:t>
      </w:r>
      <w:hyperlink r:id="rId42" w:history="1">
        <w:r w:rsidR="00A86600" w:rsidRPr="00C61AA5">
          <w:rPr>
            <w:rStyle w:val="Hyperlink"/>
            <w:sz w:val="20"/>
          </w:rPr>
          <w:t>10.32614/</w:t>
        </w:r>
        <w:proofErr w:type="spellStart"/>
        <w:r w:rsidR="00A86600" w:rsidRPr="00C61AA5">
          <w:rPr>
            <w:rStyle w:val="Hyperlink"/>
            <w:sz w:val="20"/>
          </w:rPr>
          <w:t>CRAN.package.msigdbr</w:t>
        </w:r>
        <w:proofErr w:type="spellEnd"/>
      </w:hyperlink>
      <w:r w:rsidR="00A86600">
        <w:rPr>
          <w:sz w:val="20"/>
        </w:rPr>
        <w:t xml:space="preserve"> </w:t>
      </w:r>
    </w:p>
    <w:p w14:paraId="7AFB2578" w14:textId="6D0DEC33" w:rsidR="00E032A2" w:rsidRPr="00FC300A" w:rsidRDefault="00E032A2" w:rsidP="000E5898">
      <w:pPr>
        <w:pStyle w:val="References"/>
        <w:tabs>
          <w:tab w:val="clear" w:pos="504"/>
          <w:tab w:val="left" w:pos="426"/>
        </w:tabs>
        <w:ind w:left="426" w:hanging="362"/>
        <w:rPr>
          <w:sz w:val="20"/>
        </w:rPr>
      </w:pPr>
    </w:p>
    <w:p w14:paraId="5DB9817E" w14:textId="77777777" w:rsidR="00D91860" w:rsidRDefault="00D91860">
      <w:pPr>
        <w:spacing w:after="160" w:line="259" w:lineRule="auto"/>
        <w:rPr>
          <w:rFonts w:eastAsiaTheme="majorEastAsia"/>
          <w:b/>
          <w:bCs/>
          <w:sz w:val="32"/>
          <w:szCs w:val="32"/>
        </w:rPr>
      </w:pPr>
      <w:r>
        <w:br w:type="page"/>
      </w:r>
    </w:p>
    <w:p w14:paraId="2005D66F" w14:textId="4AEC139E" w:rsidR="00D27C42" w:rsidRDefault="00E032A2" w:rsidP="00E032A2">
      <w:pPr>
        <w:pStyle w:val="Heading2"/>
      </w:pPr>
      <w:r>
        <w:lastRenderedPageBreak/>
        <w:t>Appendix 1. Abbreviations</w:t>
      </w:r>
    </w:p>
    <w:p w14:paraId="55D284F2" w14:textId="13997DFF" w:rsidR="00EE3504" w:rsidRPr="00EE3504" w:rsidRDefault="00EE3504" w:rsidP="00EE3504">
      <w:pPr>
        <w:tabs>
          <w:tab w:val="left" w:pos="993"/>
        </w:tabs>
        <w:spacing w:after="120" w:line="240" w:lineRule="auto"/>
        <w:rPr>
          <w:sz w:val="20"/>
          <w:szCs w:val="20"/>
        </w:rPr>
      </w:pPr>
      <w:r w:rsidRPr="00EE3504">
        <w:rPr>
          <w:sz w:val="20"/>
          <w:szCs w:val="20"/>
        </w:rPr>
        <w:t xml:space="preserve">AJCC    </w:t>
      </w:r>
      <w:r>
        <w:rPr>
          <w:sz w:val="20"/>
          <w:szCs w:val="20"/>
        </w:rPr>
        <w:tab/>
      </w:r>
      <w:r w:rsidRPr="00EE3504">
        <w:rPr>
          <w:sz w:val="20"/>
          <w:szCs w:val="20"/>
        </w:rPr>
        <w:t>American Joint Committee on Cancer</w:t>
      </w:r>
    </w:p>
    <w:p w14:paraId="0843252A" w14:textId="5D6D82D7" w:rsidR="00EE3504" w:rsidRPr="00EE3504" w:rsidRDefault="00EE3504" w:rsidP="00EE3504">
      <w:pPr>
        <w:tabs>
          <w:tab w:val="left" w:pos="993"/>
        </w:tabs>
        <w:spacing w:after="120" w:line="240" w:lineRule="auto"/>
        <w:rPr>
          <w:sz w:val="20"/>
          <w:szCs w:val="20"/>
        </w:rPr>
      </w:pPr>
      <w:r w:rsidRPr="00EE3504">
        <w:rPr>
          <w:sz w:val="20"/>
          <w:szCs w:val="20"/>
        </w:rPr>
        <w:t xml:space="preserve">C-index </w:t>
      </w:r>
      <w:r>
        <w:rPr>
          <w:sz w:val="20"/>
          <w:szCs w:val="20"/>
        </w:rPr>
        <w:tab/>
      </w:r>
      <w:r w:rsidRPr="00EE3504">
        <w:rPr>
          <w:sz w:val="20"/>
          <w:szCs w:val="20"/>
        </w:rPr>
        <w:t>concordance index</w:t>
      </w:r>
    </w:p>
    <w:p w14:paraId="12F5694B" w14:textId="04A7DF3C" w:rsidR="00EE3504" w:rsidRPr="00EE3504" w:rsidRDefault="00EE3504" w:rsidP="00EE3504">
      <w:pPr>
        <w:tabs>
          <w:tab w:val="left" w:pos="993"/>
        </w:tabs>
        <w:spacing w:after="120" w:line="240" w:lineRule="auto"/>
        <w:rPr>
          <w:sz w:val="20"/>
          <w:szCs w:val="20"/>
        </w:rPr>
      </w:pPr>
      <w:proofErr w:type="spellStart"/>
      <w:r w:rsidRPr="00EE3504">
        <w:rPr>
          <w:sz w:val="20"/>
          <w:szCs w:val="20"/>
        </w:rPr>
        <w:t>ccRCC</w:t>
      </w:r>
      <w:proofErr w:type="spellEnd"/>
      <w:r w:rsidRPr="00EE3504">
        <w:rPr>
          <w:sz w:val="20"/>
          <w:szCs w:val="20"/>
        </w:rPr>
        <w:t xml:space="preserve">   </w:t>
      </w:r>
      <w:r>
        <w:rPr>
          <w:sz w:val="20"/>
          <w:szCs w:val="20"/>
        </w:rPr>
        <w:tab/>
        <w:t>k</w:t>
      </w:r>
      <w:r w:rsidRPr="00EE3504">
        <w:rPr>
          <w:sz w:val="20"/>
          <w:szCs w:val="20"/>
        </w:rPr>
        <w:t>idney renal clear cell carcinoma</w:t>
      </w:r>
    </w:p>
    <w:p w14:paraId="6BD51C17" w14:textId="372BB673" w:rsidR="00EE3504" w:rsidRPr="00EE3504" w:rsidRDefault="00EE3504" w:rsidP="00EE3504">
      <w:pPr>
        <w:tabs>
          <w:tab w:val="left" w:pos="993"/>
        </w:tabs>
        <w:spacing w:after="120" w:line="240" w:lineRule="auto"/>
        <w:rPr>
          <w:sz w:val="20"/>
          <w:szCs w:val="20"/>
        </w:rPr>
      </w:pPr>
      <w:r w:rsidRPr="00EE3504">
        <w:rPr>
          <w:sz w:val="20"/>
          <w:szCs w:val="20"/>
        </w:rPr>
        <w:t xml:space="preserve">CNA     </w:t>
      </w:r>
      <w:r>
        <w:rPr>
          <w:sz w:val="20"/>
          <w:szCs w:val="20"/>
        </w:rPr>
        <w:tab/>
      </w:r>
      <w:r w:rsidRPr="00EE3504">
        <w:rPr>
          <w:sz w:val="20"/>
          <w:szCs w:val="20"/>
        </w:rPr>
        <w:t>copy number alteration</w:t>
      </w:r>
    </w:p>
    <w:p w14:paraId="69A380E2" w14:textId="23032659" w:rsidR="00EE3504" w:rsidRPr="00EE3504" w:rsidRDefault="00EE3504" w:rsidP="00EE3504">
      <w:pPr>
        <w:tabs>
          <w:tab w:val="left" w:pos="993"/>
        </w:tabs>
        <w:spacing w:after="120" w:line="240" w:lineRule="auto"/>
        <w:rPr>
          <w:sz w:val="20"/>
          <w:szCs w:val="20"/>
        </w:rPr>
      </w:pPr>
      <w:r w:rsidRPr="00EE3504">
        <w:rPr>
          <w:sz w:val="20"/>
          <w:szCs w:val="20"/>
        </w:rPr>
        <w:t xml:space="preserve">ECM     </w:t>
      </w:r>
      <w:r>
        <w:rPr>
          <w:sz w:val="20"/>
          <w:szCs w:val="20"/>
        </w:rPr>
        <w:tab/>
      </w:r>
      <w:r w:rsidRPr="00EE3504">
        <w:rPr>
          <w:sz w:val="20"/>
          <w:szCs w:val="20"/>
        </w:rPr>
        <w:t xml:space="preserve">extracellular matrix </w:t>
      </w:r>
    </w:p>
    <w:p w14:paraId="409458E9" w14:textId="7DC38C70" w:rsidR="00EE3504" w:rsidRPr="00EE3504" w:rsidRDefault="00EE3504" w:rsidP="00EE3504">
      <w:pPr>
        <w:tabs>
          <w:tab w:val="left" w:pos="993"/>
        </w:tabs>
        <w:spacing w:after="120" w:line="240" w:lineRule="auto"/>
        <w:rPr>
          <w:sz w:val="20"/>
          <w:szCs w:val="20"/>
        </w:rPr>
      </w:pPr>
      <w:r w:rsidRPr="00EE3504">
        <w:rPr>
          <w:sz w:val="20"/>
          <w:szCs w:val="20"/>
        </w:rPr>
        <w:t xml:space="preserve">HIF     </w:t>
      </w:r>
      <w:r>
        <w:rPr>
          <w:sz w:val="20"/>
          <w:szCs w:val="20"/>
        </w:rPr>
        <w:tab/>
      </w:r>
      <w:r w:rsidRPr="00EE3504">
        <w:rPr>
          <w:sz w:val="20"/>
          <w:szCs w:val="20"/>
        </w:rPr>
        <w:t xml:space="preserve">hypoxia-inducible factor </w:t>
      </w:r>
    </w:p>
    <w:p w14:paraId="1623B152" w14:textId="51EFA3D7" w:rsidR="00EE3504" w:rsidRPr="00EE3504" w:rsidRDefault="00EE3504" w:rsidP="00EE3504">
      <w:pPr>
        <w:tabs>
          <w:tab w:val="left" w:pos="993"/>
        </w:tabs>
        <w:spacing w:after="120" w:line="240" w:lineRule="auto"/>
        <w:rPr>
          <w:sz w:val="20"/>
          <w:szCs w:val="20"/>
        </w:rPr>
      </w:pPr>
      <w:r w:rsidRPr="00EE3504">
        <w:rPr>
          <w:sz w:val="20"/>
          <w:szCs w:val="20"/>
        </w:rPr>
        <w:t xml:space="preserve">LASSO   </w:t>
      </w:r>
      <w:r>
        <w:rPr>
          <w:sz w:val="20"/>
          <w:szCs w:val="20"/>
        </w:rPr>
        <w:tab/>
      </w:r>
      <w:r w:rsidRPr="00EE3504">
        <w:rPr>
          <w:sz w:val="20"/>
          <w:szCs w:val="20"/>
        </w:rPr>
        <w:t>least absolute shrinkage and selection operator</w:t>
      </w:r>
    </w:p>
    <w:p w14:paraId="725665FC" w14:textId="716D5262" w:rsidR="00EE3504" w:rsidRPr="00EE3504" w:rsidRDefault="00EE3504" w:rsidP="00EE3504">
      <w:pPr>
        <w:tabs>
          <w:tab w:val="left" w:pos="993"/>
        </w:tabs>
        <w:spacing w:after="120" w:line="240" w:lineRule="auto"/>
        <w:rPr>
          <w:sz w:val="20"/>
          <w:szCs w:val="20"/>
        </w:rPr>
      </w:pPr>
      <w:r w:rsidRPr="00EE3504">
        <w:rPr>
          <w:sz w:val="20"/>
          <w:szCs w:val="20"/>
        </w:rPr>
        <w:t xml:space="preserve">PC1     </w:t>
      </w:r>
      <w:r>
        <w:rPr>
          <w:sz w:val="20"/>
          <w:szCs w:val="20"/>
        </w:rPr>
        <w:tab/>
      </w:r>
      <w:r w:rsidRPr="00EE3504">
        <w:rPr>
          <w:sz w:val="20"/>
          <w:szCs w:val="20"/>
        </w:rPr>
        <w:t xml:space="preserve">first principal component </w:t>
      </w:r>
    </w:p>
    <w:p w14:paraId="77937485" w14:textId="09FE6D4B" w:rsidR="00EE3504" w:rsidRPr="00EE3504" w:rsidRDefault="00EE3504" w:rsidP="00EE3504">
      <w:pPr>
        <w:tabs>
          <w:tab w:val="left" w:pos="993"/>
        </w:tabs>
        <w:spacing w:after="120" w:line="240" w:lineRule="auto"/>
        <w:rPr>
          <w:sz w:val="20"/>
          <w:szCs w:val="20"/>
        </w:rPr>
      </w:pPr>
      <w:r w:rsidRPr="00EE3504">
        <w:rPr>
          <w:sz w:val="20"/>
          <w:szCs w:val="20"/>
        </w:rPr>
        <w:t xml:space="preserve">PCA     </w:t>
      </w:r>
      <w:r>
        <w:rPr>
          <w:sz w:val="20"/>
          <w:szCs w:val="20"/>
        </w:rPr>
        <w:tab/>
      </w:r>
      <w:r w:rsidRPr="00EE3504">
        <w:rPr>
          <w:sz w:val="20"/>
          <w:szCs w:val="20"/>
        </w:rPr>
        <w:t xml:space="preserve">principal component analysis </w:t>
      </w:r>
    </w:p>
    <w:p w14:paraId="6EEA1BCF" w14:textId="5E6D6985" w:rsidR="00EE3504" w:rsidRPr="00EE3504" w:rsidRDefault="00EE3504" w:rsidP="00EE3504">
      <w:pPr>
        <w:tabs>
          <w:tab w:val="left" w:pos="993"/>
        </w:tabs>
        <w:spacing w:after="120" w:line="240" w:lineRule="auto"/>
        <w:rPr>
          <w:sz w:val="20"/>
          <w:szCs w:val="20"/>
        </w:rPr>
      </w:pPr>
      <w:r w:rsidRPr="00EE3504">
        <w:rPr>
          <w:sz w:val="20"/>
          <w:szCs w:val="20"/>
        </w:rPr>
        <w:t xml:space="preserve">RCC     </w:t>
      </w:r>
      <w:r>
        <w:rPr>
          <w:sz w:val="20"/>
          <w:szCs w:val="20"/>
        </w:rPr>
        <w:tab/>
      </w:r>
      <w:r w:rsidRPr="00EE3504">
        <w:rPr>
          <w:sz w:val="20"/>
          <w:szCs w:val="20"/>
        </w:rPr>
        <w:t>renal cell carcinoma</w:t>
      </w:r>
    </w:p>
    <w:p w14:paraId="2639BA07" w14:textId="49EB2EC0" w:rsidR="00EE3504" w:rsidRPr="00EE3504" w:rsidRDefault="00EE3504" w:rsidP="00EE3504">
      <w:pPr>
        <w:tabs>
          <w:tab w:val="left" w:pos="993"/>
        </w:tabs>
        <w:spacing w:after="120" w:line="240" w:lineRule="auto"/>
        <w:rPr>
          <w:sz w:val="20"/>
          <w:szCs w:val="20"/>
        </w:rPr>
      </w:pPr>
      <w:r w:rsidRPr="00EE3504">
        <w:rPr>
          <w:sz w:val="20"/>
          <w:szCs w:val="20"/>
        </w:rPr>
        <w:t xml:space="preserve">RPPA   </w:t>
      </w:r>
      <w:r>
        <w:rPr>
          <w:sz w:val="20"/>
          <w:szCs w:val="20"/>
        </w:rPr>
        <w:tab/>
      </w:r>
      <w:r w:rsidRPr="00EE3504">
        <w:rPr>
          <w:sz w:val="20"/>
          <w:szCs w:val="20"/>
        </w:rPr>
        <w:t xml:space="preserve">reverse-phase protein array </w:t>
      </w:r>
    </w:p>
    <w:p w14:paraId="0FA272B1" w14:textId="2675F121" w:rsidR="00EE3504" w:rsidRPr="00EE3504" w:rsidRDefault="00EE3504" w:rsidP="00EE3504">
      <w:pPr>
        <w:tabs>
          <w:tab w:val="left" w:pos="993"/>
        </w:tabs>
        <w:spacing w:after="120" w:line="240" w:lineRule="auto"/>
        <w:rPr>
          <w:sz w:val="20"/>
          <w:szCs w:val="20"/>
        </w:rPr>
      </w:pPr>
      <w:r w:rsidRPr="00EE3504">
        <w:rPr>
          <w:sz w:val="20"/>
          <w:szCs w:val="20"/>
        </w:rPr>
        <w:t xml:space="preserve">TBL     </w:t>
      </w:r>
      <w:r>
        <w:rPr>
          <w:sz w:val="20"/>
          <w:szCs w:val="20"/>
        </w:rPr>
        <w:tab/>
      </w:r>
      <w:r w:rsidRPr="00EE3504">
        <w:rPr>
          <w:sz w:val="20"/>
          <w:szCs w:val="20"/>
        </w:rPr>
        <w:t xml:space="preserve">tumour break load </w:t>
      </w:r>
    </w:p>
    <w:p w14:paraId="6616A31A" w14:textId="15B0425A" w:rsidR="00EE3504" w:rsidRPr="00EE3504" w:rsidRDefault="00EE3504" w:rsidP="00EE3504">
      <w:pPr>
        <w:tabs>
          <w:tab w:val="left" w:pos="993"/>
        </w:tabs>
        <w:spacing w:after="120" w:line="240" w:lineRule="auto"/>
        <w:rPr>
          <w:sz w:val="20"/>
          <w:szCs w:val="20"/>
        </w:rPr>
      </w:pPr>
      <w:r w:rsidRPr="00EE3504">
        <w:rPr>
          <w:sz w:val="20"/>
          <w:szCs w:val="20"/>
        </w:rPr>
        <w:t xml:space="preserve">TCGA    </w:t>
      </w:r>
      <w:r>
        <w:rPr>
          <w:sz w:val="20"/>
          <w:szCs w:val="20"/>
        </w:rPr>
        <w:tab/>
      </w:r>
      <w:r w:rsidRPr="00EE3504">
        <w:rPr>
          <w:sz w:val="20"/>
          <w:szCs w:val="20"/>
        </w:rPr>
        <w:t xml:space="preserve">The Cancer Genome Atlas </w:t>
      </w:r>
    </w:p>
    <w:p w14:paraId="7D15DF6F" w14:textId="25EE357D" w:rsidR="00E032A2" w:rsidRPr="00BD6E8D" w:rsidRDefault="00EE3504" w:rsidP="00EE3504">
      <w:pPr>
        <w:tabs>
          <w:tab w:val="left" w:pos="993"/>
        </w:tabs>
        <w:spacing w:after="120" w:line="240" w:lineRule="auto"/>
        <w:rPr>
          <w:sz w:val="20"/>
          <w:szCs w:val="20"/>
        </w:rPr>
      </w:pPr>
      <w:r w:rsidRPr="00EE3504">
        <w:rPr>
          <w:sz w:val="20"/>
          <w:szCs w:val="20"/>
        </w:rPr>
        <w:t xml:space="preserve">VHL     </w:t>
      </w:r>
      <w:r>
        <w:rPr>
          <w:sz w:val="20"/>
          <w:szCs w:val="20"/>
        </w:rPr>
        <w:tab/>
      </w:r>
      <w:r w:rsidRPr="00EE3504">
        <w:rPr>
          <w:sz w:val="20"/>
          <w:szCs w:val="20"/>
        </w:rPr>
        <w:t>von Hippel–Lindau</w:t>
      </w:r>
    </w:p>
    <w:sectPr w:rsidR="00E032A2" w:rsidRPr="00BD6E8D" w:rsidSect="00A94471">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877D6" w14:textId="77777777" w:rsidR="000B520B" w:rsidRDefault="000B520B" w:rsidP="00B82FDC">
      <w:r>
        <w:separator/>
      </w:r>
    </w:p>
  </w:endnote>
  <w:endnote w:type="continuationSeparator" w:id="0">
    <w:p w14:paraId="3254711A" w14:textId="77777777" w:rsidR="000B520B" w:rsidRDefault="000B520B" w:rsidP="00B82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EB23" w14:textId="7F17FA6F" w:rsidR="00B82FDC" w:rsidRPr="00706259" w:rsidRDefault="00B82FDC" w:rsidP="00B82FDC">
    <w:pPr>
      <w:pStyle w:val="Footer"/>
      <w:rPr>
        <w:sz w:val="18"/>
        <w:szCs w:val="18"/>
      </w:rPr>
    </w:pPr>
    <w:r w:rsidRPr="00706259">
      <w:rPr>
        <w:sz w:val="18"/>
        <w:szCs w:val="18"/>
      </w:rPr>
      <w:t>TCGA-KIRC machine learning project. Amanda Dominy 25271694</w:t>
    </w:r>
    <w:r w:rsidRPr="00706259">
      <w:rPr>
        <w:sz w:val="18"/>
        <w:szCs w:val="18"/>
      </w:rPr>
      <w:ptab w:relativeTo="margin" w:alignment="right" w:leader="none"/>
    </w:r>
    <w:r w:rsidRPr="00706259">
      <w:rPr>
        <w:sz w:val="18"/>
        <w:szCs w:val="18"/>
      </w:rPr>
      <w:fldChar w:fldCharType="begin"/>
    </w:r>
    <w:r w:rsidRPr="00706259">
      <w:rPr>
        <w:sz w:val="18"/>
        <w:szCs w:val="18"/>
      </w:rPr>
      <w:instrText>PAGE   \* MERGEFORMAT</w:instrText>
    </w:r>
    <w:r w:rsidRPr="00706259">
      <w:rPr>
        <w:sz w:val="18"/>
        <w:szCs w:val="18"/>
      </w:rPr>
      <w:fldChar w:fldCharType="separate"/>
    </w:r>
    <w:r w:rsidRPr="00706259">
      <w:rPr>
        <w:sz w:val="18"/>
        <w:szCs w:val="18"/>
      </w:rPr>
      <w:t>1</w:t>
    </w:r>
    <w:r w:rsidRPr="00706259">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935F" w14:textId="77777777" w:rsidR="000B520B" w:rsidRDefault="000B520B" w:rsidP="00B82FDC">
      <w:r>
        <w:separator/>
      </w:r>
    </w:p>
  </w:footnote>
  <w:footnote w:type="continuationSeparator" w:id="0">
    <w:p w14:paraId="5BE38FF0" w14:textId="77777777" w:rsidR="000B520B" w:rsidRDefault="000B520B" w:rsidP="00B82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3067"/>
    <w:multiLevelType w:val="multilevel"/>
    <w:tmpl w:val="355E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81573"/>
    <w:multiLevelType w:val="hybridMultilevel"/>
    <w:tmpl w:val="122694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4396205">
    <w:abstractNumId w:val="0"/>
  </w:num>
  <w:num w:numId="2" w16cid:durableId="192834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DC"/>
    <w:rsid w:val="00012549"/>
    <w:rsid w:val="000972D6"/>
    <w:rsid w:val="000B520B"/>
    <w:rsid w:val="000B7451"/>
    <w:rsid w:val="000E5898"/>
    <w:rsid w:val="00150AFE"/>
    <w:rsid w:val="00164DE6"/>
    <w:rsid w:val="001E0610"/>
    <w:rsid w:val="0022059B"/>
    <w:rsid w:val="00222900"/>
    <w:rsid w:val="00244BD3"/>
    <w:rsid w:val="00245AA3"/>
    <w:rsid w:val="002C44B4"/>
    <w:rsid w:val="002F0C49"/>
    <w:rsid w:val="003A7A9B"/>
    <w:rsid w:val="003F394E"/>
    <w:rsid w:val="0041114D"/>
    <w:rsid w:val="00417F53"/>
    <w:rsid w:val="00443B53"/>
    <w:rsid w:val="00481902"/>
    <w:rsid w:val="00486244"/>
    <w:rsid w:val="004C1EC8"/>
    <w:rsid w:val="004D227B"/>
    <w:rsid w:val="00594BC2"/>
    <w:rsid w:val="005A1A13"/>
    <w:rsid w:val="005D312B"/>
    <w:rsid w:val="00651523"/>
    <w:rsid w:val="0066351B"/>
    <w:rsid w:val="0068182D"/>
    <w:rsid w:val="006D7B80"/>
    <w:rsid w:val="007051FF"/>
    <w:rsid w:val="00706259"/>
    <w:rsid w:val="007938F7"/>
    <w:rsid w:val="008176B8"/>
    <w:rsid w:val="00821B82"/>
    <w:rsid w:val="00861B1F"/>
    <w:rsid w:val="00872381"/>
    <w:rsid w:val="008A35C5"/>
    <w:rsid w:val="009353B1"/>
    <w:rsid w:val="00946805"/>
    <w:rsid w:val="00977CDB"/>
    <w:rsid w:val="009A1755"/>
    <w:rsid w:val="00A14AAB"/>
    <w:rsid w:val="00A46B34"/>
    <w:rsid w:val="00A74AF8"/>
    <w:rsid w:val="00A81C62"/>
    <w:rsid w:val="00A86600"/>
    <w:rsid w:val="00A926F0"/>
    <w:rsid w:val="00A94471"/>
    <w:rsid w:val="00B34ADB"/>
    <w:rsid w:val="00B82FDC"/>
    <w:rsid w:val="00BD6E8D"/>
    <w:rsid w:val="00C11FF7"/>
    <w:rsid w:val="00C416FC"/>
    <w:rsid w:val="00C5345B"/>
    <w:rsid w:val="00C71C3E"/>
    <w:rsid w:val="00C734A8"/>
    <w:rsid w:val="00D03B3E"/>
    <w:rsid w:val="00D27C42"/>
    <w:rsid w:val="00D607C0"/>
    <w:rsid w:val="00D8745A"/>
    <w:rsid w:val="00D91860"/>
    <w:rsid w:val="00DA6ECC"/>
    <w:rsid w:val="00DC67B9"/>
    <w:rsid w:val="00E032A2"/>
    <w:rsid w:val="00E23FB9"/>
    <w:rsid w:val="00E4404C"/>
    <w:rsid w:val="00E45C76"/>
    <w:rsid w:val="00EE3504"/>
    <w:rsid w:val="00F111B4"/>
    <w:rsid w:val="00F35C6E"/>
    <w:rsid w:val="00FC300A"/>
    <w:rsid w:val="00FF649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2EFFA"/>
  <w15:chartTrackingRefBased/>
  <w15:docId w15:val="{A6F527B9-EFB5-4BE9-976E-273EC768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DC"/>
    <w:pPr>
      <w:spacing w:after="240" w:line="360" w:lineRule="auto"/>
    </w:pPr>
    <w:rPr>
      <w:rFonts w:ascii="Open Sans" w:hAnsi="Open Sans" w:cs="Open Sans"/>
    </w:rPr>
  </w:style>
  <w:style w:type="paragraph" w:styleId="Heading1">
    <w:name w:val="heading 1"/>
    <w:basedOn w:val="Normal"/>
    <w:next w:val="Normal"/>
    <w:link w:val="Heading1Char"/>
    <w:uiPriority w:val="9"/>
    <w:qFormat/>
    <w:rsid w:val="00150AFE"/>
    <w:pPr>
      <w:keepNext/>
      <w:keepLines/>
      <w:spacing w:before="360" w:after="80"/>
      <w:jc w:val="center"/>
      <w:outlineLvl w:val="0"/>
    </w:pPr>
    <w:rPr>
      <w:rFonts w:eastAsiaTheme="majorEastAsia"/>
      <w:sz w:val="40"/>
      <w:szCs w:val="40"/>
    </w:rPr>
  </w:style>
  <w:style w:type="paragraph" w:styleId="Heading2">
    <w:name w:val="heading 2"/>
    <w:basedOn w:val="Normal"/>
    <w:next w:val="Normal"/>
    <w:link w:val="Heading2Char"/>
    <w:uiPriority w:val="9"/>
    <w:unhideWhenUsed/>
    <w:qFormat/>
    <w:rsid w:val="000972D6"/>
    <w:pPr>
      <w:keepNext/>
      <w:keepLines/>
      <w:spacing w:after="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D27C42"/>
    <w:pPr>
      <w:keepNext/>
      <w:keepLines/>
      <w:spacing w:before="360" w:after="80"/>
      <w:outlineLvl w:val="2"/>
    </w:pPr>
    <w:rPr>
      <w:rFonts w:eastAsiaTheme="majorEastAsia" w:cstheme="majorBidi"/>
      <w:b/>
      <w:bCs/>
      <w:sz w:val="24"/>
      <w:szCs w:val="24"/>
    </w:rPr>
  </w:style>
  <w:style w:type="paragraph" w:styleId="Heading4">
    <w:name w:val="heading 4"/>
    <w:basedOn w:val="Normal"/>
    <w:next w:val="Normal"/>
    <w:link w:val="Heading4Char"/>
    <w:uiPriority w:val="9"/>
    <w:semiHidden/>
    <w:unhideWhenUsed/>
    <w:qFormat/>
    <w:rsid w:val="00B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FE"/>
    <w:rPr>
      <w:rFonts w:ascii="Open Sans" w:eastAsiaTheme="majorEastAsia" w:hAnsi="Open Sans" w:cs="Open Sans"/>
      <w:sz w:val="40"/>
      <w:szCs w:val="40"/>
    </w:rPr>
  </w:style>
  <w:style w:type="character" w:customStyle="1" w:styleId="Heading2Char">
    <w:name w:val="Heading 2 Char"/>
    <w:basedOn w:val="DefaultParagraphFont"/>
    <w:link w:val="Heading2"/>
    <w:uiPriority w:val="9"/>
    <w:rsid w:val="000972D6"/>
    <w:rPr>
      <w:rFonts w:ascii="Open Sans" w:eastAsiaTheme="majorEastAsia" w:hAnsi="Open Sans" w:cs="Open Sans"/>
      <w:b/>
      <w:bCs/>
      <w:sz w:val="32"/>
      <w:szCs w:val="32"/>
    </w:rPr>
  </w:style>
  <w:style w:type="character" w:customStyle="1" w:styleId="Heading3Char">
    <w:name w:val="Heading 3 Char"/>
    <w:basedOn w:val="DefaultParagraphFont"/>
    <w:link w:val="Heading3"/>
    <w:uiPriority w:val="9"/>
    <w:rsid w:val="00D27C42"/>
    <w:rPr>
      <w:rFonts w:ascii="Open Sans" w:eastAsiaTheme="majorEastAsia" w:hAnsi="Open Sans" w:cstheme="majorBidi"/>
      <w:b/>
      <w:bCs/>
      <w:sz w:val="24"/>
      <w:szCs w:val="24"/>
    </w:rPr>
  </w:style>
  <w:style w:type="character" w:customStyle="1" w:styleId="Heading4Char">
    <w:name w:val="Heading 4 Char"/>
    <w:basedOn w:val="DefaultParagraphFont"/>
    <w:link w:val="Heading4"/>
    <w:uiPriority w:val="9"/>
    <w:semiHidden/>
    <w:rsid w:val="00B8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FDC"/>
    <w:rPr>
      <w:rFonts w:eastAsiaTheme="majorEastAsia" w:cstheme="majorBidi"/>
      <w:color w:val="272727" w:themeColor="text1" w:themeTint="D8"/>
    </w:rPr>
  </w:style>
  <w:style w:type="paragraph" w:styleId="Title">
    <w:name w:val="Title"/>
    <w:basedOn w:val="Normal"/>
    <w:next w:val="Normal"/>
    <w:link w:val="TitleChar"/>
    <w:uiPriority w:val="10"/>
    <w:qFormat/>
    <w:rsid w:val="00B8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FDC"/>
    <w:pPr>
      <w:spacing w:before="160"/>
      <w:jc w:val="center"/>
    </w:pPr>
    <w:rPr>
      <w:i/>
      <w:iCs/>
      <w:color w:val="404040" w:themeColor="text1" w:themeTint="BF"/>
    </w:rPr>
  </w:style>
  <w:style w:type="character" w:customStyle="1" w:styleId="QuoteChar">
    <w:name w:val="Quote Char"/>
    <w:basedOn w:val="DefaultParagraphFont"/>
    <w:link w:val="Quote"/>
    <w:uiPriority w:val="29"/>
    <w:rsid w:val="00B82FDC"/>
    <w:rPr>
      <w:i/>
      <w:iCs/>
      <w:color w:val="404040" w:themeColor="text1" w:themeTint="BF"/>
    </w:rPr>
  </w:style>
  <w:style w:type="paragraph" w:styleId="ListParagraph">
    <w:name w:val="List Paragraph"/>
    <w:basedOn w:val="Normal"/>
    <w:uiPriority w:val="34"/>
    <w:qFormat/>
    <w:rsid w:val="00B82FDC"/>
    <w:pPr>
      <w:ind w:left="720"/>
      <w:contextualSpacing/>
    </w:pPr>
  </w:style>
  <w:style w:type="character" w:styleId="IntenseEmphasis">
    <w:name w:val="Intense Emphasis"/>
    <w:basedOn w:val="DefaultParagraphFont"/>
    <w:uiPriority w:val="21"/>
    <w:qFormat/>
    <w:rsid w:val="00B82FDC"/>
    <w:rPr>
      <w:i/>
      <w:iCs/>
      <w:color w:val="0F4761" w:themeColor="accent1" w:themeShade="BF"/>
    </w:rPr>
  </w:style>
  <w:style w:type="paragraph" w:styleId="IntenseQuote">
    <w:name w:val="Intense Quote"/>
    <w:basedOn w:val="Normal"/>
    <w:next w:val="Normal"/>
    <w:link w:val="IntenseQuoteChar"/>
    <w:uiPriority w:val="30"/>
    <w:qFormat/>
    <w:rsid w:val="00B8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FDC"/>
    <w:rPr>
      <w:i/>
      <w:iCs/>
      <w:color w:val="0F4761" w:themeColor="accent1" w:themeShade="BF"/>
    </w:rPr>
  </w:style>
  <w:style w:type="character" w:styleId="IntenseReference">
    <w:name w:val="Intense Reference"/>
    <w:basedOn w:val="DefaultParagraphFont"/>
    <w:uiPriority w:val="32"/>
    <w:qFormat/>
    <w:rsid w:val="00B82FDC"/>
    <w:rPr>
      <w:b/>
      <w:bCs/>
      <w:smallCaps/>
      <w:color w:val="0F4761" w:themeColor="accent1" w:themeShade="BF"/>
      <w:spacing w:val="5"/>
    </w:rPr>
  </w:style>
  <w:style w:type="paragraph" w:styleId="Header">
    <w:name w:val="header"/>
    <w:basedOn w:val="Normal"/>
    <w:link w:val="HeaderChar"/>
    <w:uiPriority w:val="99"/>
    <w:unhideWhenUsed/>
    <w:rsid w:val="00B82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FDC"/>
  </w:style>
  <w:style w:type="paragraph" w:styleId="Footer">
    <w:name w:val="footer"/>
    <w:basedOn w:val="Normal"/>
    <w:link w:val="FooterChar"/>
    <w:uiPriority w:val="99"/>
    <w:unhideWhenUsed/>
    <w:rsid w:val="00B82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2FDC"/>
  </w:style>
  <w:style w:type="paragraph" w:styleId="Caption">
    <w:name w:val="caption"/>
    <w:basedOn w:val="Normal"/>
    <w:next w:val="Normal"/>
    <w:uiPriority w:val="35"/>
    <w:unhideWhenUsed/>
    <w:qFormat/>
    <w:rsid w:val="00861B1F"/>
    <w:pPr>
      <w:keepLines/>
      <w:spacing w:before="120" w:after="480" w:line="240" w:lineRule="auto"/>
      <w:jc w:val="center"/>
    </w:pPr>
    <w:rPr>
      <w:i/>
      <w:iCs/>
      <w:sz w:val="20"/>
      <w:szCs w:val="20"/>
    </w:rPr>
  </w:style>
  <w:style w:type="paragraph" w:styleId="Bibliography">
    <w:name w:val="Bibliography"/>
    <w:basedOn w:val="Normal"/>
    <w:next w:val="Normal"/>
    <w:link w:val="BibliographyChar"/>
    <w:uiPriority w:val="37"/>
    <w:unhideWhenUsed/>
    <w:rsid w:val="00D27C42"/>
    <w:pPr>
      <w:tabs>
        <w:tab w:val="left" w:pos="504"/>
      </w:tabs>
      <w:spacing w:line="240" w:lineRule="auto"/>
      <w:ind w:left="504" w:hanging="504"/>
    </w:pPr>
  </w:style>
  <w:style w:type="character" w:styleId="Hyperlink">
    <w:name w:val="Hyperlink"/>
    <w:basedOn w:val="DefaultParagraphFont"/>
    <w:uiPriority w:val="99"/>
    <w:unhideWhenUsed/>
    <w:rsid w:val="00D27C42"/>
    <w:rPr>
      <w:color w:val="467886" w:themeColor="hyperlink"/>
      <w:u w:val="single"/>
    </w:rPr>
  </w:style>
  <w:style w:type="character" w:styleId="UnresolvedMention">
    <w:name w:val="Unresolved Mention"/>
    <w:basedOn w:val="DefaultParagraphFont"/>
    <w:uiPriority w:val="99"/>
    <w:semiHidden/>
    <w:unhideWhenUsed/>
    <w:rsid w:val="00D27C42"/>
    <w:rPr>
      <w:color w:val="605E5C"/>
      <w:shd w:val="clear" w:color="auto" w:fill="E1DFDD"/>
    </w:rPr>
  </w:style>
  <w:style w:type="character" w:styleId="Strong">
    <w:name w:val="Strong"/>
    <w:basedOn w:val="DefaultParagraphFont"/>
    <w:uiPriority w:val="22"/>
    <w:qFormat/>
    <w:rsid w:val="00C11FF7"/>
    <w:rPr>
      <w:b/>
      <w:bCs/>
    </w:rPr>
  </w:style>
  <w:style w:type="paragraph" w:customStyle="1" w:styleId="Code">
    <w:name w:val="Code"/>
    <w:basedOn w:val="Normal"/>
    <w:link w:val="CodeChar"/>
    <w:qFormat/>
    <w:rsid w:val="00C11FF7"/>
    <w:rPr>
      <w:rFonts w:ascii="Courier New" w:hAnsi="Courier New"/>
      <w:b/>
    </w:rPr>
  </w:style>
  <w:style w:type="character" w:customStyle="1" w:styleId="CodeChar">
    <w:name w:val="Code Char"/>
    <w:basedOn w:val="DefaultParagraphFont"/>
    <w:link w:val="Code"/>
    <w:rsid w:val="00C11FF7"/>
    <w:rPr>
      <w:rFonts w:ascii="Courier New" w:hAnsi="Courier New" w:cs="Open Sans"/>
      <w:b/>
    </w:rPr>
  </w:style>
  <w:style w:type="table" w:styleId="TableGrid">
    <w:name w:val="Table Grid"/>
    <w:basedOn w:val="TableNormal"/>
    <w:uiPriority w:val="39"/>
    <w:rsid w:val="00706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35C5"/>
    <w:rPr>
      <w:rFonts w:ascii="Times New Roman" w:hAnsi="Times New Roman" w:cs="Times New Roman"/>
      <w:sz w:val="24"/>
      <w:szCs w:val="24"/>
    </w:rPr>
  </w:style>
  <w:style w:type="paragraph" w:customStyle="1" w:styleId="References">
    <w:name w:val="References"/>
    <w:basedOn w:val="Bibliography"/>
    <w:link w:val="ReferencesChar"/>
    <w:qFormat/>
    <w:rsid w:val="000E5898"/>
    <w:rPr>
      <w:szCs w:val="20"/>
    </w:rPr>
  </w:style>
  <w:style w:type="character" w:customStyle="1" w:styleId="BibliographyChar">
    <w:name w:val="Bibliography Char"/>
    <w:basedOn w:val="DefaultParagraphFont"/>
    <w:link w:val="Bibliography"/>
    <w:uiPriority w:val="37"/>
    <w:rsid w:val="000E5898"/>
    <w:rPr>
      <w:rFonts w:ascii="Open Sans" w:hAnsi="Open Sans" w:cs="Open Sans"/>
    </w:rPr>
  </w:style>
  <w:style w:type="character" w:customStyle="1" w:styleId="ReferencesChar">
    <w:name w:val="References Char"/>
    <w:basedOn w:val="BibliographyChar"/>
    <w:link w:val="References"/>
    <w:rsid w:val="000E5898"/>
    <w:rPr>
      <w:rFonts w:ascii="Open Sans" w:hAnsi="Open Sans" w:cs="Open San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38/ng0594-85" TargetMode="External"/><Relationship Id="rId26" Type="http://schemas.openxmlformats.org/officeDocument/2006/relationships/hyperlink" Target="https://doi.org/10.1038/s41573-019-0054-z" TargetMode="External"/><Relationship Id="rId39" Type="http://schemas.openxmlformats.org/officeDocument/2006/relationships/hyperlink" Target="https://doi.org/10.18637/jss.v033.i01" TargetMode="External"/><Relationship Id="rId21" Type="http://schemas.openxmlformats.org/officeDocument/2006/relationships/hyperlink" Target="https://doi.org/10.3390/cancers18091371" TargetMode="External"/><Relationship Id="rId34" Type="http://schemas.openxmlformats.org/officeDocument/2006/relationships/hyperlink" Target="https://doi.org/10.3892/or.2016.5232" TargetMode="External"/><Relationship Id="rId42" Type="http://schemas.openxmlformats.org/officeDocument/2006/relationships/hyperlink" Target="https://doi.org/10.32614/CRAN.package.msigdbr"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gillespieza/tcga-kirc-survival-omics/" TargetMode="External"/><Relationship Id="rId20" Type="http://schemas.openxmlformats.org/officeDocument/2006/relationships/hyperlink" Target="https://doi.org/10.1016/j.ccell.2015.12.004" TargetMode="External"/><Relationship Id="rId29" Type="http://schemas.openxmlformats.org/officeDocument/2006/relationships/hyperlink" Target="https://doi.org/10.1155/2024/3468209" TargetMode="External"/><Relationship Id="rId41" Type="http://schemas.openxmlformats.org/officeDocument/2006/relationships/hyperlink" Target="https://doi.org/10.32614/CRAN.package.bro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58/0008-5472.CAN-23-0816" TargetMode="External"/><Relationship Id="rId32" Type="http://schemas.openxmlformats.org/officeDocument/2006/relationships/hyperlink" Target="https://doi.org/10.3389/fmolb.2021.623120" TargetMode="External"/><Relationship Id="rId37" Type="http://schemas.openxmlformats.org/officeDocument/2006/relationships/hyperlink" Target="https://CRAN.R-project.org/package=survival" TargetMode="External"/><Relationship Id="rId40" Type="http://schemas.openxmlformats.org/officeDocument/2006/relationships/hyperlink" Target="https://doi.org/10.18637/jss.v106.i01"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26/scisignal.2004088" TargetMode="External"/><Relationship Id="rId28" Type="http://schemas.openxmlformats.org/officeDocument/2006/relationships/hyperlink" Target="https://doi.org/10.1016/j.tranon.2020.100844" TargetMode="External"/><Relationship Id="rId36" Type="http://schemas.openxmlformats.org/officeDocument/2006/relationships/hyperlink" Target="https://doi.org/10.21105/joss.01686" TargetMode="External"/><Relationship Id="rId10" Type="http://schemas.openxmlformats.org/officeDocument/2006/relationships/image" Target="media/image3.png"/><Relationship Id="rId19" Type="http://schemas.openxmlformats.org/officeDocument/2006/relationships/hyperlink" Target="https://doi.org/10.1038/nature12222" TargetMode="External"/><Relationship Id="rId31" Type="http://schemas.openxmlformats.org/officeDocument/2006/relationships/hyperlink" Target="https://doi.org/10.1186/s12911-024-02642-9"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8/2159-8290.CD-12-0095" TargetMode="External"/><Relationship Id="rId27" Type="http://schemas.openxmlformats.org/officeDocument/2006/relationships/hyperlink" Target="https://doi.org/10.1208/s12248-016-9894-1" TargetMode="External"/><Relationship Id="rId30" Type="http://schemas.openxmlformats.org/officeDocument/2006/relationships/hyperlink" Target="https://doi.org/10.1093/bib/bbaa167" TargetMode="External"/><Relationship Id="rId35" Type="http://schemas.openxmlformats.org/officeDocument/2006/relationships/hyperlink" Target="https://www.r-project.org/"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6004/jnccn.2022.0001" TargetMode="External"/><Relationship Id="rId25" Type="http://schemas.openxmlformats.org/officeDocument/2006/relationships/hyperlink" Target="https://doi.org/10.1186/1471-2288-13-33" TargetMode="External"/><Relationship Id="rId33" Type="http://schemas.openxmlformats.org/officeDocument/2006/relationships/hyperlink" Target="https://doi.org/10.3390/cells10071574" TargetMode="External"/><Relationship Id="rId38" Type="http://schemas.openxmlformats.org/officeDocument/2006/relationships/hyperlink" Target="https://doi.org/10.32614/CRAN.package.survmi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19</Pages>
  <Words>4906</Words>
  <Characters>27969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Dominy</dc:creator>
  <cp:keywords/>
  <dc:description/>
  <cp:lastModifiedBy>Amanda Dominy</cp:lastModifiedBy>
  <cp:revision>36</cp:revision>
  <dcterms:created xsi:type="dcterms:W3CDTF">2026-06-08T14:15:00Z</dcterms:created>
  <dcterms:modified xsi:type="dcterms:W3CDTF">2026-06-09T18:50:00Z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id="TzenvE1N"/&gt;&lt;style id="http://www.zotero.org/styles/vancouver-superscript"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