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123DB" w14:textId="2669476D" w:rsidR="00B82FDC" w:rsidRPr="00150AFE" w:rsidRDefault="00B82FDC" w:rsidP="00150AFE">
      <w:pPr>
        <w:pStyle w:val="Heading1"/>
      </w:pPr>
      <w:r w:rsidRPr="00150AFE">
        <w:t>MEIN40330: Machine Learning Mini Project</w:t>
      </w:r>
    </w:p>
    <w:p w14:paraId="08D7EEC0" w14:textId="77777777" w:rsidR="00B82FDC" w:rsidRPr="00150AFE" w:rsidRDefault="00B82FDC" w:rsidP="00417F53">
      <w:pPr>
        <w:pStyle w:val="Heading1"/>
      </w:pPr>
      <w:r w:rsidRPr="00150AFE">
        <w:t>Multi-Omics Survival Analysis of Kidney Renal Clear Cell Carcinoma (TCGA-KIRC)</w:t>
      </w:r>
      <w:r w:rsidRPr="00150AFE">
        <w:br/>
      </w:r>
    </w:p>
    <w:p w14:paraId="010DBD93" w14:textId="5653AC4E" w:rsidR="00B82FDC" w:rsidRPr="00150AFE" w:rsidRDefault="00B82FDC" w:rsidP="000972D6">
      <w:pPr>
        <w:pStyle w:val="Heading2"/>
        <w:jc w:val="center"/>
      </w:pPr>
      <w:r w:rsidRPr="00150AFE">
        <w:t>Amanda Dominy</w:t>
      </w:r>
      <w:r w:rsidRPr="00150AFE">
        <w:br/>
        <w:t>25271694</w:t>
      </w:r>
      <w:r w:rsidRPr="00150AFE">
        <w:br/>
        <w:t>8 June 2026</w:t>
      </w:r>
    </w:p>
    <w:p w14:paraId="32C89D6F" w14:textId="77777777" w:rsidR="00B82FDC" w:rsidRPr="00150AFE" w:rsidRDefault="00B82FDC" w:rsidP="00B82FDC">
      <w:pPr>
        <w:sectPr w:rsidR="00B82FDC" w:rsidRPr="00150AFE" w:rsidSect="00A94471">
          <w:footerReference w:type="default" r:id="rId7"/>
          <w:pgSz w:w="11906" w:h="16838"/>
          <w:pgMar w:top="1440" w:right="1134" w:bottom="1440" w:left="1134" w:header="709" w:footer="709" w:gutter="0"/>
          <w:cols w:space="708"/>
          <w:vAlign w:val="center"/>
          <w:docGrid w:linePitch="360"/>
        </w:sectPr>
      </w:pPr>
    </w:p>
    <w:p w14:paraId="179E18BA" w14:textId="4DB8DAEA" w:rsidR="00B82FDC" w:rsidRPr="00150AFE" w:rsidRDefault="00B82FDC" w:rsidP="000972D6">
      <w:pPr>
        <w:pStyle w:val="Heading2"/>
      </w:pPr>
      <w:r w:rsidRPr="00150AFE">
        <w:lastRenderedPageBreak/>
        <w:t xml:space="preserve">1. </w:t>
      </w:r>
      <w:r w:rsidRPr="000972D6">
        <w:t>Background</w:t>
      </w:r>
    </w:p>
    <w:p w14:paraId="27275D98" w14:textId="722CC55D" w:rsidR="00B82FDC" w:rsidRPr="00150AFE" w:rsidRDefault="00B82FDC" w:rsidP="00B82FDC">
      <w:r w:rsidRPr="00150AFE">
        <w:t>Kidney renal clear cell carcinoma (</w:t>
      </w:r>
      <w:proofErr w:type="spellStart"/>
      <w:r w:rsidRPr="00150AFE">
        <w:t>ccRCC</w:t>
      </w:r>
      <w:proofErr w:type="spellEnd"/>
      <w:r w:rsidRPr="00150AFE">
        <w:t>) is the most prevalent subtype of renal cell carcinoma (RCC), accounting for approximately 70% of RCC cases</w:t>
      </w:r>
      <w:r w:rsidRPr="00150AFE">
        <w:rPr>
          <w:vertAlign w:val="superscript"/>
        </w:rPr>
        <w:fldChar w:fldCharType="begin"/>
      </w:r>
      <w:r w:rsidR="00BD6E8D">
        <w:rPr>
          <w:vertAlign w:val="superscript"/>
        </w:rPr>
        <w:instrText xml:space="preserve"> ADDIN ZOTERO_ITEM CSL_CITATION {"citationID":"QgRhtEN3","properties":{"unsorted":false,"formattedCitation":"\\super 1\\nosupersub{}","plainCitation":"1","noteIndex":0},"citationItems":[{"id":3826,"uris":["http://zotero.org/users/17607594/items/GBB2ARXY"],"itemData":{"id":3826,"type":"article-journal","abstract":"The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Oncology","URL":"https://jnccn.org/view/journals/jnccn/20/1/article-p71.xml","volume":"20","author":[{"family":"Motzer","given":"Robert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A."},{"family":"Motter","given":"Angela"}],"accessed":{"date-parts":[["2026",6,8]]},"issued":{"date-parts":[["2022",1,1]]}}}],"schema":"https://github.com/citation-style-language/schema/raw/master/csl-citation.json"} </w:instrText>
      </w:r>
      <w:r w:rsidRPr="00150AFE">
        <w:rPr>
          <w:vertAlign w:val="superscript"/>
        </w:rPr>
        <w:fldChar w:fldCharType="separate"/>
      </w:r>
      <w:r w:rsidR="00BD6E8D" w:rsidRPr="00BD6E8D">
        <w:rPr>
          <w:vertAlign w:val="superscript"/>
        </w:rPr>
        <w:t>1</w:t>
      </w:r>
      <w:r w:rsidRPr="00150AFE">
        <w:rPr>
          <w:vertAlign w:val="superscript"/>
        </w:rPr>
        <w:fldChar w:fldCharType="end"/>
      </w:r>
      <w:r w:rsidRPr="00150AFE">
        <w:t>, and is characterised by a marked stage-dependent survival gradient, with five-year survival exceeding 90% in localised (stage I) disease but falling below 12% in metastatic (stage IV) disease</w:t>
      </w:r>
      <w:r w:rsidRPr="00150AFE">
        <w:rPr>
          <w:vertAlign w:val="superscript"/>
        </w:rPr>
        <w:fldChar w:fldCharType="begin"/>
      </w:r>
      <w:r w:rsidR="00BD6E8D">
        <w:rPr>
          <w:vertAlign w:val="superscript"/>
        </w:rPr>
        <w:instrText xml:space="preserve"> ADDIN ZOTERO_ITEM CSL_CITATION {"citationID":"fCaEbPhW","properties":{"unsorted":false,"formattedCitation":"\\super 1\\nosupersub{}","plainCitation":"1","noteIndex":0},"citationItems":[{"id":3826,"uris":["http://zotero.org/users/17607594/items/GBB2ARXY"],"itemData":{"id":3826,"type":"article-journal","abstract":"The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Oncology","URL":"https://jnccn.org/view/journals/jnccn/20/1/article-p71.xml","volume":"20","author":[{"family":"Motzer","given":"Robert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A."},{"family":"Motter","given":"Angela"}],"accessed":{"date-parts":[["2026",6,8]]},"issued":{"date-parts":[["2022",1,1]]}}}],"schema":"https://github.com/citation-style-language/schema/raw/master/csl-citation.json"} </w:instrText>
      </w:r>
      <w:r w:rsidRPr="00150AFE">
        <w:rPr>
          <w:vertAlign w:val="superscript"/>
        </w:rPr>
        <w:fldChar w:fldCharType="separate"/>
      </w:r>
      <w:r w:rsidR="00BD6E8D" w:rsidRPr="00BD6E8D">
        <w:rPr>
          <w:vertAlign w:val="superscript"/>
        </w:rPr>
        <w:t>1</w:t>
      </w:r>
      <w:r w:rsidRPr="00150AFE">
        <w:rPr>
          <w:vertAlign w:val="superscript"/>
        </w:rPr>
        <w:fldChar w:fldCharType="end"/>
      </w:r>
      <w:r w:rsidRPr="00150AFE">
        <w:t>.</w:t>
      </w:r>
    </w:p>
    <w:p w14:paraId="27BE9D05" w14:textId="0A0E7338" w:rsidR="00B82FDC" w:rsidRPr="00150AFE" w:rsidRDefault="00164DE6" w:rsidP="00B82FDC">
      <w:r w:rsidRPr="00164DE6">
        <w:t>Prognosis is primarily determined by tumour stage, grade, nodal involvement, and metastatic disease at presentation</w:t>
      </w:r>
      <w:r w:rsidR="00B82FDC" w:rsidRPr="00150AFE">
        <w:fldChar w:fldCharType="begin"/>
      </w:r>
      <w:r w:rsidR="00BD6E8D">
        <w:instrText xml:space="preserve"> ADDIN ZOTERO_ITEM CSL_CITATION {"citationID":"WIPDVCYx","properties":{"unsorted":false,"formattedCitation":"\\super 1\\nosupersub{}","plainCitation":"1","noteIndex":0},"citationItems":[{"id":3826,"uris":["http://zotero.org/users/17607594/items/GBB2ARXY"],"itemData":{"id":3826,"type":"article-journal","abstract":"The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Oncology","URL":"https://jnccn.org/view/journals/jnccn/20/1/article-p71.xml","volume":"20","author":[{"family":"Motzer","given":"Robert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A."},{"family":"Motter","given":"Angela"}],"accessed":{"date-parts":[["2026",6,8]]},"issued":{"date-parts":[["2022",1,1]]}}}],"schema":"https://github.com/citation-style-language/schema/raw/master/csl-citation.json"} </w:instrText>
      </w:r>
      <w:r w:rsidR="00B82FDC" w:rsidRPr="00150AFE">
        <w:fldChar w:fldCharType="separate"/>
      </w:r>
      <w:r w:rsidR="00BD6E8D" w:rsidRPr="00BD6E8D">
        <w:rPr>
          <w:vertAlign w:val="superscript"/>
        </w:rPr>
        <w:t>1</w:t>
      </w:r>
      <w:r w:rsidR="00B82FDC" w:rsidRPr="00150AFE">
        <w:fldChar w:fldCharType="end"/>
      </w:r>
      <w:r w:rsidR="00B82FDC" w:rsidRPr="00150AFE">
        <w:t xml:space="preserve">. </w:t>
      </w:r>
      <w:r w:rsidRPr="00164DE6">
        <w:t>Existing clinical risk models perform less well in intermediate-risk patients and were largely developed in historical metastatic cohorts</w:t>
      </w:r>
      <w:r w:rsidR="00B82FDC" w:rsidRPr="00150AFE">
        <w:fldChar w:fldCharType="begin"/>
      </w:r>
      <w:r w:rsidR="00BD6E8D">
        <w:instrText xml:space="preserve"> ADDIN ZOTERO_ITEM CSL_CITATION {"citationID":"THvV51qj","properties":{"unsorted":false,"formattedCitation":"\\super 2\\nosupersub{}","plainCitation":"2","noteIndex":0},"citationItems":[{"id":3822,"uris":["http://zotero.org/users/17607594/items/P8B7NIIV"],"itemData":{"id":3822,"type":"article-journal","abstract":"Clear cell renal cell carcinoma (ccRCC) is characterized by marked biological heterogeneity, which limits the prognostic accuracy of conventional clinicopathological models. Increasing attention has therefore focused on identification of biomarkers that can enhance risk stratification throughout all stages of the disease. Starting from the current state of the art, this narrative review summarizes and critically appraises the evidence published over the past decade regarding prognostic biomarkers in ccRCC. The analysis is structured into four overarching domains: (i) genomic biomarkers, covering somatic alterations and transcriptomic signatures; (ii) tissue-based biomarkers, including immunohistochemical surrogates and immune microenvironment features; (iii) circulating biomarkers, such as systemic inflammation parameters and indices; and (iv) integrated predictive models, represented by emerging multi-omic approaches. Going through the broad framework of potential prognostic biomarkers, emphasis is placed on their individual and integrative value in relation to classic clinical-pathological factors and survival parameters. At the tissue level, chromosome 3p-related alterations constitute a central molecular feature of ccRCC. Among these, BAP1 loss has emerged as one of the most consistently validated indicators of aggressive tumor behavior. Disruption of the SETD2/H3K36me3 axis and immune-related biomarkers, including PD-L1 expression, have demonstrated prognostic associations in selected settings, although with variable and context-dependent performance. In the circulating compartment, plasma KIM-1 has shown prognostic relevance following nephrectomy, while postoperative detection of circulating tumor DNA (ctDNA) may identify patients at increased risk of recurrence. However, limited analytical sensitivity and methodological heterogeneity currently restrict the broader clinical applicability of ctDNA-based strategies. Systemic inflammatory indices, such as the neutrophil-to-lymphocyte ratio, show reproducible associations with outcomes but largely reflect host inflammatory status rather than tumor-specific biology. However, no single biomarker currently supports routine prognostic implementation in ccRCC. Future progress will likely depend on integrative models combining genomic, tissue-based, immune, and circulating parameters with established clinical variables. Prospective validation and clear demonstration of incremental clinical utility will be essential before such strategies can meaningfully inform therapeutic decision-making.","citation-key":"chifuRefiningPrognosticStratification2026","container-title":"Cancers","DOI":"10.3390/cancers18091371","ISSN":"2072-6694","issue":"9","journalAbbreviation":"Cancers (Basel)","language":"eng","license":"http://creativecommons.org/licenses/by/3.0/","page":"1371","PMID":"42122167","PMCID":"PMC13162819","publisher":"Multidisciplinary Digital Publishing Institute","source":"PubMed","title":"Refining prognostic stratification in clear cell renal cell carcinoma: genomic, tissue-based, circulating biomarkers and integrated models","title-short":"Refining prognostic stratification in clear cell renal cell carcinoma","URL":"https://www.mdpi.com/2072-6694/18/9/1371","volume":"18","author":[{"family":"Chifu","given":"Mariana Bianca"},{"family":"Giușcă","given":"Simona Eliza"},{"family":"Timofte","given":"Andrei Daniel"},{"family":"Costin","given":"Constantin Aleodor"},{"family":"Rusu","given":"Andreea"},{"family":"Ipatov","given":"Ana-Maria"},{"family":"Căruntu","given":"Irina Draga"}],"issued":{"date-parts":[["2026",4,25]]}}}],"schema":"https://github.com/citation-style-language/schema/raw/master/csl-citation.json"} </w:instrText>
      </w:r>
      <w:r w:rsidR="00B82FDC" w:rsidRPr="00150AFE">
        <w:fldChar w:fldCharType="separate"/>
      </w:r>
      <w:r w:rsidR="00BD6E8D" w:rsidRPr="00BD6E8D">
        <w:rPr>
          <w:vertAlign w:val="superscript"/>
        </w:rPr>
        <w:t>2</w:t>
      </w:r>
      <w:r w:rsidR="00B82FDC" w:rsidRPr="00150AFE">
        <w:fldChar w:fldCharType="end"/>
      </w:r>
      <w:r w:rsidR="00B82FDC" w:rsidRPr="00150AFE">
        <w:t xml:space="preserve">. </w:t>
      </w:r>
    </w:p>
    <w:p w14:paraId="569A9F5C" w14:textId="27B32985" w:rsidR="00B82FDC" w:rsidRPr="00150AFE" w:rsidRDefault="00B82FDC" w:rsidP="00B82FDC">
      <w:r w:rsidRPr="00150AFE">
        <w:t>For advanced and relapsed disease, several prognostic scoring systems have been developed, including the Memorial Sloan Kettering Cancer Centre (MSKCC) model and the International Metastatic RCC Database Consortium (IMDC, or Heng) model</w:t>
      </w:r>
      <w:r w:rsidRPr="00150AFE">
        <w:fldChar w:fldCharType="begin"/>
      </w:r>
      <w:r w:rsidR="00BD6E8D">
        <w:instrText xml:space="preserve"> ADDIN ZOTERO_ITEM CSL_CITATION {"citationID":"zuuTIg28","properties":{"unsorted":false,"formattedCitation":"\\super 1\\nosupersub{}","plainCitation":"1","noteIndex":0},"citationItems":[{"id":3826,"uris":["http://zotero.org/users/17607594/items/GBB2ARXY"],"itemData":{"id":3826,"type":"article-journal","abstract":"The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Oncology","URL":"https://jnccn.org/view/journals/jnccn/20/1/article-p71.xml","volume":"20","author":[{"family":"Motzer","given":"Robert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A."},{"family":"Motter","given":"Angela"}],"accessed":{"date-parts":[["2026",6,8]]},"issued":{"date-parts":[["2022",1,1]]}}}],"schema":"https://github.com/citation-style-language/schema/raw/master/csl-citation.json"} </w:instrText>
      </w:r>
      <w:r w:rsidRPr="00150AFE">
        <w:fldChar w:fldCharType="separate"/>
      </w:r>
      <w:r w:rsidR="00BD6E8D" w:rsidRPr="00BD6E8D">
        <w:rPr>
          <w:vertAlign w:val="superscript"/>
        </w:rPr>
        <w:t>1</w:t>
      </w:r>
      <w:r w:rsidRPr="00150AFE">
        <w:fldChar w:fldCharType="end"/>
      </w:r>
      <w:r w:rsidRPr="00150AFE">
        <w:t>. These incorporate clinical and laboratory variables such as absolute neutrophil count, haemoglobin, lactate dehydrogenase, and corrected serum calcium. However, these models were derived from specific metastatic cohorts treated with older systemic therapies such as interferon, sunitinib, sorafenib, or bevacizumab-based regimens, limiting their generalisability to contemporary treatment settings and broader disease stages</w:t>
      </w:r>
      <w:r w:rsidRPr="00150AFE">
        <w:fldChar w:fldCharType="begin"/>
      </w:r>
      <w:r w:rsidR="00BD6E8D">
        <w:instrText xml:space="preserve"> ADDIN ZOTERO_ITEM CSL_CITATION {"citationID":"zYSUxBDt","properties":{"unsorted":false,"formattedCitation":"\\super 1\\nosupersub{}","plainCitation":"1","noteIndex":0},"citationItems":[{"id":3826,"uris":["http://zotero.org/users/17607594/items/GBB2ARXY"],"itemData":{"id":3826,"type":"article-journal","abstract":"The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Oncology","URL":"https://jnccn.org/view/journals/jnccn/20/1/article-p71.xml","volume":"20","author":[{"family":"Motzer","given":"Robert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A."},{"family":"Motter","given":"Angela"}],"accessed":{"date-parts":[["2026",6,8]]},"issued":{"date-parts":[["2022",1,1]]}}}],"schema":"https://github.com/citation-style-language/schema/raw/master/csl-citation.json"} </w:instrText>
      </w:r>
      <w:r w:rsidRPr="00150AFE">
        <w:fldChar w:fldCharType="separate"/>
      </w:r>
      <w:r w:rsidR="00BD6E8D" w:rsidRPr="00BD6E8D">
        <w:rPr>
          <w:vertAlign w:val="superscript"/>
        </w:rPr>
        <w:t>1</w:t>
      </w:r>
      <w:r w:rsidRPr="00150AFE">
        <w:fldChar w:fldCharType="end"/>
      </w:r>
      <w:r w:rsidRPr="00150AFE">
        <w:t>.</w:t>
      </w:r>
    </w:p>
    <w:p w14:paraId="2E921798" w14:textId="6B0A3433" w:rsidR="00B82FDC" w:rsidRDefault="00B82FDC" w:rsidP="00B82FDC">
      <w:proofErr w:type="spellStart"/>
      <w:r w:rsidRPr="00150AFE">
        <w:t>ccRCC</w:t>
      </w:r>
      <w:proofErr w:type="spellEnd"/>
      <w:r w:rsidRPr="00150AFE">
        <w:t xml:space="preserve"> is </w:t>
      </w:r>
      <w:r w:rsidR="00164DE6">
        <w:t xml:space="preserve">characterised by </w:t>
      </w:r>
      <w:r w:rsidRPr="00150AFE">
        <w:t xml:space="preserve">inactivation of the von Hippel–Lindau (VHL) tumour suppressor gene, leading to hypoxia-inducible factor (HIF) </w:t>
      </w:r>
      <w:r w:rsidR="00164DE6">
        <w:t xml:space="preserve">activation, </w:t>
      </w:r>
      <w:r w:rsidR="00164DE6" w:rsidRPr="00164DE6">
        <w:t>angiogenesis, immune infiltration</w:t>
      </w:r>
      <w:r w:rsidR="00164DE6">
        <w:t xml:space="preserve"> (particularly by neutrophils)</w:t>
      </w:r>
      <w:r w:rsidR="00164DE6" w:rsidRPr="00164DE6">
        <w:t>, and extracellular matrix</w:t>
      </w:r>
      <w:r w:rsidR="00164DE6">
        <w:t xml:space="preserve"> (ECM)</w:t>
      </w:r>
      <w:r w:rsidR="00164DE6" w:rsidRPr="00164DE6">
        <w:t xml:space="preserve"> remodelling</w:t>
      </w:r>
      <w:r w:rsidR="00150AFE" w:rsidRPr="00150AFE">
        <w:fldChar w:fldCharType="begin"/>
      </w:r>
      <w:r w:rsidR="00BD6E8D">
        <w:instrText xml:space="preserve"> ADDIN ZOTERO_ITEM CSL_CITATION {"citationID":"OhVTbca8","properties":{"unsorted":false,"formattedCitation":"\\super 3\\uc0\\u8211{}6\\nosupersub{}","plainCitation":"3–6","noteIndex":0},"citationItems":[{"id":3821,"uris":["http://zotero.org/users/17607594/items/SSADDVVR"],"itemData":{"id":3821,"type":"article-journal","abstract":"Multiple, bilateral renal carcinomas are a frequent occurrence in von Hippel-Lindau (VHL) disease. To elucidate the aetiological role of the VHL gene in human kidney tumorigenesis, localized and advanced tumours from 110 patients with sporadic renal carcinoma were analysed for VHL mutations and loss of heterozygosity (LOH). VHL mutations were identified in 57% of clear cell renal carcinomas analysed and LOH was observed in 98% of those samples. Moreover, VHL was mutated and lost in a renal tumour from a patient with familial renal carcinoma carrying the constitutional translocation, t(3;8)(p14;q24). The identification of VHL mutations in a majority of localized and advanced sporadic renal carcinomas and in a second form of hereditary renal carcinoma indicates that the VHL gene plays a critical part in the origin of this malignancy.","citation-key":"gnarraMutationsVHLTumour1994","container-title":"Nature Genetics","DOI":"10.1038/ng0594-85","ISSN":"1061-4036","issue":"1","journalAbbreviation":"Nat Genet","language":"eng","page":"85-90","PMID":"7915601","source":"PubMed","title":"Mutations of the VHL tumour suppressor gene in renal carcinoma","volume":"7","author":[{"family":"Gnarra","given":"J. R."},{"family":"Tory","given":"K."},{"family":"Weng","given":"Y."},{"family":"Schmidt","given":"L."},{"family":"Wei","given":"M. H."},{"family":"Li","given":"H."},{"family":"Latif","given":"F."},{"family":"Liu","given":"S."},{"family":"Chen","given":"F."},{"family":"Duh","given":"F. M."}],"issued":{"date-parts":[["1994",5]]}}},{"id":3820,"uris":["http://zotero.org/users/17607594/items/4PPBL9W2"],"itemData":{"id":3820,"type":"article-journal","abstract":"Genetic changes underlying clear cell renal cell carcinoma (ccRCC) include alterations in genes controlling cellular oxygen sensing (for example, VHL) and the maintenance of chromatin states (for example, PBRM1). We surveyed more than 400 tumours using different genomic platforms and identified 19 significantly mutated genes. The PI(3)K/AKT pathway was recurrently mutated, suggesting this pathway as a potential therapeutic target. Widespread DNA hypomethylation was associated with mutation of the H3K36 methyltransferase SETD2, and integrative analysis suggested that mutations involving the SWI/SNF chromatin remodelling complex (PBRM1, ARID1A, SMARCA4) could have far-reaching effects on other pathways. Aggressive cancers demonstrated evidence of a metabolic shift, involving downregulation of genes involved in the TCA cycle, decreased AMPK and PTEN protein levels, upregulation of the pentose phosphate pathway and the glutamine transporter genes, increased acetyl-CoA carboxylase protein, and altered promoter methylation of miR-21 (also known as MIR21) and GRB10. Remodelling cellular metabolism thus constitutes a recurrent pattern in ccRCC that correlates with tumour stage and severity and offers new views on the opportunities for disease treatment.","citation-key":"cancergenomeatlasresearchnetworkComprehensiveMolecularCharacterization2013","container-title":"Nature","DOI":"10.1038/nature12222","ISSN":"1476-4687","issue":"7456","journalAbbreviation":"Nature","language":"eng","license":"2013 The Author(s)","page":"43-49","PMID":"23792563","PMCID":"PMC3771322","publisher":"Nature Publishing Group","source":"PubMed","title":"Comprehensive molecular characterization of clear cell renal cell carcinoma","URL":"https://www.nature.com/articles/nature12222","volume":"499","author":[{"literal":"Cancer Genome Atlas Research Network"}],"issued":{"date-parts":[["2013",7,4]]}}},{"id":3817,"uris":["http://zotero.org/users/17607594/items/JQHQTJZP"],"itemData":{"id":3817,"type":"article-journal","abstract":"Neutrophils are the most abundant circulating leukocytes, being the first line of defence against bacterial and fungal infections. However, neutrophils also contribute to tissue damage during various autoimmune and inflammatory diseases, and play important roles in cancer progression. The intimate but complex involvement of neutrophils in various diseases makes them exciting targets for therapeutic intervention but also necessitates differentiation of beneficial responses from potentially detrimental side effects. A variety of approaches to therapeutically target neutrophils have emerged, including strategies to enhance, inhibit or restore neutrophil function, with several agents entering clinical trials. However, challenges and controversies in the field remain.","citation-key":"nemethNeutrophilsEmergingTherapeutic2020","container-title":"Nature Reviews Drug Discovery","DOI":"10.1038/s41573-019-0054-z","ISSN":"1474-1784","issue":"4","journalAbbreviation":"Nat Rev Drug Discov","language":"eng","license":"2020 Springer Nature Limited","page":"253-275","PMID":"31969717","publisher":"Nature Publishing Group","source":"PubMed","title":"Neutrophils as emerging therapeutic targets","URL":"https://www.nature.com/articles/s41573-019-0054-z","volume":"19","author":[{"family":"Németh","given":"Tamás"},{"family":"Sperandio","given":"Markus"},{"family":"Mócsai","given":"Attila"}],"issued":{"date-parts":[["2020",4]]}}},{"id":3793,"uris":["http://zotero.org/users/17607594/items/T7GJT4GT"],"itemData":{"id":3793,"type":"article-journal","abstract":"Dysregulated metabolism is a hallmark of cancer, manifested through alterations in metabolites. We performed metabolomic profiling on 138 matched clear cell renal cell carcinoma (ccRCC)/normal tissue pairs and found that ccRCC is characterized by broad shifts in central carbon metabolism, one-carbon metabolism, and antioxidant response. Tumor progression and metastasis were associated with metabolite increases in glutathione and cysteine/methionine metabolism pathways. We develop an analytic pipeline and visualization tool (metabolograms) to bridge the gap between TCGA transcriptomic profiling and our metabolomic data, which enables us to assemble an integrated pathway-level metabolic atlas and to demonstrate discordance between transcriptome and metabolome. Lastly, expression profiling was performed on a high-glutathione cluster, which corresponds to a poor-survival subgroup in the ccRCC TCGA cohort.","citation-key":"hakimiIntegratedMetabolicAtlas2016","container-title":"Cancer Cell","DOI":"10.1016/j.ccell.2015.12.004","ISSN":"1878-3686","issue":"1","journalAbbreviation":"Cancer Cell","language":"eng","page":"104-116","PMID":"26766592","PMCID":"PMC4809063","source":"PubMed","title":"An integrated metabolic atlas of clear cell renal cell carcinoma","volume":"29","author":[{"family":"Hakimi","given":"A. Ari"},{"family":"Reznik","given":"Ed"},{"family":"Lee","given":"Chung-Han"},{"family":"Creighton","given":"Chad J."},{"family":"Brannon","given":"A. Rose"},{"family":"Luna","given":"Augustin"},{"family":"Aksoy","given":"B. Arman"},{"family":"Liu","given":"Eric Minwei"},{"family":"Shen","given":"Ronglai"},{"family":"Lee","given":"William"},{"family":"Chen","given":"Yang"},{"family":"Stirdivant","given":"Steve M."},{"family":"Russo","given":"Paul"},{"family":"Chen","given":"Ying Bei"},{"family":"Tickoo","given":"Satish K."},{"family":"Reuter","given":"Victor E."},{"family":"Cheng","given":"Emily H."},{"family":"Sander","given":"Chris"},{"family":"Hsieh","given":"James J."}],"issued":{"date-parts":[["2016",1,11]]}}}],"schema":"https://github.com/citation-style-language/schema/raw/master/csl-citation.json"} </w:instrText>
      </w:r>
      <w:r w:rsidR="00150AFE" w:rsidRPr="00150AFE">
        <w:fldChar w:fldCharType="separate"/>
      </w:r>
      <w:r w:rsidR="00BD6E8D" w:rsidRPr="00BD6E8D">
        <w:rPr>
          <w:vertAlign w:val="superscript"/>
        </w:rPr>
        <w:t>3–6</w:t>
      </w:r>
      <w:r w:rsidR="00150AFE" w:rsidRPr="00150AFE">
        <w:fldChar w:fldCharType="end"/>
      </w:r>
      <w:r w:rsidR="00164DE6">
        <w:t xml:space="preserve">. </w:t>
      </w:r>
      <w:r w:rsidR="00164DE6" w:rsidRPr="00164DE6">
        <w:t>These processes underpin current targeted and immunotherapeutic approaches</w:t>
      </w:r>
      <w:r w:rsidR="00150AFE" w:rsidRPr="00150AFE">
        <w:rPr>
          <w:vertAlign w:val="superscript"/>
        </w:rPr>
        <w:fldChar w:fldCharType="begin"/>
      </w:r>
      <w:r w:rsidR="00BD6E8D">
        <w:rPr>
          <w:vertAlign w:val="superscript"/>
        </w:rPr>
        <w:instrText xml:space="preserve"> ADDIN ZOTERO_ITEM CSL_CITATION {"citationID":"EV8g6lEY","properties":{"unsorted":false,"formattedCitation":"\\super 1\\nosupersub{}","plainCitation":"1","noteIndex":0},"citationItems":[{"id":3826,"uris":["http://zotero.org/users/17607594/items/GBB2ARXY"],"itemData":{"id":3826,"type":"article-journal","abstract":"The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Oncology","URL":"https://jnccn.org/view/journals/jnccn/20/1/article-p71.xml","volume":"20","author":[{"family":"Motzer","given":"Robert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A."},{"family":"Motter","given":"Angela"}],"accessed":{"date-parts":[["2026",6,8]]},"issued":{"date-parts":[["2022",1,1]]}}}],"schema":"https://github.com/citation-style-language/schema/raw/master/csl-citation.json"} </w:instrText>
      </w:r>
      <w:r w:rsidR="00150AFE" w:rsidRPr="00150AFE">
        <w:rPr>
          <w:vertAlign w:val="superscript"/>
        </w:rPr>
        <w:fldChar w:fldCharType="separate"/>
      </w:r>
      <w:r w:rsidR="00BD6E8D" w:rsidRPr="00BD6E8D">
        <w:rPr>
          <w:vertAlign w:val="superscript"/>
        </w:rPr>
        <w:t>1</w:t>
      </w:r>
      <w:r w:rsidR="00150AFE" w:rsidRPr="00150AFE">
        <w:rPr>
          <w:vertAlign w:val="superscript"/>
        </w:rPr>
        <w:fldChar w:fldCharType="end"/>
      </w:r>
      <w:r w:rsidRPr="00150AFE">
        <w:t>.</w:t>
      </w:r>
    </w:p>
    <w:p w14:paraId="3856E32D" w14:textId="7F35AD64" w:rsidR="00244BD3" w:rsidRPr="00150AFE" w:rsidRDefault="00244BD3" w:rsidP="00B82FDC">
      <w:r w:rsidRPr="00150AFE">
        <w:t>The</w:t>
      </w:r>
      <w:r>
        <w:t xml:space="preserve"> limitation of current clinical prognostic indicators </w:t>
      </w:r>
      <w:proofErr w:type="gramStart"/>
      <w:r w:rsidRPr="00150AFE">
        <w:t>motivate</w:t>
      </w:r>
      <w:proofErr w:type="gramEnd"/>
      <w:r w:rsidRPr="00150AFE">
        <w:t xml:space="preserve"> the integration of molecular data to improve individualised risk prediction. </w:t>
      </w:r>
      <w:r w:rsidR="00977CDB">
        <w:t>The aim of p</w:t>
      </w:r>
      <w:r w:rsidRPr="00244BD3">
        <w:t>ersonali</w:t>
      </w:r>
      <w:r w:rsidR="00C71C3E">
        <w:t>s</w:t>
      </w:r>
      <w:r w:rsidRPr="00244BD3">
        <w:t xml:space="preserve">ed medicine </w:t>
      </w:r>
      <w:r w:rsidR="00977CDB">
        <w:t xml:space="preserve">is to </w:t>
      </w:r>
      <w:r w:rsidRPr="00244BD3">
        <w:t>improve patient diagnosis and treatment by making use of patient-specific genomic and molecular markers that are indicative of disease development</w:t>
      </w:r>
      <w:r>
        <w:t>.</w:t>
      </w:r>
    </w:p>
    <w:p w14:paraId="515FAD9E" w14:textId="62135DEA" w:rsidR="00B82FDC" w:rsidRPr="00150AFE" w:rsidRDefault="00B82FDC" w:rsidP="00B82FDC">
      <w:r w:rsidRPr="00150AFE">
        <w:t xml:space="preserve">This analysis addresses the following research question: </w:t>
      </w:r>
      <w:r w:rsidRPr="00150AFE">
        <w:rPr>
          <w:b/>
          <w:bCs/>
          <w:i/>
          <w:iCs/>
        </w:rPr>
        <w:t xml:space="preserve">can the integration of proteomic signalling data and transcriptomic pathway scores with standard clinical variables improve overall survival prediction in </w:t>
      </w:r>
      <w:proofErr w:type="spellStart"/>
      <w:r w:rsidRPr="00150AFE">
        <w:rPr>
          <w:b/>
          <w:bCs/>
          <w:i/>
          <w:iCs/>
        </w:rPr>
        <w:t>ccRCC</w:t>
      </w:r>
      <w:proofErr w:type="spellEnd"/>
      <w:r w:rsidRPr="00150AFE">
        <w:rPr>
          <w:b/>
          <w:bCs/>
          <w:i/>
          <w:iCs/>
        </w:rPr>
        <w:t>, and does the inflammatory invasion axis contribute independent prognostic information beyond clinical staging?</w:t>
      </w:r>
    </w:p>
    <w:p w14:paraId="7ECC63DA" w14:textId="63868F80" w:rsidR="00B82FDC" w:rsidRPr="00150AFE" w:rsidRDefault="00B82FDC" w:rsidP="00B82FDC">
      <w:r w:rsidRPr="00150AFE">
        <w:lastRenderedPageBreak/>
        <w:t xml:space="preserve">To address this question, multi-omics data from the TCGA Kidney Renal Clear Cell Carcinoma </w:t>
      </w:r>
      <w:proofErr w:type="spellStart"/>
      <w:r w:rsidRPr="00150AFE">
        <w:t>PanCancer</w:t>
      </w:r>
      <w:proofErr w:type="spellEnd"/>
      <w:r w:rsidRPr="00150AFE">
        <w:t xml:space="preserve"> Atlas cohort (TCGA-KIRC) were obtained from cBioPortal</w:t>
      </w:r>
      <w:r w:rsidR="00150AFE" w:rsidRPr="00150AFE">
        <w:fldChar w:fldCharType="begin"/>
      </w:r>
      <w:r w:rsidR="00BD6E8D">
        <w:instrText xml:space="preserve"> ADDIN ZOTERO_ITEM CSL_CITATION {"citationID":"iIKXVsun","properties":{"unsorted":false,"formattedCitation":"\\super 7\\uc0\\u8211{}9\\nosupersub{}","plainCitation":"7–9","noteIndex":0},"citationItems":[{"id":3779,"uris":["http://zotero.org/users/17607594/items/BI8MW38A"],"itemData":{"id":3779,"type":"article-journal","abstract":"The cBio Cancer Genomics Portal (http://cbioportal.org) is an open-access resource for interactive exploration of multidimensional cancer genomics data sets, currently providing access to data from more than 5,000 tumor samples from 20 cancer studies. The cBio Cancer Genomics Portal significantly lowers the barriers between complex genomic data and cancer researchers who want rapid, intuitive, and high-quality access to molecular profiles and clinical attributes from large-scale cancer genomics projects and empowers researchers to translate these rich data sets into biologic insights and clinical applications.","citation-key":"ceramiCBioCancerGenomics2012a","container-title":"Cancer Discovery","DOI":"10.1158/2159-8290.CD-12-0095","ISSN":"2159-8290","issue":"5","journalAbbreviation":"Cancer Discov","language":"eng","page":"401-404","PMID":"22588877","PMCID":"PMC3956037","source":"PubMed","title":"The cBio cancer genomics portal: an open platform for exploring multidimensional cancer genomics data","title-short":"The cBio cancer genomics portal","URL":"https://doi.org/10.1158/2159-8290.CD-12-0095","volume":"2","author":[{"family":"Cerami","given":"Ethan"},{"family":"Gao","given":"Jianjiong"},{"family":"Dogrusoz","given":"Ugur"},{"family":"Gross","given":"Benjamin E."},{"family":"Sumer","given":"Selcuk Onur"},{"family":"Aksoy","given":"Bülent Arman"},{"family":"Jacobsen","given":"Anders"},{"family":"Byrne","given":"Caitlin J."},{"family":"Heuer","given":"Michael L."},{"family":"Larsson","given":"Erik"},{"family":"Antipin","given":"Yevgeniy"},{"family":"Reva","given":"Boris"},{"family":"Goldberg","given":"Arthur P."},{"family":"Sander","given":"Chris"},{"family":"Schultz","given":"Nikolaus"}],"issued":{"date-parts":[["2012",5,9]]}}},{"id":3781,"uris":["http://zotero.org/users/17607594/items/QU42USPW"],"itemData":{"id":3781,"type":"article-journal","abstract":"The cBioPortal for Cancer Genomics (http://cbioportal.org) provides a Web resource for exploring, visualizing, and analyzing multidimensional cancer genomics data. The portal reduces molecular profiling data from cancer tissues and cell lines into readily understandable genetic, epigenetic, gene expression, and proteomic events. The query interface combined with customized data storage enables researchers to interactively explore genetic alterations across samples, genes, and pathways and, when available in the underlying data, to link these to clinical outcomes. The portal provides graphical summaries of gene-level data from multiple platforms, network visualization and analysis, survival analysis, patient-centric queries, and software programmatic access. The intuitive Web interface of the portal makes complex cancer genomics profiles accessible to researchers and clinicians without requiring bioinformatics expertise, thus facilitating biological discoveries. Here, we provide a practical guide to the analysis and visualization features of the cBioPortal for Cancer Genomics.","citation-key":"gaoIntegrativeAnalysisComplex2013","container-title":"Science Signaling","DOI":"10.1126/scisignal.2004088","ISSN":"1937-9145","issue":"269","journalAbbreviation":"Sci Signal","language":"eng","page":"pl1","PMID":"23550210","PMCID":"PMC4160307","source":"PubMed","title":"Integrative analysis of complex cancer genomics and clinical profiles using the cBioPortal","URL":"https://www.science.org/doi/10.1126/scisignal.2004088","volume":"6","author":[{"family":"Gao","given":"Jianjiong"},{"family":"Aksoy","given":"Bülent Arman"},{"family":"Dogrusoz","given":"Ugur"},{"family":"Dresdner","given":"Gideon"},{"family":"Gross","given":"Benjamin"},{"family":"Sumer","given":"S. Onur"},{"family":"Sun","given":"Yichao"},{"family":"Jacobsen","given":"Anders"},{"family":"Sinha","given":"Rileen"},{"family":"Larsson","given":"Erik"},{"family":"Cerami","given":"Ethan"},{"family":"Sander","given":"Chris"},{"family":"Schultz","given":"Nikolaus"}],"issued":{"date-parts":[["2013",4,2]]}}},{"id":3783,"uris":["http://zotero.org/users/17607594/items/JIYNY4VV"],"itemData":{"id":3783,"type":"article-journal","abstract":"International cancer registries make real-world genomic and clinical data available, but their joint analysis remains a challenge. AACR Project GENIE, an international cancer registry collecting data from 19 cancer centers, makes data from &gt;130,000 patients publicly available through the cBioPortal for Cancer Genomics (https://genie.cbioportal.org). For 25,000 patients, additional real-world longitudinal clinical data, including treatment and outcome data, are being collected by the AACR Project GENIE Biopharma Collaborative using the PRISSMM data curation model. Several thousand of these cases are now also available in cBioPortal. We have significantly enhanced the functionalities of cBioPortal to support the visualization and analysis of this rich clinico-genomic linked dataset, as well as datasets generated by other centers and consortia. Examples of these enhancements include (i) visualization of the longitudinal clinical and genomic data at the patient level, including timelines for diagnoses, treatments, and outcomes; (ii) the ability to select samples based on treatment status, facilitating a comparison of molecular and clinical attributes between samples before and after a specific treatment; and (iii) survival analysis estimates based on individual treatment regimens received. Together, these features provide cBioPortal users with a toolkit to interactively investigate complex clinico-genomic data to generate hypotheses and make discoveries about the impact of specific genomic variants on prognosis and therapeutic sensitivities in cancer.\nSIGNIFICANCE: Enhanced cBioPortal features allow clinicians and researchers to effectively investigate longitudinal clinico-genomic data from patients with cancer, which will improve exploration of data from the AACR Project GENIE Biopharma Collaborative and similar datasets.","citation-key":"debruijnAnalysisVisualizationLongitudinal2023","container-title":"Cancer Research","DOI":"10.1158/0008-5472.CAN-23-0816","ISSN":"1538-7445","issue":"23","journalAbbreviation":"Cancer Res","language":"eng","page":"3861-3867","PMID":"37668528","PMCID":"PMC10690089","source":"PubMed","title":"Analysis and visualization of longitudinal genomic and clinical data from the AACR project GENIE biopharma collaborative in cBioPortal","URL":"https://doi.org/10.1158/0008-5472.CAN-23-0816","volume":"83","author":[{"family":"Bruijn","given":"Ino","non-dropping-particle":"de"},{"family":"Kundra","given":"Ritika"},{"family":"Mastrogiacomo","given":"Brooke"},{"family":"Tran","given":"Thinh Ngoc"},{"family":"Sikina","given":"Luke"},{"family":"Mazor","given":"Tali"},{"family":"Li","given":"Xiang"},{"family":"Ochoa","given":"Angelica"},{"family":"Zhao","given":"Gaofei"},{"family":"Lai","given":"Bryan"},{"family":"Abeshouse","given":"Adam"},{"family":"Baiceanu","given":"Diana"},{"family":"Ciftci","given":"Ersin"},{"family":"Dogrusoz","given":"Ugur"},{"family":"Dufilie","given":"Andrew"},{"family":"Erkoc","given":"Ziya"},{"family":"Garcia Lara","given":"Elena"},{"family":"Fu","given":"Zhaoyuan"},{"family":"Gross","given":"Benjamin"},{"family":"Haynes","given":"Charles"},{"family":"Heath","given":"Allison"},{"family":"Higgins","given":"David"},{"family":"Jagannathan","given":"Prasanna"},{"family":"Kalletla","given":"Karthik"},{"family":"Kumari","given":"Priti"},{"family":"Lindsay","given":"James"},{"family":"Lisman","given":"Aaron"},{"family":"Leenknegt","given":"Bas"},{"family":"Lukasse","given":"Pieter"},{"family":"Madela","given":"Divya"},{"family":"Madupuri","given":"Ramyasree"},{"family":"Nierop","given":"Pim","non-dropping-particle":"van"},{"family":"Plantalech","given":"Oleguer"},{"family":"Quach","given":"Joyce"},{"family":"Resnick","given":"Adam C."},{"family":"Rodenburg","given":"Sander Y. A."},{"family":"Satravada","given":"Baby A."},{"family":"Schaeffer","given":"Fedde"},{"family":"Sheridan","given":"Robert"},{"family":"Singh","given":"Jessica"},{"family":"Sirohi","given":"Rajat"},{"family":"Sumer","given":"Selcuk Onur"},{"family":"Hagen","given":"Sjoerd","non-dropping-particle":"van"},{"family":"Wang","given":"Avery"},{"family":"Wilson","given":"Manda"},{"family":"Zhang","given":"Hongxin"},{"family":"Zhu","given":"Kelsey"},{"family":"Rusk","given":"Nicole"},{"family":"Brown","given":"Samantha"},{"family":"Lavery","given":"Jessica A."},{"family":"Panageas","given":"Katherine S."},{"family":"Rudolph","given":"Julia E."},{"family":"LeNoue-Newton","given":"Michele L."},{"family":"Warner","given":"Jeremy L."},{"family":"Guo","given":"Xindi"},{"family":"Hunter-Zinck","given":"Haley"},{"family":"Yu","given":"Thomas V."},{"family":"Pilai","given":"Shirin"},{"family":"Nichols","given":"Chelsea"},{"family":"Gardos","given":"Stuart M."},{"family":"Philip","given":"John"},{"literal":"AACR Project GENIE BPC Core Team, AACR Project GENIE Consortium"},{"family":"Kehl","given":"Kenneth L."},{"family":"Riely","given":"Gregory J."},{"family":"Schrag","given":"Deborah"},{"family":"Lee","given":"Jocelyn"},{"family":"Fiandalo","given":"Michael V."},{"family":"Sweeney","given":"Shawn M."},{"family":"Pugh","given":"Trevor J."},{"family":"Sander","given":"Chris"},{"family":"Cerami","given":"Ethan"},{"family":"Gao","given":"Jianjiong"},{"family":"Schultz","given":"Nikolaus"}],"issued":{"date-parts":[["2023",12,1]]}}}],"schema":"https://github.com/citation-style-language/schema/raw/master/csl-citation.json"} </w:instrText>
      </w:r>
      <w:r w:rsidR="00150AFE" w:rsidRPr="00150AFE">
        <w:fldChar w:fldCharType="separate"/>
      </w:r>
      <w:r w:rsidR="00BD6E8D" w:rsidRPr="00BD6E8D">
        <w:rPr>
          <w:vertAlign w:val="superscript"/>
        </w:rPr>
        <w:t>7–9</w:t>
      </w:r>
      <w:r w:rsidR="00150AFE" w:rsidRPr="00150AFE">
        <w:fldChar w:fldCharType="end"/>
      </w:r>
      <w:r w:rsidRPr="00150AFE">
        <w:t>. Three molecular data layers were integrated alongside clinical survival data: reverse-phase protein array (RPPA) proteomics, RNA sequencing (RNA-</w:t>
      </w:r>
      <w:proofErr w:type="spellStart"/>
      <w:r w:rsidRPr="00150AFE">
        <w:t>seq</w:t>
      </w:r>
      <w:proofErr w:type="spellEnd"/>
      <w:r w:rsidRPr="00150AFE">
        <w:t>) expression, and somatic copy number alteration (CNA) data. Feature selection, cross-validated model comparison, and biological interpretation were performed using a reproducible R analysis pipeline, described fully in Section 3.</w:t>
      </w:r>
    </w:p>
    <w:p w14:paraId="2116796F" w14:textId="77777777" w:rsidR="00A94471" w:rsidRDefault="00A94471">
      <w:pPr>
        <w:spacing w:after="160" w:line="259" w:lineRule="auto"/>
        <w:rPr>
          <w:rFonts w:eastAsiaTheme="majorEastAsia"/>
          <w:b/>
          <w:bCs/>
          <w:sz w:val="32"/>
          <w:szCs w:val="32"/>
        </w:rPr>
      </w:pPr>
      <w:r>
        <w:br w:type="page"/>
      </w:r>
    </w:p>
    <w:p w14:paraId="12F950FB" w14:textId="4A43AB7B" w:rsidR="00B82FDC" w:rsidRPr="00150AFE" w:rsidRDefault="00B82FDC" w:rsidP="000972D6">
      <w:pPr>
        <w:pStyle w:val="Heading2"/>
        <w:spacing w:before="480"/>
      </w:pPr>
      <w:r w:rsidRPr="00150AFE">
        <w:lastRenderedPageBreak/>
        <w:t>2. Results</w:t>
      </w:r>
    </w:p>
    <w:p w14:paraId="1962447A" w14:textId="107607D1" w:rsidR="00B82FDC" w:rsidRDefault="00B82FDC" w:rsidP="000972D6">
      <w:pPr>
        <w:pStyle w:val="Heading3"/>
        <w:spacing w:before="0"/>
        <w:contextualSpacing/>
      </w:pPr>
      <w:r w:rsidRPr="00150AFE">
        <w:t>2</w:t>
      </w:r>
      <w:r w:rsidR="00C416FC" w:rsidRPr="00C416FC">
        <w:t>.1 Baseline Cohort Integration &amp; Clinical Calibration</w:t>
      </w:r>
    </w:p>
    <w:p w14:paraId="4942D1A8" w14:textId="03ACB19A" w:rsidR="00B82FDC" w:rsidRDefault="00C416FC" w:rsidP="00C416FC">
      <w:r>
        <w:t>Merging</w:t>
      </w:r>
      <w:r w:rsidRPr="00C416FC">
        <w:t xml:space="preserve"> the multi-omics data layers yielded an overlap cohort of 454 samples with complete clinical, RPPA, and RNA-</w:t>
      </w:r>
      <w:proofErr w:type="spellStart"/>
      <w:r w:rsidRPr="00C416FC">
        <w:t>seq</w:t>
      </w:r>
      <w:proofErr w:type="spellEnd"/>
      <w:r w:rsidRPr="00C416FC">
        <w:t xml:space="preserve"> data. Of these, 158 patients (34.8%) experienced the primary endpoint of death (median follow-up: 38.7 months; median overall survival: 90.5 months), as visualized in Figure 1. </w:t>
      </w:r>
      <w:r w:rsidR="00D607C0" w:rsidRPr="00D607C0">
        <w:t>Thirteen candidate clinical variables were identified, of which twelve proceeded to screening following pre-screening exclusion of weight (absent from the dataset)</w:t>
      </w:r>
      <w:r w:rsidR="00D607C0">
        <w:t>. Of these candidates</w:t>
      </w:r>
      <w:r w:rsidR="00244BD3" w:rsidRPr="00244BD3">
        <w:t>,</w:t>
      </w:r>
      <w:r w:rsidR="00D607C0">
        <w:t xml:space="preserve"> </w:t>
      </w:r>
      <w:r w:rsidR="00244BD3" w:rsidRPr="00244BD3">
        <w:t xml:space="preserve">stage, grade, tumour break load </w:t>
      </w:r>
      <w:r w:rsidR="0066351B">
        <w:t xml:space="preserve">(TBL) </w:t>
      </w:r>
      <w:r w:rsidR="00244BD3" w:rsidRPr="00244BD3">
        <w:t>score and age remained significant after multiple-testing correction</w:t>
      </w:r>
      <w:r w:rsidR="00244BD3">
        <w:t xml:space="preserve"> </w:t>
      </w:r>
      <w:r w:rsidRPr="00C416FC">
        <w:t xml:space="preserve">(Figure 2, Table 1). </w:t>
      </w:r>
      <w:r w:rsidRPr="00150AFE">
        <w:t>Genomic instability markers (aneuploidy score, TMB, MSI scores) and sex did not reach significance after correction.</w:t>
      </w:r>
    </w:p>
    <w:p w14:paraId="29909EF4" w14:textId="77777777" w:rsidR="00A94471" w:rsidRDefault="00A94471" w:rsidP="00C416FC"/>
    <w:p w14:paraId="1F06984E" w14:textId="671631B4" w:rsidR="00150AFE" w:rsidRPr="00150AFE" w:rsidRDefault="00A94471" w:rsidP="00A94471">
      <w:pPr>
        <w:pStyle w:val="Caption"/>
      </w:pPr>
      <w:r>
        <w:rPr>
          <w:noProof/>
        </w:rPr>
        <w:drawing>
          <wp:anchor distT="0" distB="0" distL="114300" distR="114300" simplePos="0" relativeHeight="251658240" behindDoc="0" locked="0" layoutInCell="1" allowOverlap="1" wp14:anchorId="38963987" wp14:editId="32B8F5D9">
            <wp:simplePos x="0" y="0"/>
            <wp:positionH relativeFrom="column">
              <wp:posOffset>539750</wp:posOffset>
            </wp:positionH>
            <wp:positionV relativeFrom="paragraph">
              <wp:posOffset>0</wp:posOffset>
            </wp:positionV>
            <wp:extent cx="5095875" cy="3397250"/>
            <wp:effectExtent l="0" t="0" r="9525" b="0"/>
            <wp:wrapTopAndBottom/>
            <wp:docPr id="178947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95875" cy="339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0AFE" w:rsidRPr="0068182D">
        <w:rPr>
          <w:b/>
          <w:bCs/>
        </w:rPr>
        <w:t xml:space="preserve">Figure </w:t>
      </w:r>
      <w:r w:rsidR="00150AFE" w:rsidRPr="0068182D">
        <w:rPr>
          <w:b/>
          <w:bCs/>
        </w:rPr>
        <w:fldChar w:fldCharType="begin"/>
      </w:r>
      <w:r w:rsidR="00150AFE" w:rsidRPr="0068182D">
        <w:rPr>
          <w:b/>
          <w:bCs/>
        </w:rPr>
        <w:instrText xml:space="preserve"> SEQ Figure \* ARABIC </w:instrText>
      </w:r>
      <w:r w:rsidR="00150AFE" w:rsidRPr="0068182D">
        <w:rPr>
          <w:b/>
          <w:bCs/>
        </w:rPr>
        <w:fldChar w:fldCharType="separate"/>
      </w:r>
      <w:r w:rsidR="00417F53" w:rsidRPr="0068182D">
        <w:rPr>
          <w:b/>
          <w:bCs/>
          <w:noProof/>
        </w:rPr>
        <w:t>1</w:t>
      </w:r>
      <w:r w:rsidR="00150AFE" w:rsidRPr="0068182D">
        <w:rPr>
          <w:b/>
          <w:bCs/>
        </w:rPr>
        <w:fldChar w:fldCharType="end"/>
      </w:r>
      <w:r w:rsidR="00150AFE" w:rsidRPr="0068182D">
        <w:rPr>
          <w:b/>
          <w:bCs/>
        </w:rPr>
        <w:t xml:space="preserve">. Kaplan–Meier </w:t>
      </w:r>
      <w:r w:rsidR="0068182D" w:rsidRPr="0068182D">
        <w:rPr>
          <w:b/>
          <w:bCs/>
        </w:rPr>
        <w:t>estimation of overall survival in the integrated TCGA-KIRC cohort</w:t>
      </w:r>
      <w:r w:rsidR="000972D6" w:rsidRPr="0068182D">
        <w:rPr>
          <w:b/>
          <w:bCs/>
        </w:rPr>
        <w:t>.</w:t>
      </w:r>
      <w:r w:rsidR="000972D6">
        <w:t xml:space="preserve"> </w:t>
      </w:r>
      <w:r w:rsidR="0068182D">
        <w:br/>
      </w:r>
      <w:r w:rsidR="0068182D" w:rsidRPr="0068182D">
        <w:t>Cumulative overall survival probability for the consolidated multi-omics cohort (N = 454) over a 150-month follow-up window. The dashed line marks the median overall survival threshold at 90.5 months. Shaded areas denote the 95% confidence intervals, and vertical tick marks represent right-censored individuals. The lower risk table details the absolute number of patients remaining at risk across longitudinal milestones</w:t>
      </w:r>
      <w:r w:rsidR="0068182D">
        <w:t>.</w:t>
      </w:r>
    </w:p>
    <w:p w14:paraId="0AF21C21" w14:textId="77777777" w:rsidR="00A14AAB" w:rsidRDefault="00A14AAB" w:rsidP="00A14AAB">
      <w:pPr>
        <w:keepNext/>
      </w:pPr>
      <w:r>
        <w:rPr>
          <w:noProof/>
        </w:rPr>
        <w:lastRenderedPageBreak/>
        <w:drawing>
          <wp:inline distT="0" distB="0" distL="0" distR="0" wp14:anchorId="039238F6" wp14:editId="68867BE2">
            <wp:extent cx="6105032" cy="4006850"/>
            <wp:effectExtent l="0" t="0" r="0" b="0"/>
            <wp:docPr id="235586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1497"/>
                    <a:stretch>
                      <a:fillRect/>
                    </a:stretch>
                  </pic:blipFill>
                  <pic:spPr bwMode="auto">
                    <a:xfrm>
                      <a:off x="0" y="0"/>
                      <a:ext cx="6112259" cy="4011593"/>
                    </a:xfrm>
                    <a:prstGeom prst="rect">
                      <a:avLst/>
                    </a:prstGeom>
                    <a:noFill/>
                    <a:ln>
                      <a:noFill/>
                    </a:ln>
                    <a:extLst>
                      <a:ext uri="{53640926-AAD7-44D8-BBD7-CCE9431645EC}">
                        <a14:shadowObscured xmlns:a14="http://schemas.microsoft.com/office/drawing/2010/main"/>
                      </a:ext>
                    </a:extLst>
                  </pic:spPr>
                </pic:pic>
              </a:graphicData>
            </a:graphic>
          </wp:inline>
        </w:drawing>
      </w:r>
    </w:p>
    <w:p w14:paraId="29EAB0F3" w14:textId="63846A8F" w:rsidR="00706259" w:rsidRDefault="00A14AAB" w:rsidP="00244BD3">
      <w:pPr>
        <w:pStyle w:val="Caption"/>
      </w:pPr>
      <w:r w:rsidRPr="0068182D">
        <w:rPr>
          <w:b/>
          <w:bCs/>
        </w:rPr>
        <w:t xml:space="preserve">Figure </w:t>
      </w:r>
      <w:r w:rsidRPr="0068182D">
        <w:rPr>
          <w:b/>
          <w:bCs/>
        </w:rPr>
        <w:fldChar w:fldCharType="begin"/>
      </w:r>
      <w:r w:rsidRPr="0068182D">
        <w:rPr>
          <w:b/>
          <w:bCs/>
        </w:rPr>
        <w:instrText xml:space="preserve"> SEQ Figure \* ARABIC </w:instrText>
      </w:r>
      <w:r w:rsidRPr="0068182D">
        <w:rPr>
          <w:b/>
          <w:bCs/>
        </w:rPr>
        <w:fldChar w:fldCharType="separate"/>
      </w:r>
      <w:r w:rsidR="00417F53" w:rsidRPr="0068182D">
        <w:rPr>
          <w:b/>
          <w:bCs/>
          <w:noProof/>
        </w:rPr>
        <w:t>2</w:t>
      </w:r>
      <w:r w:rsidRPr="0068182D">
        <w:rPr>
          <w:b/>
          <w:bCs/>
        </w:rPr>
        <w:fldChar w:fldCharType="end"/>
      </w:r>
      <w:r w:rsidR="0068182D" w:rsidRPr="0068182D">
        <w:rPr>
          <w:b/>
          <w:bCs/>
        </w:rPr>
        <w:t xml:space="preserve">. </w:t>
      </w:r>
      <w:r w:rsidR="002C44B4" w:rsidRPr="002C44B4">
        <w:rPr>
          <w:b/>
          <w:bCs/>
        </w:rPr>
        <w:t>Clinical variable univariable Cox screening results</w:t>
      </w:r>
      <w:r w:rsidR="0068182D" w:rsidRPr="0068182D">
        <w:rPr>
          <w:b/>
          <w:bCs/>
        </w:rPr>
        <w:t>.</w:t>
      </w:r>
      <w:r w:rsidR="0068182D">
        <w:br/>
      </w:r>
      <w:r w:rsidR="002C44B4" w:rsidRPr="002C44B4">
        <w:t xml:space="preserve">Negative base-10 logarithmic plot of Benjamini-Hochberg adjusted p-values for 12 screened clinical and molecular markers </w:t>
      </w:r>
      <w:r w:rsidR="00481902" w:rsidRPr="00481902">
        <w:t>(screened in up to N = 512 patients)</w:t>
      </w:r>
      <w:r w:rsidR="002C44B4" w:rsidRPr="002C44B4">
        <w:t xml:space="preserve">. The vertical dashed line denotes the </w:t>
      </w:r>
      <w:proofErr w:type="spellStart"/>
      <w:r w:rsidR="002C44B4" w:rsidRPr="002C44B4">
        <w:t>p</w:t>
      </w:r>
      <w:r w:rsidR="002C44B4" w:rsidRPr="00481902">
        <w:rPr>
          <w:vertAlign w:val="subscript"/>
        </w:rPr>
        <w:t>adj</w:t>
      </w:r>
      <w:proofErr w:type="spellEnd"/>
      <w:r w:rsidR="002C44B4" w:rsidRPr="002C44B4">
        <w:t xml:space="preserve"> = 0.05 threshold. Red data points isolate the seven features with significant univariable prognostic value</w:t>
      </w:r>
      <w:r w:rsidR="0068182D">
        <w:t>.</w:t>
      </w:r>
    </w:p>
    <w:p w14:paraId="0CEC385E" w14:textId="77777777" w:rsidR="006D7B80" w:rsidRPr="006D7B80" w:rsidRDefault="006D7B80" w:rsidP="006D7B8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Table 1. Clinical univariable Cox screening results (selected variables only)"/>
      </w:tblPr>
      <w:tblGrid>
        <w:gridCol w:w="1502"/>
        <w:gridCol w:w="1502"/>
        <w:gridCol w:w="1503"/>
        <w:gridCol w:w="1503"/>
        <w:gridCol w:w="1503"/>
        <w:gridCol w:w="1503"/>
      </w:tblGrid>
      <w:tr w:rsidR="00706259" w:rsidRPr="00861B1F" w14:paraId="5287CBDF" w14:textId="77777777" w:rsidTr="00861B1F">
        <w:tc>
          <w:tcPr>
            <w:tcW w:w="1502" w:type="dxa"/>
            <w:tcBorders>
              <w:bottom w:val="single" w:sz="4" w:space="0" w:color="auto"/>
            </w:tcBorders>
          </w:tcPr>
          <w:p w14:paraId="6035C598" w14:textId="38ED9BCB" w:rsidR="00706259" w:rsidRPr="00861B1F" w:rsidRDefault="00706259" w:rsidP="003F394E">
            <w:pPr>
              <w:keepNext/>
              <w:spacing w:after="0"/>
              <w:rPr>
                <w:b/>
                <w:bCs/>
              </w:rPr>
            </w:pPr>
            <w:r w:rsidRPr="00861B1F">
              <w:rPr>
                <w:b/>
                <w:bCs/>
              </w:rPr>
              <w:t>Variable</w:t>
            </w:r>
          </w:p>
        </w:tc>
        <w:tc>
          <w:tcPr>
            <w:tcW w:w="1502" w:type="dxa"/>
            <w:tcBorders>
              <w:bottom w:val="single" w:sz="4" w:space="0" w:color="auto"/>
            </w:tcBorders>
          </w:tcPr>
          <w:p w14:paraId="09EA3C67" w14:textId="0D82B2F5" w:rsidR="00706259" w:rsidRPr="00861B1F" w:rsidRDefault="00706259" w:rsidP="003F394E">
            <w:pPr>
              <w:keepNext/>
              <w:spacing w:after="0"/>
              <w:rPr>
                <w:b/>
                <w:bCs/>
              </w:rPr>
            </w:pPr>
            <w:r w:rsidRPr="00861B1F">
              <w:rPr>
                <w:b/>
                <w:bCs/>
              </w:rPr>
              <w:t>Type</w:t>
            </w:r>
          </w:p>
        </w:tc>
        <w:tc>
          <w:tcPr>
            <w:tcW w:w="1503" w:type="dxa"/>
            <w:tcBorders>
              <w:bottom w:val="single" w:sz="4" w:space="0" w:color="auto"/>
            </w:tcBorders>
          </w:tcPr>
          <w:p w14:paraId="7A1BE945" w14:textId="6A181C0C" w:rsidR="00706259" w:rsidRPr="00861B1F" w:rsidRDefault="00706259" w:rsidP="003F394E">
            <w:pPr>
              <w:keepNext/>
              <w:spacing w:after="0"/>
              <w:jc w:val="center"/>
              <w:rPr>
                <w:b/>
                <w:bCs/>
              </w:rPr>
            </w:pPr>
            <w:r w:rsidRPr="00861B1F">
              <w:rPr>
                <w:b/>
                <w:bCs/>
              </w:rPr>
              <w:t>N</w:t>
            </w:r>
          </w:p>
        </w:tc>
        <w:tc>
          <w:tcPr>
            <w:tcW w:w="1503" w:type="dxa"/>
            <w:tcBorders>
              <w:bottom w:val="single" w:sz="4" w:space="0" w:color="auto"/>
            </w:tcBorders>
          </w:tcPr>
          <w:p w14:paraId="1BD10291" w14:textId="4FE7C7DB" w:rsidR="00706259" w:rsidRPr="00861B1F" w:rsidRDefault="00706259" w:rsidP="003F394E">
            <w:pPr>
              <w:keepNext/>
              <w:spacing w:after="0"/>
              <w:jc w:val="center"/>
              <w:rPr>
                <w:b/>
                <w:bCs/>
              </w:rPr>
            </w:pPr>
            <w:r w:rsidRPr="00861B1F">
              <w:rPr>
                <w:b/>
                <w:bCs/>
              </w:rPr>
              <w:t>Events</w:t>
            </w:r>
          </w:p>
        </w:tc>
        <w:tc>
          <w:tcPr>
            <w:tcW w:w="1503" w:type="dxa"/>
            <w:tcBorders>
              <w:bottom w:val="single" w:sz="4" w:space="0" w:color="auto"/>
            </w:tcBorders>
          </w:tcPr>
          <w:p w14:paraId="3C5C29F3" w14:textId="5809205D" w:rsidR="00706259" w:rsidRPr="00861B1F" w:rsidRDefault="00706259" w:rsidP="003F394E">
            <w:pPr>
              <w:keepNext/>
              <w:spacing w:after="0"/>
              <w:jc w:val="center"/>
              <w:rPr>
                <w:b/>
                <w:bCs/>
              </w:rPr>
            </w:pPr>
            <w:r w:rsidRPr="00861B1F">
              <w:rPr>
                <w:b/>
                <w:bCs/>
              </w:rPr>
              <w:t>p-value</w:t>
            </w:r>
          </w:p>
        </w:tc>
        <w:tc>
          <w:tcPr>
            <w:tcW w:w="1503" w:type="dxa"/>
            <w:tcBorders>
              <w:bottom w:val="single" w:sz="4" w:space="0" w:color="auto"/>
            </w:tcBorders>
          </w:tcPr>
          <w:p w14:paraId="36C22EBD" w14:textId="61FFD448" w:rsidR="00706259" w:rsidRPr="00861B1F" w:rsidRDefault="00706259" w:rsidP="003F394E">
            <w:pPr>
              <w:keepNext/>
              <w:spacing w:after="0"/>
              <w:jc w:val="center"/>
              <w:rPr>
                <w:b/>
                <w:bCs/>
              </w:rPr>
            </w:pPr>
            <w:r w:rsidRPr="00861B1F">
              <w:rPr>
                <w:b/>
                <w:bCs/>
              </w:rPr>
              <w:t>BH p-value</w:t>
            </w:r>
          </w:p>
        </w:tc>
      </w:tr>
      <w:tr w:rsidR="00706259" w14:paraId="417D4321" w14:textId="77777777" w:rsidTr="00861B1F">
        <w:tc>
          <w:tcPr>
            <w:tcW w:w="1502" w:type="dxa"/>
            <w:tcBorders>
              <w:top w:val="single" w:sz="4" w:space="0" w:color="auto"/>
            </w:tcBorders>
          </w:tcPr>
          <w:p w14:paraId="3EA5013B" w14:textId="3B16438C" w:rsidR="00706259" w:rsidRDefault="00861B1F" w:rsidP="003F394E">
            <w:pPr>
              <w:keepNext/>
              <w:spacing w:after="0"/>
            </w:pPr>
            <w:r>
              <w:t>s</w:t>
            </w:r>
            <w:r w:rsidR="00706259">
              <w:t>tage</w:t>
            </w:r>
          </w:p>
        </w:tc>
        <w:tc>
          <w:tcPr>
            <w:tcW w:w="1502" w:type="dxa"/>
            <w:tcBorders>
              <w:top w:val="single" w:sz="4" w:space="0" w:color="auto"/>
            </w:tcBorders>
          </w:tcPr>
          <w:p w14:paraId="5B2CF864" w14:textId="55B6DF04" w:rsidR="00706259" w:rsidRDefault="00706259" w:rsidP="003F394E">
            <w:pPr>
              <w:keepNext/>
              <w:spacing w:after="0"/>
            </w:pPr>
            <w:r>
              <w:t>factor</w:t>
            </w:r>
          </w:p>
        </w:tc>
        <w:tc>
          <w:tcPr>
            <w:tcW w:w="1503" w:type="dxa"/>
            <w:tcBorders>
              <w:top w:val="single" w:sz="4" w:space="0" w:color="auto"/>
            </w:tcBorders>
          </w:tcPr>
          <w:p w14:paraId="67420ADD" w14:textId="0A97902F" w:rsidR="00706259" w:rsidRDefault="00861B1F" w:rsidP="003F394E">
            <w:pPr>
              <w:keepNext/>
              <w:spacing w:after="0"/>
              <w:jc w:val="center"/>
            </w:pPr>
            <w:r>
              <w:t>512</w:t>
            </w:r>
          </w:p>
        </w:tc>
        <w:tc>
          <w:tcPr>
            <w:tcW w:w="1503" w:type="dxa"/>
            <w:tcBorders>
              <w:top w:val="single" w:sz="4" w:space="0" w:color="auto"/>
            </w:tcBorders>
          </w:tcPr>
          <w:p w14:paraId="6BA7A7C2" w14:textId="5BBAFCF3" w:rsidR="00706259" w:rsidRDefault="00861B1F" w:rsidP="003F394E">
            <w:pPr>
              <w:keepNext/>
              <w:spacing w:after="0"/>
              <w:jc w:val="center"/>
            </w:pPr>
            <w:r>
              <w:t>170</w:t>
            </w:r>
          </w:p>
        </w:tc>
        <w:tc>
          <w:tcPr>
            <w:tcW w:w="1503" w:type="dxa"/>
            <w:tcBorders>
              <w:top w:val="single" w:sz="4" w:space="0" w:color="auto"/>
            </w:tcBorders>
          </w:tcPr>
          <w:p w14:paraId="19DBB7C3" w14:textId="08EC7A1C" w:rsidR="00706259" w:rsidRDefault="00861B1F" w:rsidP="003F394E">
            <w:pPr>
              <w:keepNext/>
              <w:spacing w:after="0"/>
              <w:jc w:val="center"/>
            </w:pPr>
            <w:r w:rsidRPr="00150AFE">
              <w:t>1.12 × 10</w:t>
            </w:r>
            <w:r w:rsidRPr="00150AFE">
              <w:rPr>
                <w:rFonts w:ascii="Cambria Math" w:hAnsi="Cambria Math" w:cs="Cambria Math"/>
              </w:rPr>
              <w:t>⁻</w:t>
            </w:r>
            <w:r w:rsidRPr="00150AFE">
              <w:t>²¹</w:t>
            </w:r>
          </w:p>
        </w:tc>
        <w:tc>
          <w:tcPr>
            <w:tcW w:w="1503" w:type="dxa"/>
            <w:tcBorders>
              <w:top w:val="single" w:sz="4" w:space="0" w:color="auto"/>
            </w:tcBorders>
          </w:tcPr>
          <w:p w14:paraId="1D25781A" w14:textId="560806AF" w:rsidR="00706259" w:rsidRDefault="00861B1F" w:rsidP="003F394E">
            <w:pPr>
              <w:keepNext/>
              <w:spacing w:after="0"/>
              <w:jc w:val="center"/>
            </w:pPr>
            <w:r w:rsidRPr="00150AFE">
              <w:t>1.34 × 10</w:t>
            </w:r>
            <w:r w:rsidRPr="00150AFE">
              <w:rPr>
                <w:rFonts w:ascii="Cambria Math" w:hAnsi="Cambria Math" w:cs="Cambria Math"/>
              </w:rPr>
              <w:t>⁻</w:t>
            </w:r>
            <w:r w:rsidRPr="00150AFE">
              <w:t>²⁰</w:t>
            </w:r>
          </w:p>
        </w:tc>
      </w:tr>
      <w:tr w:rsidR="00706259" w14:paraId="4EC4C30B" w14:textId="77777777" w:rsidTr="00861B1F">
        <w:tc>
          <w:tcPr>
            <w:tcW w:w="1502" w:type="dxa"/>
          </w:tcPr>
          <w:p w14:paraId="7D851FFA" w14:textId="7A6029FE" w:rsidR="00706259" w:rsidRDefault="00861B1F" w:rsidP="003F394E">
            <w:pPr>
              <w:keepNext/>
              <w:spacing w:after="0"/>
            </w:pPr>
            <w:r>
              <w:t>g</w:t>
            </w:r>
            <w:r w:rsidR="00706259">
              <w:t>rade</w:t>
            </w:r>
          </w:p>
        </w:tc>
        <w:tc>
          <w:tcPr>
            <w:tcW w:w="1502" w:type="dxa"/>
          </w:tcPr>
          <w:p w14:paraId="7728B599" w14:textId="64F5D150" w:rsidR="00706259" w:rsidRDefault="00706259" w:rsidP="003F394E">
            <w:pPr>
              <w:keepNext/>
              <w:spacing w:after="0"/>
            </w:pPr>
            <w:r>
              <w:t>factor</w:t>
            </w:r>
          </w:p>
        </w:tc>
        <w:tc>
          <w:tcPr>
            <w:tcW w:w="1503" w:type="dxa"/>
          </w:tcPr>
          <w:p w14:paraId="6FCBB17B" w14:textId="19302B23" w:rsidR="00706259" w:rsidRDefault="00861B1F" w:rsidP="003F394E">
            <w:pPr>
              <w:keepNext/>
              <w:spacing w:after="0"/>
              <w:jc w:val="center"/>
            </w:pPr>
            <w:r>
              <w:t>504</w:t>
            </w:r>
          </w:p>
        </w:tc>
        <w:tc>
          <w:tcPr>
            <w:tcW w:w="1503" w:type="dxa"/>
          </w:tcPr>
          <w:p w14:paraId="7464A21C" w14:textId="4DAF8DA1" w:rsidR="00706259" w:rsidRDefault="00861B1F" w:rsidP="003F394E">
            <w:pPr>
              <w:keepNext/>
              <w:spacing w:after="0"/>
              <w:jc w:val="center"/>
            </w:pPr>
            <w:r>
              <w:t>169</w:t>
            </w:r>
          </w:p>
        </w:tc>
        <w:tc>
          <w:tcPr>
            <w:tcW w:w="1503" w:type="dxa"/>
          </w:tcPr>
          <w:p w14:paraId="53ABF1B3" w14:textId="0994B8D5" w:rsidR="00706259" w:rsidRDefault="00861B1F" w:rsidP="003F394E">
            <w:pPr>
              <w:keepNext/>
              <w:spacing w:after="0"/>
              <w:jc w:val="center"/>
            </w:pPr>
            <w:r w:rsidRPr="00150AFE">
              <w:t>4.32 × 10</w:t>
            </w:r>
            <w:r w:rsidRPr="00150AFE">
              <w:rPr>
                <w:rFonts w:ascii="Cambria Math" w:hAnsi="Cambria Math" w:cs="Cambria Math"/>
              </w:rPr>
              <w:t>⁻</w:t>
            </w:r>
            <w:r w:rsidRPr="00150AFE">
              <w:t>¹⁵</w:t>
            </w:r>
          </w:p>
        </w:tc>
        <w:tc>
          <w:tcPr>
            <w:tcW w:w="1503" w:type="dxa"/>
          </w:tcPr>
          <w:p w14:paraId="06643EAA" w14:textId="16DC0E9A" w:rsidR="00706259" w:rsidRDefault="00861B1F" w:rsidP="003F394E">
            <w:pPr>
              <w:keepNext/>
              <w:spacing w:after="0"/>
              <w:jc w:val="center"/>
            </w:pPr>
            <w:r w:rsidRPr="00150AFE">
              <w:t>1.73 × 10</w:t>
            </w:r>
            <w:r w:rsidRPr="00150AFE">
              <w:rPr>
                <w:rFonts w:ascii="Cambria Math" w:hAnsi="Cambria Math" w:cs="Cambria Math"/>
              </w:rPr>
              <w:t>⁻</w:t>
            </w:r>
            <w:r w:rsidRPr="00150AFE">
              <w:t>¹⁴</w:t>
            </w:r>
          </w:p>
        </w:tc>
      </w:tr>
      <w:tr w:rsidR="00706259" w14:paraId="1B4DEC1B" w14:textId="77777777" w:rsidTr="00861B1F">
        <w:tc>
          <w:tcPr>
            <w:tcW w:w="1502" w:type="dxa"/>
          </w:tcPr>
          <w:p w14:paraId="6D7B5B2E" w14:textId="1BFB9339" w:rsidR="00706259" w:rsidRDefault="00861B1F" w:rsidP="003F394E">
            <w:pPr>
              <w:keepNext/>
              <w:spacing w:after="0"/>
            </w:pPr>
            <w:proofErr w:type="spellStart"/>
            <w:r w:rsidRPr="00150AFE">
              <w:t>tbl_score</w:t>
            </w:r>
            <w:proofErr w:type="spellEnd"/>
          </w:p>
        </w:tc>
        <w:tc>
          <w:tcPr>
            <w:tcW w:w="1502" w:type="dxa"/>
          </w:tcPr>
          <w:p w14:paraId="3065D9EA" w14:textId="41AB6594" w:rsidR="00706259" w:rsidRDefault="00861B1F" w:rsidP="003F394E">
            <w:pPr>
              <w:keepNext/>
              <w:spacing w:after="0"/>
            </w:pPr>
            <w:r>
              <w:t>numeric</w:t>
            </w:r>
          </w:p>
        </w:tc>
        <w:tc>
          <w:tcPr>
            <w:tcW w:w="1503" w:type="dxa"/>
          </w:tcPr>
          <w:p w14:paraId="4E65B68E" w14:textId="6380D913" w:rsidR="00706259" w:rsidRDefault="00861B1F" w:rsidP="003F394E">
            <w:pPr>
              <w:keepNext/>
              <w:spacing w:after="0"/>
              <w:jc w:val="center"/>
            </w:pPr>
            <w:r>
              <w:t>512</w:t>
            </w:r>
          </w:p>
        </w:tc>
        <w:tc>
          <w:tcPr>
            <w:tcW w:w="1503" w:type="dxa"/>
          </w:tcPr>
          <w:p w14:paraId="2F19498B" w14:textId="59275A3A" w:rsidR="00706259" w:rsidRDefault="00861B1F" w:rsidP="003F394E">
            <w:pPr>
              <w:keepNext/>
              <w:spacing w:after="0"/>
              <w:jc w:val="center"/>
            </w:pPr>
            <w:r>
              <w:t>170</w:t>
            </w:r>
          </w:p>
        </w:tc>
        <w:tc>
          <w:tcPr>
            <w:tcW w:w="1503" w:type="dxa"/>
          </w:tcPr>
          <w:p w14:paraId="782718CF" w14:textId="51002CA7" w:rsidR="00706259" w:rsidRDefault="00861B1F" w:rsidP="003F394E">
            <w:pPr>
              <w:keepNext/>
              <w:spacing w:after="0"/>
              <w:jc w:val="center"/>
            </w:pPr>
            <w:r w:rsidRPr="00150AFE">
              <w:t>1.54 × 10</w:t>
            </w:r>
            <w:r w:rsidRPr="00150AFE">
              <w:rPr>
                <w:rFonts w:ascii="Cambria Math" w:hAnsi="Cambria Math" w:cs="Cambria Math"/>
              </w:rPr>
              <w:t>⁻</w:t>
            </w:r>
            <w:r w:rsidRPr="00150AFE">
              <w:t>⁶</w:t>
            </w:r>
          </w:p>
        </w:tc>
        <w:tc>
          <w:tcPr>
            <w:tcW w:w="1503" w:type="dxa"/>
          </w:tcPr>
          <w:p w14:paraId="0EEFA9B3" w14:textId="0EBDE74D" w:rsidR="00706259" w:rsidRDefault="00861B1F" w:rsidP="003F394E">
            <w:pPr>
              <w:keepNext/>
              <w:spacing w:after="0"/>
              <w:jc w:val="center"/>
            </w:pPr>
            <w:r w:rsidRPr="00150AFE">
              <w:t>3.70 × 10</w:t>
            </w:r>
            <w:r w:rsidRPr="00150AFE">
              <w:rPr>
                <w:rFonts w:ascii="Cambria Math" w:hAnsi="Cambria Math" w:cs="Cambria Math"/>
              </w:rPr>
              <w:t>⁻</w:t>
            </w:r>
            <w:r w:rsidRPr="00150AFE">
              <w:t>⁶</w:t>
            </w:r>
          </w:p>
        </w:tc>
      </w:tr>
      <w:tr w:rsidR="00706259" w14:paraId="67269C9D" w14:textId="77777777" w:rsidTr="00861B1F">
        <w:tc>
          <w:tcPr>
            <w:tcW w:w="1502" w:type="dxa"/>
          </w:tcPr>
          <w:p w14:paraId="17678481" w14:textId="5843EA1D" w:rsidR="00706259" w:rsidRDefault="00861B1F" w:rsidP="003F394E">
            <w:pPr>
              <w:keepNext/>
              <w:spacing w:after="0"/>
            </w:pPr>
            <w:r>
              <w:t>age</w:t>
            </w:r>
          </w:p>
        </w:tc>
        <w:tc>
          <w:tcPr>
            <w:tcW w:w="1502" w:type="dxa"/>
          </w:tcPr>
          <w:p w14:paraId="79530148" w14:textId="3390F2DF" w:rsidR="00706259" w:rsidRDefault="00481902" w:rsidP="003F394E">
            <w:pPr>
              <w:keepNext/>
              <w:spacing w:after="0"/>
            </w:pPr>
            <w:r>
              <w:t>n</w:t>
            </w:r>
            <w:r w:rsidR="00861B1F">
              <w:t>umeric</w:t>
            </w:r>
          </w:p>
        </w:tc>
        <w:tc>
          <w:tcPr>
            <w:tcW w:w="1503" w:type="dxa"/>
          </w:tcPr>
          <w:p w14:paraId="00651EBF" w14:textId="56359BB5" w:rsidR="00706259" w:rsidRDefault="00861B1F" w:rsidP="003F394E">
            <w:pPr>
              <w:keepNext/>
              <w:spacing w:after="0"/>
              <w:jc w:val="center"/>
            </w:pPr>
            <w:r>
              <w:t>512</w:t>
            </w:r>
          </w:p>
        </w:tc>
        <w:tc>
          <w:tcPr>
            <w:tcW w:w="1503" w:type="dxa"/>
          </w:tcPr>
          <w:p w14:paraId="425934F7" w14:textId="51BD07A4" w:rsidR="00706259" w:rsidRDefault="00861B1F" w:rsidP="003F394E">
            <w:pPr>
              <w:keepNext/>
              <w:spacing w:after="0"/>
              <w:jc w:val="center"/>
            </w:pPr>
            <w:r>
              <w:t>170</w:t>
            </w:r>
          </w:p>
        </w:tc>
        <w:tc>
          <w:tcPr>
            <w:tcW w:w="1503" w:type="dxa"/>
          </w:tcPr>
          <w:p w14:paraId="7351CEAE" w14:textId="265F2647" w:rsidR="00706259" w:rsidRDefault="00861B1F" w:rsidP="003F394E">
            <w:pPr>
              <w:keepNext/>
              <w:spacing w:after="0"/>
              <w:jc w:val="center"/>
            </w:pPr>
            <w:r w:rsidRPr="00150AFE">
              <w:t>3.98 × 10</w:t>
            </w:r>
            <w:r w:rsidRPr="00150AFE">
              <w:rPr>
                <w:rFonts w:ascii="Cambria Math" w:hAnsi="Cambria Math" w:cs="Cambria Math"/>
              </w:rPr>
              <w:t>⁻</w:t>
            </w:r>
            <w:r w:rsidRPr="00150AFE">
              <w:t>⁶</w:t>
            </w:r>
          </w:p>
        </w:tc>
        <w:tc>
          <w:tcPr>
            <w:tcW w:w="1503" w:type="dxa"/>
          </w:tcPr>
          <w:p w14:paraId="2472E778" w14:textId="2B4C3934" w:rsidR="00706259" w:rsidRDefault="00861B1F" w:rsidP="003F394E">
            <w:pPr>
              <w:keepNext/>
              <w:spacing w:after="0"/>
              <w:jc w:val="center"/>
            </w:pPr>
            <w:r w:rsidRPr="00150AFE">
              <w:t>7.97 × 10</w:t>
            </w:r>
            <w:r w:rsidRPr="00150AFE">
              <w:rPr>
                <w:rFonts w:ascii="Cambria Math" w:hAnsi="Cambria Math" w:cs="Cambria Math"/>
              </w:rPr>
              <w:t>⁻</w:t>
            </w:r>
            <w:r w:rsidRPr="00150AFE">
              <w:t>⁶</w:t>
            </w:r>
          </w:p>
        </w:tc>
      </w:tr>
    </w:tbl>
    <w:p w14:paraId="52D5BCF1" w14:textId="789C7C3E" w:rsidR="008A35C5" w:rsidRPr="008A35C5" w:rsidRDefault="00861B1F" w:rsidP="008176B8">
      <w:pPr>
        <w:pStyle w:val="Caption"/>
      </w:pPr>
      <w:r w:rsidRPr="008A35C5">
        <w:rPr>
          <w:b/>
          <w:bCs/>
        </w:rPr>
        <w:t xml:space="preserve">Table </w:t>
      </w:r>
      <w:r w:rsidRPr="008A35C5">
        <w:rPr>
          <w:b/>
          <w:bCs/>
        </w:rPr>
        <w:fldChar w:fldCharType="begin"/>
      </w:r>
      <w:r w:rsidRPr="008A35C5">
        <w:rPr>
          <w:b/>
          <w:bCs/>
        </w:rPr>
        <w:instrText xml:space="preserve"> SEQ Table \* ARABIC </w:instrText>
      </w:r>
      <w:r w:rsidRPr="008A35C5">
        <w:rPr>
          <w:b/>
          <w:bCs/>
        </w:rPr>
        <w:fldChar w:fldCharType="separate"/>
      </w:r>
      <w:r w:rsidR="00417F53" w:rsidRPr="008A35C5">
        <w:rPr>
          <w:b/>
          <w:bCs/>
          <w:noProof/>
        </w:rPr>
        <w:t>1</w:t>
      </w:r>
      <w:r w:rsidRPr="008A35C5">
        <w:rPr>
          <w:b/>
          <w:bCs/>
        </w:rPr>
        <w:fldChar w:fldCharType="end"/>
      </w:r>
      <w:r w:rsidRPr="008A35C5">
        <w:rPr>
          <w:b/>
          <w:bCs/>
        </w:rPr>
        <w:t xml:space="preserve">. </w:t>
      </w:r>
      <w:r w:rsidR="002C44B4" w:rsidRPr="002C44B4">
        <w:rPr>
          <w:b/>
          <w:bCs/>
        </w:rPr>
        <w:t>Univariable Cox screening of baseline clinical features</w:t>
      </w:r>
      <w:r w:rsidR="008A35C5" w:rsidRPr="008A35C5">
        <w:rPr>
          <w:b/>
          <w:bCs/>
        </w:rPr>
        <w:t>.</w:t>
      </w:r>
      <w:r w:rsidR="008A35C5">
        <w:rPr>
          <w:b/>
          <w:bCs/>
        </w:rPr>
        <w:br/>
      </w:r>
      <w:r w:rsidR="002C44B4">
        <w:t>S</w:t>
      </w:r>
      <w:r w:rsidR="002C44B4" w:rsidRPr="002C44B4">
        <w:t xml:space="preserve">ummary of sample counts (N), primary death events, </w:t>
      </w:r>
      <w:r w:rsidR="00D607C0" w:rsidRPr="00D607C0">
        <w:t>unadjusted likelihood ratio test p-values</w:t>
      </w:r>
      <w:r w:rsidR="002C44B4" w:rsidRPr="002C44B4">
        <w:t>, and Benjamini-Hochberg (BH) adjusted p-values for the four selected features carried forward into downstream multi-omics modelling.</w:t>
      </w:r>
      <w:r w:rsidR="008A35C5" w:rsidRPr="008A35C5">
        <w:t xml:space="preserve"> </w:t>
      </w:r>
    </w:p>
    <w:p w14:paraId="4AAECB50" w14:textId="3C695254" w:rsidR="00B82FDC" w:rsidRDefault="00B82FDC" w:rsidP="00B82FDC">
      <w:r w:rsidRPr="00150AFE">
        <w:t xml:space="preserve">The four selected </w:t>
      </w:r>
      <w:r w:rsidR="00C416FC">
        <w:t xml:space="preserve">clinical </w:t>
      </w:r>
      <w:r w:rsidRPr="00150AFE">
        <w:t xml:space="preserve">features - stage, grade, </w:t>
      </w:r>
      <w:r w:rsidR="0066351B">
        <w:t>TBL</w:t>
      </w:r>
      <w:r w:rsidRPr="00150AFE">
        <w:t xml:space="preserve"> score, and age - were carried forward as the clinical baseline for all downstream modelling. </w:t>
      </w:r>
      <w:r w:rsidR="00C416FC" w:rsidRPr="00C416FC">
        <w:t>The multivariable clinical model achieved a C-index of 0.783 (N=450)</w:t>
      </w:r>
      <w:r w:rsidR="00C416FC">
        <w:t xml:space="preserve">, </w:t>
      </w:r>
      <w:r w:rsidRPr="00150AFE">
        <w:t>confirming strong baseline discriminatory performance driven primarily by stage (Stage IV vs Stage I: HR = 4.98, 95% CI 3.15–7.89, p = 7.80 × 10</w:t>
      </w:r>
      <w:r w:rsidRPr="00150AFE">
        <w:rPr>
          <w:rFonts w:ascii="Cambria Math" w:hAnsi="Cambria Math" w:cs="Cambria Math"/>
        </w:rPr>
        <w:t>⁻</w:t>
      </w:r>
      <w:r w:rsidRPr="00150AFE">
        <w:t xml:space="preserve">¹²) and </w:t>
      </w:r>
      <w:r w:rsidR="0066351B">
        <w:t xml:space="preserve">TBL </w:t>
      </w:r>
      <w:r w:rsidRPr="00150AFE">
        <w:lastRenderedPageBreak/>
        <w:t>score (HR = 1.01 per unit, p = 4.30 × 10</w:t>
      </w:r>
      <w:r w:rsidRPr="00150AFE">
        <w:rPr>
          <w:rFonts w:ascii="Cambria Math" w:hAnsi="Cambria Math" w:cs="Cambria Math"/>
        </w:rPr>
        <w:t>⁻</w:t>
      </w:r>
      <w:r w:rsidRPr="00150AFE">
        <w:t>⁷). Kaplan-Meier curves for all four selected clinical variables are presented in Figures 3–6.</w:t>
      </w:r>
    </w:p>
    <w:p w14:paraId="1B2ECE4A" w14:textId="77777777" w:rsidR="00A94471" w:rsidRDefault="00A94471" w:rsidP="00B82FDC"/>
    <w:p w14:paraId="73830C03" w14:textId="77777777" w:rsidR="003F394E" w:rsidRDefault="003F394E" w:rsidP="003F394E">
      <w:pPr>
        <w:keepNext/>
        <w:jc w:val="center"/>
      </w:pPr>
      <w:r>
        <w:rPr>
          <w:noProof/>
        </w:rPr>
        <w:drawing>
          <wp:inline distT="0" distB="0" distL="0" distR="0" wp14:anchorId="2603FE57" wp14:editId="3703D010">
            <wp:extent cx="4320000" cy="3358800"/>
            <wp:effectExtent l="0" t="0" r="4445" b="0"/>
            <wp:docPr id="556079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64DE5333" w14:textId="1F172F9E" w:rsidR="00A94471" w:rsidRDefault="003F394E" w:rsidP="00A94471">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3</w:t>
      </w:r>
      <w:r w:rsidRPr="008A35C5">
        <w:rPr>
          <w:b/>
          <w:bCs/>
        </w:rPr>
        <w:fldChar w:fldCharType="end"/>
      </w:r>
      <w:r w:rsidRPr="008A35C5">
        <w:rPr>
          <w:b/>
          <w:bCs/>
        </w:rPr>
        <w:t xml:space="preserve">. </w:t>
      </w:r>
      <w:r w:rsidR="002C44B4">
        <w:rPr>
          <w:b/>
          <w:bCs/>
        </w:rPr>
        <w:t>O</w:t>
      </w:r>
      <w:r w:rsidR="0068182D" w:rsidRPr="008A35C5">
        <w:rPr>
          <w:b/>
          <w:bCs/>
        </w:rPr>
        <w:t>verall survival stratified by AJCC pathological stage.</w:t>
      </w:r>
      <w:r w:rsidR="0068182D">
        <w:br/>
      </w:r>
      <w:r w:rsidR="00A94471" w:rsidRPr="00A94471">
        <w:t>Kaplan–Meier estimations for Stage I (n = 214), Stage II (n = 44), Stage III (n = 112), and Stage IV (n = 80) cohorts. Inter-group survival differences are highly significant via log-rank test (p &lt; 0.0001).</w:t>
      </w:r>
    </w:p>
    <w:p w14:paraId="68F69B30" w14:textId="71C670B2" w:rsidR="003F394E" w:rsidRDefault="003F394E" w:rsidP="002C44B4">
      <w:pPr>
        <w:pStyle w:val="Caption"/>
        <w:keepNext/>
      </w:pPr>
      <w:r>
        <w:rPr>
          <w:noProof/>
        </w:rPr>
        <w:lastRenderedPageBreak/>
        <w:drawing>
          <wp:inline distT="0" distB="0" distL="0" distR="0" wp14:anchorId="0EE58B65" wp14:editId="459317C6">
            <wp:extent cx="4320000" cy="3358800"/>
            <wp:effectExtent l="0" t="0" r="4445" b="0"/>
            <wp:docPr id="5042731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69C63D7D" w14:textId="69A68A4F" w:rsidR="008A35C5" w:rsidRPr="008A35C5" w:rsidRDefault="003F394E"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4</w:t>
      </w:r>
      <w:r w:rsidRPr="008A35C5">
        <w:rPr>
          <w:b/>
          <w:bCs/>
        </w:rPr>
        <w:fldChar w:fldCharType="end"/>
      </w:r>
      <w:r w:rsidRPr="008A35C5">
        <w:rPr>
          <w:b/>
          <w:bCs/>
        </w:rPr>
        <w:t xml:space="preserve">. </w:t>
      </w:r>
      <w:r w:rsidR="002C44B4">
        <w:rPr>
          <w:b/>
          <w:bCs/>
        </w:rPr>
        <w:t>O</w:t>
      </w:r>
      <w:r w:rsidR="008A35C5" w:rsidRPr="008A35C5">
        <w:rPr>
          <w:b/>
          <w:bCs/>
        </w:rPr>
        <w:t>verall survival stratified by histological nuclear grade.</w:t>
      </w:r>
      <w:r w:rsidR="008A35C5">
        <w:rPr>
          <w:b/>
          <w:bCs/>
        </w:rPr>
        <w:br/>
      </w:r>
      <w:r w:rsidR="00A94471" w:rsidRPr="00A94471">
        <w:t xml:space="preserve">Cohort stratified by low-grade reference baseline </w:t>
      </w:r>
      <w:r w:rsidR="008A35C5" w:rsidRPr="008A35C5">
        <w:t>(G1/G2, n = 195) alongside high-grade cohorts G3 (n = 182) and G4 (n = 73). Inter-group survival differences are validated via log-rank test (p &lt; 0.0001).</w:t>
      </w:r>
    </w:p>
    <w:p w14:paraId="0262D6AF" w14:textId="77777777" w:rsidR="003F394E" w:rsidRDefault="003F394E" w:rsidP="003F394E">
      <w:pPr>
        <w:keepNext/>
        <w:jc w:val="center"/>
      </w:pPr>
      <w:r>
        <w:rPr>
          <w:noProof/>
        </w:rPr>
        <w:drawing>
          <wp:inline distT="0" distB="0" distL="0" distR="0" wp14:anchorId="767B81B1" wp14:editId="59524E4F">
            <wp:extent cx="4320000" cy="3358800"/>
            <wp:effectExtent l="0" t="0" r="4445" b="0"/>
            <wp:docPr id="8781152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2F906A4B" w14:textId="63C39319" w:rsidR="008A35C5" w:rsidRPr="008A35C5" w:rsidRDefault="003F394E"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5</w:t>
      </w:r>
      <w:r w:rsidRPr="008A35C5">
        <w:rPr>
          <w:b/>
          <w:bCs/>
        </w:rPr>
        <w:fldChar w:fldCharType="end"/>
      </w:r>
      <w:r w:rsidRPr="008A35C5">
        <w:rPr>
          <w:b/>
          <w:bCs/>
        </w:rPr>
        <w:t xml:space="preserve">. </w:t>
      </w:r>
      <w:r w:rsidR="0066351B" w:rsidRPr="0066351B">
        <w:rPr>
          <w:b/>
          <w:bCs/>
        </w:rPr>
        <w:t>Overall survival by tumour break load score (median split)</w:t>
      </w:r>
      <w:r w:rsidR="008A35C5" w:rsidRPr="008A35C5">
        <w:rPr>
          <w:b/>
          <w:bCs/>
        </w:rPr>
        <w:t>.</w:t>
      </w:r>
      <w:r w:rsidR="008A35C5">
        <w:rPr>
          <w:b/>
          <w:bCs/>
        </w:rPr>
        <w:br/>
      </w:r>
      <w:r w:rsidR="0066351B" w:rsidRPr="0066351B">
        <w:t>Kaplan–Meier estimations for Low (&lt;11 units, n = 216) and High (≥11 units, n = 234) genomic structural alteration cohorts. Inter-group survival divergence is statistically significant (log-rank p = 0.0073).</w:t>
      </w:r>
    </w:p>
    <w:p w14:paraId="306FFC7D" w14:textId="77777777" w:rsidR="003F394E" w:rsidRDefault="003F394E" w:rsidP="003F394E">
      <w:pPr>
        <w:keepNext/>
        <w:jc w:val="center"/>
      </w:pPr>
      <w:r>
        <w:rPr>
          <w:noProof/>
        </w:rPr>
        <w:lastRenderedPageBreak/>
        <w:drawing>
          <wp:inline distT="0" distB="0" distL="0" distR="0" wp14:anchorId="07DE056B" wp14:editId="7D51E191">
            <wp:extent cx="4320000" cy="3358800"/>
            <wp:effectExtent l="0" t="0" r="4445" b="0"/>
            <wp:docPr id="1459928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074A9D08" w14:textId="2A1F58AD" w:rsidR="003F394E" w:rsidRPr="003F394E" w:rsidRDefault="003F394E" w:rsidP="003F394E">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6</w:t>
      </w:r>
      <w:r w:rsidRPr="008A35C5">
        <w:rPr>
          <w:b/>
          <w:bCs/>
        </w:rPr>
        <w:fldChar w:fldCharType="end"/>
      </w:r>
      <w:r w:rsidRPr="008A35C5">
        <w:rPr>
          <w:b/>
          <w:bCs/>
        </w:rPr>
        <w:t xml:space="preserve">. </w:t>
      </w:r>
      <w:r w:rsidR="002C44B4" w:rsidRPr="002C44B4">
        <w:rPr>
          <w:b/>
          <w:bCs/>
        </w:rPr>
        <w:t>Overall survival by age at initial diagnosis (median split)</w:t>
      </w:r>
      <w:r w:rsidR="008A35C5" w:rsidRPr="008A35C5">
        <w:rPr>
          <w:b/>
          <w:bCs/>
        </w:rPr>
        <w:t>.</w:t>
      </w:r>
      <w:r w:rsidR="008A35C5">
        <w:br/>
      </w:r>
      <w:r w:rsidR="002C44B4" w:rsidRPr="002C44B4">
        <w:t>Kaplan–Meier estimations for Younger (&lt;60 years, n = 210) and Older (≥60 years, n = 240) patient cohorts. Inter-group survival divergence is highly significant (log-rank p &lt; 0.0001).</w:t>
      </w:r>
    </w:p>
    <w:p w14:paraId="77041665" w14:textId="13D5DE00" w:rsidR="00B82FDC" w:rsidRPr="00150AFE" w:rsidRDefault="00B82FDC" w:rsidP="00B82FDC">
      <w:r w:rsidRPr="00150AFE">
        <w:t xml:space="preserve">The proportional hazards assumption was assessed using Schoenfeld residuals. Stage showed evidence of non-proportionality (χ² = 15.19, </w:t>
      </w:r>
      <w:proofErr w:type="spellStart"/>
      <w:r w:rsidRPr="00150AFE">
        <w:t>df</w:t>
      </w:r>
      <w:proofErr w:type="spellEnd"/>
      <w:r w:rsidRPr="00150AFE">
        <w:t xml:space="preserve"> = 3, p = 0.0017), consistent with the published literature describing time-varying stage effects in solid tumours whereby the survival advantage of lower-stage disease attenuates as late relapses and competing risks accumulate</w:t>
      </w:r>
      <w:r w:rsidR="00D27C42">
        <w:fldChar w:fldCharType="begin"/>
      </w:r>
      <w:r w:rsidR="00BD6E8D">
        <w:instrText xml:space="preserve"> ADDIN ZOTERO_ITEM CSL_CITATION {"citationID":"n5p1oRNe","properties":{"unsorted":false,"formattedCitation":"\\super 10\\nosupersub{}","plainCitation":"10","noteIndex":0},"citationItems":[{"id":3813,"uris":["http://zotero.org/users/17607594/items/E4GFQV6L"],"itemData":{"id":3813,"type":"article-journal","abstract":"BACKGROUND: A prognostic model should not enter clinical practice unless it has been demonstrated that it performs a useful role. External validation denotes evaluation of model performance in a sample independent of that used to develop the model. Unlike for logistic regression models, external validation of Cox models is sparsely treated in the literature. Successful validation of a model means achieving satisfactory discrimination and calibration (prediction accuracy) in the validation sample. Validating Cox models is not straightforward because event probabilities are estimated relative to an unspecified baseline function.\nMETHODS: We describe statistical approaches to external validation of a published Cox model according to the level of published information, specifically (1) the prognostic index only, (2) the prognostic index together with Kaplan-Meier curves for risk groups, and (3) the first two plus the baseline survival curve (the estimated survival function at the mean prognostic index across the sample). The most challenging task, requiring level 3 information, is assessing calibration, for which we suggest a method of approximating the baseline survival function.\nRESULTS: We apply the methods to two comparable datasets in primary breast cancer, treating one as derivation and the other as validation sample. Results are presented for discrimination and calibration. We demonstrate plots of survival probabilities that can assist model evaluation.\nCONCLUSIONS: Our validation methods are applicable to a wide range of prognostic studies and provide researchers with a toolkit for external validation of a published Cox model.","citation-key":"roystonExternalValidationCox2013","container-title":"BMC Medical Research Methodology","DOI":"10.1186/1471-2288-13-33","ISSN":"1471-2288","issue":"1","journalAbbreviation":"BMC Med Res Methodol","language":"eng","page":"33","PMID":"23496923","PMCID":"PMC3667097","source":"PubMed","title":"External validation of a Cox prognostic model: principles and methods","title-short":"External validation of a Cox prognostic model","URL":"https://doi.org/10.1186/1471-2288-13-33","volume":"13","author":[{"family":"Royston","given":"Patrick"},{"family":"Altman","given":"Douglas G."}],"issued":{"date-parts":[["2013",3,6]]}}}],"schema":"https://github.com/citation-style-language/schema/raw/master/csl-citation.json"} </w:instrText>
      </w:r>
      <w:r w:rsidR="00D27C42">
        <w:fldChar w:fldCharType="separate"/>
      </w:r>
      <w:r w:rsidR="00BD6E8D" w:rsidRPr="00BD6E8D">
        <w:rPr>
          <w:vertAlign w:val="superscript"/>
        </w:rPr>
        <w:t>10</w:t>
      </w:r>
      <w:r w:rsidR="00D27C42">
        <w:fldChar w:fldCharType="end"/>
      </w:r>
      <w:r w:rsidRPr="00150AFE">
        <w:t>. Tumour break load score also showed borderline non-proportionality (p = 0.049). These violations are acknowledged as limitations of the Cox model framework applied here; time-varying coefficient models were considered beyond the scope of this analysis.</w:t>
      </w:r>
    </w:p>
    <w:p w14:paraId="017987DB" w14:textId="3DCAC52C" w:rsidR="00B82FDC" w:rsidRPr="00150AFE" w:rsidRDefault="00B82FDC" w:rsidP="00D27C42">
      <w:pPr>
        <w:pStyle w:val="Heading3"/>
      </w:pPr>
      <w:r w:rsidRPr="00150AFE">
        <w:t>2.</w:t>
      </w:r>
      <w:r w:rsidR="00C416FC">
        <w:t>2</w:t>
      </w:r>
      <w:r w:rsidRPr="00150AFE">
        <w:t xml:space="preserve"> RPPA Proteomics Feature Selection</w:t>
      </w:r>
    </w:p>
    <w:p w14:paraId="57E12A21" w14:textId="36BF871C" w:rsidR="00B82FDC" w:rsidRPr="00150AFE" w:rsidRDefault="00B82FDC" w:rsidP="00B82FDC">
      <w:r w:rsidRPr="00150AFE">
        <w:t>The RPPA dataset comprised 198 protein features across 455 samples with 3.5% missing values. All 198 features were evaluated by univariable Cox regression, yielding 195 features with sufficient complete cases and variance for screening. The top univariable proteomic predictors included CDKN1A/p21 (</w:t>
      </w:r>
      <w:proofErr w:type="spellStart"/>
      <w:r w:rsidR="0068182D" w:rsidRPr="00150AFE">
        <w:t>p</w:t>
      </w:r>
      <w:r w:rsidR="0068182D" w:rsidRPr="0068182D">
        <w:rPr>
          <w:vertAlign w:val="subscript"/>
        </w:rPr>
        <w:t>adj</w:t>
      </w:r>
      <w:proofErr w:type="spellEnd"/>
      <w:r w:rsidR="0068182D" w:rsidRPr="00150AFE">
        <w:t xml:space="preserve"> </w:t>
      </w:r>
      <w:r w:rsidRPr="00150AFE">
        <w:t>= 3.26 × 10</w:t>
      </w:r>
      <w:r w:rsidRPr="00150AFE">
        <w:rPr>
          <w:rFonts w:ascii="Cambria Math" w:hAnsi="Cambria Math" w:cs="Cambria Math"/>
        </w:rPr>
        <w:t>⁻</w:t>
      </w:r>
      <w:r w:rsidRPr="00150AFE">
        <w:t>⁸), GAB2 (</w:t>
      </w:r>
      <w:proofErr w:type="spellStart"/>
      <w:r w:rsidR="0068182D" w:rsidRPr="00150AFE">
        <w:t>p</w:t>
      </w:r>
      <w:r w:rsidR="0068182D" w:rsidRPr="0068182D">
        <w:rPr>
          <w:vertAlign w:val="subscript"/>
        </w:rPr>
        <w:t>adj</w:t>
      </w:r>
      <w:proofErr w:type="spellEnd"/>
      <w:r w:rsidR="0068182D" w:rsidRPr="00150AFE">
        <w:t xml:space="preserve"> </w:t>
      </w:r>
      <w:r w:rsidRPr="00150AFE">
        <w:t>= 3.26 × 10</w:t>
      </w:r>
      <w:r w:rsidRPr="00150AFE">
        <w:rPr>
          <w:rFonts w:ascii="Cambria Math" w:hAnsi="Cambria Math" w:cs="Cambria Math"/>
        </w:rPr>
        <w:t>⁻</w:t>
      </w:r>
      <w:r w:rsidRPr="00150AFE">
        <w:t>⁸), SERPINE1/PAI-1 (</w:t>
      </w:r>
      <w:proofErr w:type="spellStart"/>
      <w:r w:rsidR="0068182D" w:rsidRPr="00150AFE">
        <w:t>p</w:t>
      </w:r>
      <w:r w:rsidR="0068182D" w:rsidRPr="0068182D">
        <w:rPr>
          <w:vertAlign w:val="subscript"/>
        </w:rPr>
        <w:t>adj</w:t>
      </w:r>
      <w:proofErr w:type="spellEnd"/>
      <w:r w:rsidR="0068182D" w:rsidRPr="00150AFE">
        <w:t xml:space="preserve"> </w:t>
      </w:r>
      <w:r w:rsidRPr="00150AFE">
        <w:t>= 3.26 × 10</w:t>
      </w:r>
      <w:r w:rsidRPr="00150AFE">
        <w:rPr>
          <w:rFonts w:ascii="Cambria Math" w:hAnsi="Cambria Math" w:cs="Cambria Math"/>
        </w:rPr>
        <w:t>⁻</w:t>
      </w:r>
      <w:r w:rsidRPr="00150AFE">
        <w:t>⁸), and phosphorylated MAPK/ERK (</w:t>
      </w:r>
      <w:proofErr w:type="spellStart"/>
      <w:r w:rsidR="0068182D" w:rsidRPr="00150AFE">
        <w:t>p</w:t>
      </w:r>
      <w:r w:rsidR="0068182D" w:rsidRPr="0068182D">
        <w:rPr>
          <w:vertAlign w:val="subscript"/>
        </w:rPr>
        <w:t>adj</w:t>
      </w:r>
      <w:proofErr w:type="spellEnd"/>
      <w:r w:rsidR="0068182D" w:rsidRPr="00150AFE">
        <w:t xml:space="preserve"> </w:t>
      </w:r>
      <w:r w:rsidRPr="00150AFE">
        <w:t>= 1.53 × 10</w:t>
      </w:r>
      <w:r w:rsidRPr="00150AFE">
        <w:rPr>
          <w:rFonts w:ascii="Cambria Math" w:hAnsi="Cambria Math" w:cs="Cambria Math"/>
        </w:rPr>
        <w:t>⁻</w:t>
      </w:r>
      <w:r w:rsidRPr="00150AFE">
        <w:t xml:space="preserve">⁷), all of which are components of the EGFR/MAPK/ERK and PI3K/AKT signalling axes relevant to the kinase biology of </w:t>
      </w:r>
      <w:proofErr w:type="spellStart"/>
      <w:r w:rsidRPr="00150AFE">
        <w:t>ccRCC</w:t>
      </w:r>
      <w:proofErr w:type="spellEnd"/>
      <w:r w:rsidRPr="00150AFE">
        <w:t>.</w:t>
      </w:r>
    </w:p>
    <w:p w14:paraId="48D66F73" w14:textId="26FB0FF0" w:rsidR="00B82FDC" w:rsidRPr="00150AFE" w:rsidRDefault="00B82FDC" w:rsidP="003F394E">
      <w:pPr>
        <w:spacing w:after="120"/>
      </w:pPr>
      <w:r w:rsidRPr="00150AFE">
        <w:lastRenderedPageBreak/>
        <w:t xml:space="preserve">To select a sparse protein feature set for multivariable modelling, a cross-validated </w:t>
      </w:r>
      <w:r w:rsidRPr="000972D6">
        <w:rPr>
          <w:i/>
          <w:iCs/>
        </w:rPr>
        <w:t>LASSO</w:t>
      </w:r>
      <w:r w:rsidRPr="00150AFE">
        <w:t xml:space="preserve"> Cox regression was applied to the top 30 univariable proteins. The </w:t>
      </w:r>
      <w:r w:rsidRPr="000972D6">
        <w:rPr>
          <w:i/>
          <w:iCs/>
        </w:rPr>
        <w:t>LASSO</w:t>
      </w:r>
      <w:r w:rsidRPr="00150AFE">
        <w:t xml:space="preserve"> was performed at </w:t>
      </w:r>
      <w:proofErr w:type="spellStart"/>
      <w:r w:rsidRPr="00150AFE">
        <w:t>lambda.min</w:t>
      </w:r>
      <w:proofErr w:type="spellEnd"/>
      <w:r w:rsidRPr="00150AFE">
        <w:t xml:space="preserve"> following reversion from lambda.1se, and the resulting selection was capped at ten proteins to maintain an adequate events-per-variable ratio given 158 events. Ten proteins were retained:</w:t>
      </w:r>
      <w:r w:rsidR="003F394E">
        <w:t xml:space="preserve"> </w:t>
      </w:r>
      <w:r w:rsidRPr="00150AFE">
        <w:t>ERRFI1/MIG-6</w:t>
      </w:r>
      <w:r w:rsidR="003F394E">
        <w:t xml:space="preserve">, </w:t>
      </w:r>
      <w:r w:rsidRPr="00150AFE">
        <w:t>PEA15</w:t>
      </w:r>
      <w:r w:rsidR="003F394E">
        <w:t xml:space="preserve">, </w:t>
      </w:r>
      <w:r w:rsidRPr="00150AFE">
        <w:t>phospho-MAPK (pT202/Y204)</w:t>
      </w:r>
      <w:r w:rsidR="003F394E">
        <w:t xml:space="preserve">, </w:t>
      </w:r>
      <w:r w:rsidRPr="00150AFE">
        <w:t>CDKN1A/p21</w:t>
      </w:r>
      <w:r w:rsidR="003F394E">
        <w:t xml:space="preserve">, </w:t>
      </w:r>
      <w:r w:rsidRPr="00150AFE">
        <w:t>phospho-ERBB3/HER3 (pY1298)</w:t>
      </w:r>
      <w:r w:rsidR="003F394E">
        <w:t xml:space="preserve">, </w:t>
      </w:r>
      <w:r w:rsidRPr="00150AFE">
        <w:t>SERPINE1/PAI-1</w:t>
      </w:r>
      <w:r w:rsidR="003F394E">
        <w:t xml:space="preserve">, </w:t>
      </w:r>
      <w:r w:rsidRPr="00150AFE">
        <w:t>ACACA/ACC1</w:t>
      </w:r>
      <w:r w:rsidR="003F394E">
        <w:t xml:space="preserve">, </w:t>
      </w:r>
      <w:r w:rsidRPr="00150AFE">
        <w:t>AR</w:t>
      </w:r>
      <w:r w:rsidR="003F394E">
        <w:t xml:space="preserve">, </w:t>
      </w:r>
      <w:r w:rsidRPr="00150AFE">
        <w:t>RPS6KA1/p90RSK</w:t>
      </w:r>
      <w:r w:rsidR="003F394E">
        <w:t xml:space="preserve">, and </w:t>
      </w:r>
      <w:r w:rsidRPr="00150AFE">
        <w:t>IGFBP2</w:t>
      </w:r>
      <w:r w:rsidR="003F394E">
        <w:t>.</w:t>
      </w:r>
    </w:p>
    <w:p w14:paraId="3C41356D" w14:textId="0CDD8F68" w:rsidR="00B82FDC" w:rsidRPr="00D27C42" w:rsidRDefault="00B82FDC" w:rsidP="00D27C42">
      <w:pPr>
        <w:pStyle w:val="Heading3"/>
      </w:pPr>
      <w:r w:rsidRPr="00D27C42">
        <w:t>2.</w:t>
      </w:r>
      <w:r w:rsidR="00F35C6E">
        <w:t>3</w:t>
      </w:r>
      <w:r w:rsidRPr="00D27C42">
        <w:t xml:space="preserve"> RNA-</w:t>
      </w:r>
      <w:proofErr w:type="spellStart"/>
      <w:r w:rsidRPr="00D27C42">
        <w:t>seq</w:t>
      </w:r>
      <w:proofErr w:type="spellEnd"/>
      <w:r w:rsidRPr="00D27C42">
        <w:t xml:space="preserve"> Pathway Score Construction</w:t>
      </w:r>
    </w:p>
    <w:p w14:paraId="4783F02E" w14:textId="3CF5FFF2" w:rsidR="00B82FDC" w:rsidRPr="00150AFE" w:rsidRDefault="00B82FDC" w:rsidP="00B82FDC">
      <w:r w:rsidRPr="00150AFE">
        <w:t>RNA-</w:t>
      </w:r>
      <w:proofErr w:type="spellStart"/>
      <w:r w:rsidRPr="00150AFE">
        <w:t>seq</w:t>
      </w:r>
      <w:proofErr w:type="spellEnd"/>
      <w:r w:rsidRPr="00150AFE">
        <w:t xml:space="preserve"> expression data comprised 20,531 genes across 511 samples. A knowledge-driven gene set was constructed by querying eight targeted</w:t>
      </w:r>
      <w:r w:rsidR="00872381">
        <w:t xml:space="preserve"> Molecular Signatures Database (</w:t>
      </w:r>
      <w:proofErr w:type="spellStart"/>
      <w:r w:rsidRPr="00150AFE">
        <w:t>MSigDB</w:t>
      </w:r>
      <w:proofErr w:type="spellEnd"/>
      <w:r w:rsidR="00872381">
        <w:t>)</w:t>
      </w:r>
      <w:r w:rsidRPr="00150AFE">
        <w:t xml:space="preserve"> signatures spanning two biological themes relevant to </w:t>
      </w:r>
      <w:proofErr w:type="spellStart"/>
      <w:r w:rsidRPr="00150AFE">
        <w:t>ccRCC</w:t>
      </w:r>
      <w:proofErr w:type="spellEnd"/>
      <w:r w:rsidRPr="00150AFE">
        <w:t xml:space="preserve">: inflammatory invasion (neutrophil degranulation, neutrophil activation, inflammatory response, hallmark inflammation, ECM remodelling, metalloprotease activity) and kinase signalling (kinase activity, kinase signalling). These themes were selected </w:t>
      </w:r>
      <w:proofErr w:type="gramStart"/>
      <w:r w:rsidRPr="00150AFE">
        <w:t>on the basis of</w:t>
      </w:r>
      <w:proofErr w:type="gramEnd"/>
      <w:r w:rsidRPr="00150AFE">
        <w:t xml:space="preserve"> the established biology of VHL-driven hypoxia, immune infiltration, and ECM remodelling in </w:t>
      </w:r>
      <w:proofErr w:type="spellStart"/>
      <w:r w:rsidRPr="00150AFE">
        <w:t>ccRCC</w:t>
      </w:r>
      <w:proofErr w:type="spellEnd"/>
      <w:r w:rsidRPr="00150AFE">
        <w:t xml:space="preserve">. </w:t>
      </w:r>
      <w:r w:rsidR="00C416FC" w:rsidRPr="00C416FC">
        <w:t xml:space="preserve">To track the molecular networks of clear cell renal cell carcinoma, eight targeted </w:t>
      </w:r>
      <w:proofErr w:type="spellStart"/>
      <w:r w:rsidR="00C416FC" w:rsidRPr="00C416FC">
        <w:t>MSigDB</w:t>
      </w:r>
      <w:proofErr w:type="spellEnd"/>
      <w:r w:rsidR="00C416FC" w:rsidRPr="00C416FC">
        <w:t xml:space="preserve"> immune and kinase inflammation signatures were compiled (Table 2), yielding 3,923 clean, post-QC transcripts.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86"/>
        <w:gridCol w:w="1842"/>
        <w:gridCol w:w="1842"/>
        <w:gridCol w:w="1946"/>
      </w:tblGrid>
      <w:tr w:rsidR="00946805" w14:paraId="30BF43DF" w14:textId="77777777" w:rsidTr="00C734A8">
        <w:tc>
          <w:tcPr>
            <w:tcW w:w="3386" w:type="dxa"/>
            <w:tcBorders>
              <w:bottom w:val="single" w:sz="4" w:space="0" w:color="auto"/>
            </w:tcBorders>
          </w:tcPr>
          <w:p w14:paraId="6CAED752" w14:textId="5E08B60C" w:rsidR="00946805" w:rsidRPr="003F394E" w:rsidRDefault="003F394E" w:rsidP="00C734A8">
            <w:pPr>
              <w:keepNext/>
              <w:spacing w:after="0"/>
              <w:rPr>
                <w:b/>
                <w:bCs/>
              </w:rPr>
            </w:pPr>
            <w:r w:rsidRPr="003F394E">
              <w:rPr>
                <w:b/>
                <w:bCs/>
              </w:rPr>
              <w:t>Pathway</w:t>
            </w:r>
          </w:p>
        </w:tc>
        <w:tc>
          <w:tcPr>
            <w:tcW w:w="1842" w:type="dxa"/>
            <w:tcBorders>
              <w:bottom w:val="single" w:sz="4" w:space="0" w:color="auto"/>
            </w:tcBorders>
          </w:tcPr>
          <w:p w14:paraId="0A875543" w14:textId="6C9DC10D" w:rsidR="00946805" w:rsidRPr="003F394E" w:rsidRDefault="003F394E" w:rsidP="00C734A8">
            <w:pPr>
              <w:keepNext/>
              <w:spacing w:after="0"/>
              <w:rPr>
                <w:b/>
                <w:bCs/>
              </w:rPr>
            </w:pPr>
            <w:r w:rsidRPr="003F394E">
              <w:rPr>
                <w:b/>
                <w:bCs/>
              </w:rPr>
              <w:t>Genes in Data</w:t>
            </w:r>
          </w:p>
        </w:tc>
        <w:tc>
          <w:tcPr>
            <w:tcW w:w="1842" w:type="dxa"/>
            <w:tcBorders>
              <w:bottom w:val="single" w:sz="4" w:space="0" w:color="auto"/>
            </w:tcBorders>
          </w:tcPr>
          <w:p w14:paraId="04DE912F" w14:textId="4218A21D" w:rsidR="00946805" w:rsidRPr="003F394E" w:rsidRDefault="003F394E" w:rsidP="00C734A8">
            <w:pPr>
              <w:keepNext/>
              <w:spacing w:after="0"/>
              <w:rPr>
                <w:b/>
                <w:bCs/>
              </w:rPr>
            </w:pPr>
            <w:r w:rsidRPr="003F394E">
              <w:rPr>
                <w:b/>
                <w:bCs/>
              </w:rPr>
              <w:t>Total Genes</w:t>
            </w:r>
          </w:p>
        </w:tc>
        <w:tc>
          <w:tcPr>
            <w:tcW w:w="1946" w:type="dxa"/>
            <w:tcBorders>
              <w:bottom w:val="single" w:sz="4" w:space="0" w:color="auto"/>
            </w:tcBorders>
          </w:tcPr>
          <w:p w14:paraId="69746122" w14:textId="10BAEDBF" w:rsidR="00946805" w:rsidRPr="003F394E" w:rsidRDefault="003F394E" w:rsidP="00C734A8">
            <w:pPr>
              <w:keepNext/>
              <w:spacing w:after="0"/>
              <w:rPr>
                <w:b/>
                <w:bCs/>
              </w:rPr>
            </w:pPr>
            <w:r w:rsidRPr="003F394E">
              <w:rPr>
                <w:b/>
                <w:bCs/>
              </w:rPr>
              <w:t>Coverage (%)</w:t>
            </w:r>
          </w:p>
        </w:tc>
      </w:tr>
      <w:tr w:rsidR="00946805" w14:paraId="7790C38B" w14:textId="77777777" w:rsidTr="00C734A8">
        <w:tc>
          <w:tcPr>
            <w:tcW w:w="3386" w:type="dxa"/>
            <w:tcBorders>
              <w:top w:val="single" w:sz="4" w:space="0" w:color="auto"/>
            </w:tcBorders>
          </w:tcPr>
          <w:p w14:paraId="349B98C8" w14:textId="18A15DA9" w:rsidR="00946805" w:rsidRDefault="003F394E" w:rsidP="00C734A8">
            <w:pPr>
              <w:keepNext/>
              <w:spacing w:after="0"/>
            </w:pPr>
            <w:proofErr w:type="spellStart"/>
            <w:r w:rsidRPr="00C11FF7">
              <w:rPr>
                <w:rStyle w:val="CodeChar"/>
              </w:rPr>
              <w:t>neutrophil_degranulation</w:t>
            </w:r>
            <w:proofErr w:type="spellEnd"/>
          </w:p>
        </w:tc>
        <w:tc>
          <w:tcPr>
            <w:tcW w:w="1842" w:type="dxa"/>
            <w:tcBorders>
              <w:top w:val="single" w:sz="4" w:space="0" w:color="auto"/>
            </w:tcBorders>
          </w:tcPr>
          <w:p w14:paraId="5040F12B" w14:textId="4E0DA794" w:rsidR="00946805" w:rsidRDefault="003F394E" w:rsidP="00C734A8">
            <w:pPr>
              <w:keepNext/>
              <w:spacing w:after="0"/>
              <w:jc w:val="center"/>
            </w:pPr>
            <w:r>
              <w:t>13</w:t>
            </w:r>
          </w:p>
        </w:tc>
        <w:tc>
          <w:tcPr>
            <w:tcW w:w="1842" w:type="dxa"/>
            <w:tcBorders>
              <w:top w:val="single" w:sz="4" w:space="0" w:color="auto"/>
            </w:tcBorders>
          </w:tcPr>
          <w:p w14:paraId="6670E785" w14:textId="2038527E" w:rsidR="00946805" w:rsidRDefault="003F394E" w:rsidP="00C734A8">
            <w:pPr>
              <w:keepNext/>
              <w:spacing w:after="0"/>
              <w:jc w:val="center"/>
            </w:pPr>
            <w:r>
              <w:t>13</w:t>
            </w:r>
          </w:p>
        </w:tc>
        <w:tc>
          <w:tcPr>
            <w:tcW w:w="1946" w:type="dxa"/>
            <w:tcBorders>
              <w:top w:val="single" w:sz="4" w:space="0" w:color="auto"/>
            </w:tcBorders>
          </w:tcPr>
          <w:p w14:paraId="146EBE8C" w14:textId="15619D19" w:rsidR="00946805" w:rsidRDefault="003F394E" w:rsidP="00C734A8">
            <w:pPr>
              <w:keepNext/>
              <w:spacing w:after="0"/>
              <w:jc w:val="center"/>
            </w:pPr>
            <w:r>
              <w:t>100</w:t>
            </w:r>
          </w:p>
        </w:tc>
      </w:tr>
      <w:tr w:rsidR="00946805" w14:paraId="27996ED6" w14:textId="77777777" w:rsidTr="00C734A8">
        <w:tc>
          <w:tcPr>
            <w:tcW w:w="3386" w:type="dxa"/>
          </w:tcPr>
          <w:p w14:paraId="07AA9EAA" w14:textId="0A038BAE" w:rsidR="00946805" w:rsidRDefault="003F394E" w:rsidP="00C734A8">
            <w:pPr>
              <w:keepNext/>
              <w:spacing w:after="0"/>
            </w:pPr>
            <w:proofErr w:type="spellStart"/>
            <w:r w:rsidRPr="00C11FF7">
              <w:rPr>
                <w:rStyle w:val="CodeChar"/>
              </w:rPr>
              <w:t>kinase_activity</w:t>
            </w:r>
            <w:proofErr w:type="spellEnd"/>
          </w:p>
        </w:tc>
        <w:tc>
          <w:tcPr>
            <w:tcW w:w="1842" w:type="dxa"/>
          </w:tcPr>
          <w:p w14:paraId="37959A47" w14:textId="04E91BA4" w:rsidR="00946805" w:rsidRDefault="003F394E" w:rsidP="00C734A8">
            <w:pPr>
              <w:keepNext/>
              <w:spacing w:after="0"/>
              <w:jc w:val="center"/>
            </w:pPr>
            <w:r>
              <w:t>162</w:t>
            </w:r>
          </w:p>
        </w:tc>
        <w:tc>
          <w:tcPr>
            <w:tcW w:w="1842" w:type="dxa"/>
          </w:tcPr>
          <w:p w14:paraId="014C6A51" w14:textId="5BB464B6" w:rsidR="00946805" w:rsidRDefault="003F394E" w:rsidP="00C734A8">
            <w:pPr>
              <w:keepNext/>
              <w:spacing w:after="0"/>
              <w:jc w:val="center"/>
            </w:pPr>
            <w:r>
              <w:t>163</w:t>
            </w:r>
          </w:p>
        </w:tc>
        <w:tc>
          <w:tcPr>
            <w:tcW w:w="1946" w:type="dxa"/>
          </w:tcPr>
          <w:p w14:paraId="6B9754B4" w14:textId="0F311F5F" w:rsidR="00946805" w:rsidRDefault="003F394E" w:rsidP="00C734A8">
            <w:pPr>
              <w:keepNext/>
              <w:spacing w:after="0"/>
              <w:jc w:val="center"/>
            </w:pPr>
            <w:r>
              <w:t>99.4</w:t>
            </w:r>
          </w:p>
        </w:tc>
      </w:tr>
      <w:tr w:rsidR="00946805" w14:paraId="7A10ECFA" w14:textId="77777777" w:rsidTr="00C734A8">
        <w:tc>
          <w:tcPr>
            <w:tcW w:w="3386" w:type="dxa"/>
          </w:tcPr>
          <w:p w14:paraId="443DC6E8" w14:textId="1C996834" w:rsidR="00946805" w:rsidRDefault="00C734A8" w:rsidP="00C734A8">
            <w:pPr>
              <w:keepNext/>
              <w:spacing w:after="0"/>
            </w:pPr>
            <w:proofErr w:type="spellStart"/>
            <w:r w:rsidRPr="00C11FF7">
              <w:rPr>
                <w:rStyle w:val="CodeChar"/>
              </w:rPr>
              <w:t>hallmark_inflammation</w:t>
            </w:r>
            <w:proofErr w:type="spellEnd"/>
            <w:r w:rsidRPr="00150AFE">
              <w:t xml:space="preserve">    </w:t>
            </w:r>
          </w:p>
        </w:tc>
        <w:tc>
          <w:tcPr>
            <w:tcW w:w="1842" w:type="dxa"/>
          </w:tcPr>
          <w:p w14:paraId="110490D8" w14:textId="51F270CC" w:rsidR="00946805" w:rsidRDefault="00C734A8" w:rsidP="00C734A8">
            <w:pPr>
              <w:keepNext/>
              <w:spacing w:after="0"/>
              <w:jc w:val="center"/>
            </w:pPr>
            <w:r>
              <w:t>197</w:t>
            </w:r>
          </w:p>
        </w:tc>
        <w:tc>
          <w:tcPr>
            <w:tcW w:w="1842" w:type="dxa"/>
          </w:tcPr>
          <w:p w14:paraId="77356AC8" w14:textId="714AD428" w:rsidR="00946805" w:rsidRDefault="00C734A8" w:rsidP="00C734A8">
            <w:pPr>
              <w:keepNext/>
              <w:spacing w:after="0"/>
              <w:jc w:val="center"/>
            </w:pPr>
            <w:r>
              <w:t>200</w:t>
            </w:r>
          </w:p>
        </w:tc>
        <w:tc>
          <w:tcPr>
            <w:tcW w:w="1946" w:type="dxa"/>
          </w:tcPr>
          <w:p w14:paraId="574E8353" w14:textId="2A2BFE14" w:rsidR="00946805" w:rsidRDefault="00C734A8" w:rsidP="00C734A8">
            <w:pPr>
              <w:keepNext/>
              <w:spacing w:after="0"/>
              <w:jc w:val="center"/>
            </w:pPr>
            <w:r>
              <w:t>98.5</w:t>
            </w:r>
          </w:p>
        </w:tc>
      </w:tr>
      <w:tr w:rsidR="00946805" w14:paraId="63A3A37A" w14:textId="77777777" w:rsidTr="00C734A8">
        <w:tc>
          <w:tcPr>
            <w:tcW w:w="3386" w:type="dxa"/>
          </w:tcPr>
          <w:p w14:paraId="76602D40" w14:textId="22BC174C" w:rsidR="00946805" w:rsidRDefault="00C734A8" w:rsidP="00C734A8">
            <w:pPr>
              <w:keepNext/>
              <w:spacing w:after="0"/>
            </w:pPr>
            <w:proofErr w:type="spellStart"/>
            <w:r w:rsidRPr="00C11FF7">
              <w:rPr>
                <w:rStyle w:val="CodeChar"/>
              </w:rPr>
              <w:t>neutrophil_activation</w:t>
            </w:r>
            <w:proofErr w:type="spellEnd"/>
            <w:r w:rsidRPr="00150AFE">
              <w:t xml:space="preserve">    </w:t>
            </w:r>
          </w:p>
        </w:tc>
        <w:tc>
          <w:tcPr>
            <w:tcW w:w="1842" w:type="dxa"/>
          </w:tcPr>
          <w:p w14:paraId="62B4E8F5" w14:textId="548E0DB8" w:rsidR="00946805" w:rsidRDefault="00C734A8" w:rsidP="00C734A8">
            <w:pPr>
              <w:keepNext/>
              <w:spacing w:after="0"/>
              <w:jc w:val="center"/>
            </w:pPr>
            <w:r>
              <w:t>55</w:t>
            </w:r>
          </w:p>
        </w:tc>
        <w:tc>
          <w:tcPr>
            <w:tcW w:w="1842" w:type="dxa"/>
          </w:tcPr>
          <w:p w14:paraId="5159F0D2" w14:textId="705E2C77" w:rsidR="00946805" w:rsidRDefault="00C734A8" w:rsidP="00C734A8">
            <w:pPr>
              <w:keepNext/>
              <w:spacing w:after="0"/>
              <w:jc w:val="center"/>
            </w:pPr>
            <w:r>
              <w:t>58</w:t>
            </w:r>
          </w:p>
        </w:tc>
        <w:tc>
          <w:tcPr>
            <w:tcW w:w="1946" w:type="dxa"/>
          </w:tcPr>
          <w:p w14:paraId="02787EC3" w14:textId="5BFCA87E" w:rsidR="00946805" w:rsidRDefault="00C734A8" w:rsidP="00C734A8">
            <w:pPr>
              <w:keepNext/>
              <w:spacing w:after="0"/>
              <w:jc w:val="center"/>
            </w:pPr>
            <w:r>
              <w:t>94.8</w:t>
            </w:r>
          </w:p>
        </w:tc>
      </w:tr>
      <w:tr w:rsidR="00C734A8" w14:paraId="124D4665" w14:textId="77777777" w:rsidTr="00C734A8">
        <w:tc>
          <w:tcPr>
            <w:tcW w:w="3386" w:type="dxa"/>
          </w:tcPr>
          <w:p w14:paraId="6D21CBA7" w14:textId="746EBFF5" w:rsidR="00C734A8" w:rsidRPr="00C11FF7" w:rsidRDefault="00C734A8" w:rsidP="00C734A8">
            <w:pPr>
              <w:keepNext/>
              <w:spacing w:after="0"/>
              <w:rPr>
                <w:rStyle w:val="CodeChar"/>
              </w:rPr>
            </w:pPr>
            <w:proofErr w:type="spellStart"/>
            <w:r w:rsidRPr="00C11FF7">
              <w:rPr>
                <w:rStyle w:val="CodeChar"/>
              </w:rPr>
              <w:t>kinase_signalling</w:t>
            </w:r>
            <w:proofErr w:type="spellEnd"/>
            <w:r w:rsidRPr="00150AFE">
              <w:t xml:space="preserve">        </w:t>
            </w:r>
          </w:p>
        </w:tc>
        <w:tc>
          <w:tcPr>
            <w:tcW w:w="1842" w:type="dxa"/>
          </w:tcPr>
          <w:p w14:paraId="448EBC0E" w14:textId="45B1893E" w:rsidR="00C734A8" w:rsidRDefault="00C734A8" w:rsidP="00C734A8">
            <w:pPr>
              <w:keepNext/>
              <w:spacing w:after="0"/>
              <w:jc w:val="center"/>
            </w:pPr>
            <w:r>
              <w:t>663</w:t>
            </w:r>
          </w:p>
        </w:tc>
        <w:tc>
          <w:tcPr>
            <w:tcW w:w="1842" w:type="dxa"/>
          </w:tcPr>
          <w:p w14:paraId="32D13EA0" w14:textId="3115EB4B" w:rsidR="00C734A8" w:rsidRDefault="00C734A8" w:rsidP="00C734A8">
            <w:pPr>
              <w:keepNext/>
              <w:spacing w:after="0"/>
              <w:jc w:val="center"/>
            </w:pPr>
            <w:r>
              <w:t>721</w:t>
            </w:r>
          </w:p>
        </w:tc>
        <w:tc>
          <w:tcPr>
            <w:tcW w:w="1946" w:type="dxa"/>
          </w:tcPr>
          <w:p w14:paraId="205C5C4A" w14:textId="6C57C145" w:rsidR="00C734A8" w:rsidRDefault="00C734A8" w:rsidP="00C734A8">
            <w:pPr>
              <w:keepNext/>
              <w:spacing w:after="0"/>
              <w:jc w:val="center"/>
            </w:pPr>
            <w:r>
              <w:t>92.0</w:t>
            </w:r>
          </w:p>
        </w:tc>
      </w:tr>
      <w:tr w:rsidR="00C734A8" w14:paraId="1097CF21" w14:textId="77777777" w:rsidTr="00C734A8">
        <w:tc>
          <w:tcPr>
            <w:tcW w:w="3386" w:type="dxa"/>
          </w:tcPr>
          <w:p w14:paraId="247C3532" w14:textId="2E3B3359" w:rsidR="00C734A8" w:rsidRPr="00C11FF7" w:rsidRDefault="00C734A8" w:rsidP="00C734A8">
            <w:pPr>
              <w:keepNext/>
              <w:spacing w:after="0"/>
              <w:rPr>
                <w:rStyle w:val="CodeChar"/>
              </w:rPr>
            </w:pPr>
            <w:proofErr w:type="spellStart"/>
            <w:r w:rsidRPr="00C11FF7">
              <w:rPr>
                <w:rStyle w:val="CodeChar"/>
              </w:rPr>
              <w:t>metalloprotease_activity</w:t>
            </w:r>
            <w:proofErr w:type="spellEnd"/>
          </w:p>
        </w:tc>
        <w:tc>
          <w:tcPr>
            <w:tcW w:w="1842" w:type="dxa"/>
          </w:tcPr>
          <w:p w14:paraId="4C1180CD" w14:textId="78D5EF8F" w:rsidR="00C734A8" w:rsidRDefault="00C734A8" w:rsidP="00C734A8">
            <w:pPr>
              <w:keepNext/>
              <w:spacing w:after="0"/>
              <w:jc w:val="center"/>
            </w:pPr>
            <w:r>
              <w:t>174</w:t>
            </w:r>
          </w:p>
        </w:tc>
        <w:tc>
          <w:tcPr>
            <w:tcW w:w="1842" w:type="dxa"/>
          </w:tcPr>
          <w:p w14:paraId="568716CE" w14:textId="6B96E65C" w:rsidR="00C734A8" w:rsidRDefault="00C734A8" w:rsidP="00C734A8">
            <w:pPr>
              <w:keepNext/>
              <w:spacing w:after="0"/>
              <w:jc w:val="center"/>
            </w:pPr>
            <w:r>
              <w:t>190</w:t>
            </w:r>
          </w:p>
        </w:tc>
        <w:tc>
          <w:tcPr>
            <w:tcW w:w="1946" w:type="dxa"/>
          </w:tcPr>
          <w:p w14:paraId="1782D0FA" w14:textId="79BCB7F6" w:rsidR="00C734A8" w:rsidRDefault="00C734A8" w:rsidP="00C734A8">
            <w:pPr>
              <w:keepNext/>
              <w:spacing w:after="0"/>
              <w:jc w:val="center"/>
            </w:pPr>
            <w:r>
              <w:t>91.6</w:t>
            </w:r>
          </w:p>
        </w:tc>
      </w:tr>
      <w:tr w:rsidR="00C734A8" w14:paraId="60D48D90" w14:textId="77777777" w:rsidTr="00C734A8">
        <w:tc>
          <w:tcPr>
            <w:tcW w:w="3386" w:type="dxa"/>
          </w:tcPr>
          <w:p w14:paraId="2B010505" w14:textId="2F0510A2" w:rsidR="00C734A8" w:rsidRPr="00C11FF7" w:rsidRDefault="00C734A8" w:rsidP="00C734A8">
            <w:pPr>
              <w:keepNext/>
              <w:spacing w:after="0"/>
              <w:rPr>
                <w:rStyle w:val="CodeChar"/>
              </w:rPr>
            </w:pPr>
            <w:proofErr w:type="spellStart"/>
            <w:r w:rsidRPr="00C11FF7">
              <w:rPr>
                <w:rStyle w:val="CodeChar"/>
              </w:rPr>
              <w:t>ecm_remodelling</w:t>
            </w:r>
            <w:proofErr w:type="spellEnd"/>
            <w:r w:rsidRPr="00150AFE">
              <w:t xml:space="preserve">         </w:t>
            </w:r>
          </w:p>
        </w:tc>
        <w:tc>
          <w:tcPr>
            <w:tcW w:w="1842" w:type="dxa"/>
          </w:tcPr>
          <w:p w14:paraId="612A51C7" w14:textId="5ACE5E68" w:rsidR="00C734A8" w:rsidRDefault="00C734A8" w:rsidP="00C734A8">
            <w:pPr>
              <w:keepNext/>
              <w:spacing w:after="0"/>
              <w:jc w:val="center"/>
            </w:pPr>
            <w:r>
              <w:t>1,819</w:t>
            </w:r>
          </w:p>
        </w:tc>
        <w:tc>
          <w:tcPr>
            <w:tcW w:w="1842" w:type="dxa"/>
          </w:tcPr>
          <w:p w14:paraId="2F902BA4" w14:textId="11F41681" w:rsidR="00C734A8" w:rsidRDefault="00C734A8" w:rsidP="00C734A8">
            <w:pPr>
              <w:keepNext/>
              <w:spacing w:after="0"/>
              <w:jc w:val="center"/>
            </w:pPr>
            <w:r>
              <w:t>2,024</w:t>
            </w:r>
          </w:p>
        </w:tc>
        <w:tc>
          <w:tcPr>
            <w:tcW w:w="1946" w:type="dxa"/>
          </w:tcPr>
          <w:p w14:paraId="48E6FF14" w14:textId="39C8AFBA" w:rsidR="00C734A8" w:rsidRDefault="00C734A8" w:rsidP="00C734A8">
            <w:pPr>
              <w:keepNext/>
              <w:spacing w:after="0"/>
              <w:jc w:val="center"/>
            </w:pPr>
            <w:r>
              <w:t>89.9</w:t>
            </w:r>
          </w:p>
        </w:tc>
      </w:tr>
      <w:tr w:rsidR="00C734A8" w14:paraId="346D671E" w14:textId="77777777" w:rsidTr="00C734A8">
        <w:tc>
          <w:tcPr>
            <w:tcW w:w="3386" w:type="dxa"/>
          </w:tcPr>
          <w:p w14:paraId="289543B0" w14:textId="001D8CF3" w:rsidR="00C734A8" w:rsidRPr="00C11FF7" w:rsidRDefault="00C734A8" w:rsidP="00C734A8">
            <w:pPr>
              <w:keepNext/>
              <w:spacing w:after="0"/>
              <w:rPr>
                <w:rStyle w:val="CodeChar"/>
              </w:rPr>
            </w:pPr>
            <w:proofErr w:type="spellStart"/>
            <w:r w:rsidRPr="00C11FF7">
              <w:rPr>
                <w:rStyle w:val="CodeChar"/>
              </w:rPr>
              <w:t>inflammatory_response</w:t>
            </w:r>
            <w:proofErr w:type="spellEnd"/>
            <w:r w:rsidRPr="00150AFE">
              <w:t xml:space="preserve">    </w:t>
            </w:r>
          </w:p>
        </w:tc>
        <w:tc>
          <w:tcPr>
            <w:tcW w:w="1842" w:type="dxa"/>
          </w:tcPr>
          <w:p w14:paraId="015274C2" w14:textId="50C61B50" w:rsidR="00C734A8" w:rsidRDefault="00C734A8" w:rsidP="00C734A8">
            <w:pPr>
              <w:keepNext/>
              <w:spacing w:after="0"/>
              <w:jc w:val="center"/>
            </w:pPr>
            <w:r>
              <w:t>1,912</w:t>
            </w:r>
          </w:p>
        </w:tc>
        <w:tc>
          <w:tcPr>
            <w:tcW w:w="1842" w:type="dxa"/>
          </w:tcPr>
          <w:p w14:paraId="5355E455" w14:textId="5D7BE1EC" w:rsidR="00C734A8" w:rsidRDefault="00C734A8" w:rsidP="00C734A8">
            <w:pPr>
              <w:keepNext/>
              <w:spacing w:after="0"/>
              <w:jc w:val="center"/>
            </w:pPr>
            <w:r>
              <w:t>2,153</w:t>
            </w:r>
          </w:p>
        </w:tc>
        <w:tc>
          <w:tcPr>
            <w:tcW w:w="1946" w:type="dxa"/>
          </w:tcPr>
          <w:p w14:paraId="21257104" w14:textId="7945908D" w:rsidR="00C734A8" w:rsidRDefault="00C734A8" w:rsidP="00C734A8">
            <w:pPr>
              <w:keepNext/>
              <w:spacing w:after="0"/>
              <w:jc w:val="center"/>
            </w:pPr>
            <w:r>
              <w:t>88.8</w:t>
            </w:r>
          </w:p>
        </w:tc>
      </w:tr>
    </w:tbl>
    <w:p w14:paraId="2BA1E7BC" w14:textId="529E009E" w:rsidR="00B82FDC" w:rsidRPr="000B7451" w:rsidRDefault="003F394E" w:rsidP="003F394E">
      <w:pPr>
        <w:pStyle w:val="Caption"/>
      </w:pPr>
      <w:r w:rsidRPr="000B7451">
        <w:rPr>
          <w:b/>
          <w:bCs/>
        </w:rPr>
        <w:t xml:space="preserve">Table </w:t>
      </w:r>
      <w:r w:rsidRPr="000B7451">
        <w:rPr>
          <w:b/>
          <w:bCs/>
        </w:rPr>
        <w:fldChar w:fldCharType="begin"/>
      </w:r>
      <w:r w:rsidRPr="000B7451">
        <w:rPr>
          <w:b/>
          <w:bCs/>
        </w:rPr>
        <w:instrText xml:space="preserve"> SEQ Table \* ARABIC </w:instrText>
      </w:r>
      <w:r w:rsidRPr="000B7451">
        <w:rPr>
          <w:b/>
          <w:bCs/>
        </w:rPr>
        <w:fldChar w:fldCharType="separate"/>
      </w:r>
      <w:r w:rsidR="00417F53" w:rsidRPr="000B7451">
        <w:rPr>
          <w:b/>
          <w:bCs/>
          <w:noProof/>
        </w:rPr>
        <w:t>2</w:t>
      </w:r>
      <w:r w:rsidRPr="000B7451">
        <w:rPr>
          <w:b/>
          <w:bCs/>
        </w:rPr>
        <w:fldChar w:fldCharType="end"/>
      </w:r>
      <w:r w:rsidRPr="000B7451">
        <w:rPr>
          <w:b/>
          <w:bCs/>
        </w:rPr>
        <w:t xml:space="preserve">. </w:t>
      </w:r>
      <w:r w:rsidR="002C44B4" w:rsidRPr="002C44B4">
        <w:rPr>
          <w:b/>
          <w:bCs/>
        </w:rPr>
        <w:t xml:space="preserve">Transcriptomic coverage for targeted </w:t>
      </w:r>
      <w:proofErr w:type="spellStart"/>
      <w:r w:rsidR="002C44B4" w:rsidRPr="002C44B4">
        <w:rPr>
          <w:b/>
          <w:bCs/>
        </w:rPr>
        <w:t>MSigDB</w:t>
      </w:r>
      <w:proofErr w:type="spellEnd"/>
      <w:r w:rsidR="002C44B4" w:rsidRPr="002C44B4">
        <w:rPr>
          <w:b/>
          <w:bCs/>
        </w:rPr>
        <w:t xml:space="preserve"> pathway queries</w:t>
      </w:r>
      <w:r w:rsidR="002C44B4">
        <w:rPr>
          <w:b/>
          <w:bCs/>
        </w:rPr>
        <w:t>.</w:t>
      </w:r>
      <w:r w:rsidR="000B7451">
        <w:rPr>
          <w:b/>
          <w:bCs/>
        </w:rPr>
        <w:br/>
      </w:r>
      <w:r w:rsidR="002C44B4" w:rsidRPr="002C44B4">
        <w:t>Summary of mapped gene counts, total pathway-member genes, and final percentage coverage across the eight selected inflammatory and kinase signatures in the TCGA-KIRC expression matrix</w:t>
      </w:r>
    </w:p>
    <w:p w14:paraId="33CA147E" w14:textId="705CE5B4" w:rsidR="00B82FDC" w:rsidRPr="00150AFE" w:rsidRDefault="00B82FDC" w:rsidP="00B82FDC">
      <w:r w:rsidRPr="00150AFE">
        <w:lastRenderedPageBreak/>
        <w:t xml:space="preserve">In parallel, an unbiased data-driven screen was conducted by fitting univariable Cox models across all 3,923 retained genes. The more limited gene set was chosen to protect the parallelised screening engine from severe type I error inflation and the mathematical deficits of </w:t>
      </w:r>
      <w:r w:rsidRPr="000972D6">
        <w:rPr>
          <w:rFonts w:ascii="Courier New" w:hAnsi="Courier New" w:cs="Courier New"/>
          <w:i/>
          <w:iCs/>
        </w:rPr>
        <w:t>p</w:t>
      </w:r>
      <w:r w:rsidR="00C734A8" w:rsidRPr="000972D6">
        <w:rPr>
          <w:rFonts w:ascii="Courier New" w:hAnsi="Courier New" w:cs="Courier New"/>
          <w:i/>
          <w:iCs/>
        </w:rPr>
        <w:t xml:space="preserve"> &gt;&gt; </w:t>
      </w:r>
      <w:r w:rsidRPr="000972D6">
        <w:rPr>
          <w:rFonts w:ascii="Courier New" w:hAnsi="Courier New" w:cs="Courier New"/>
          <w:i/>
          <w:iCs/>
        </w:rPr>
        <w:t>n</w:t>
      </w:r>
      <w:r w:rsidRPr="00150AFE">
        <w:t>.</w:t>
      </w:r>
    </w:p>
    <w:p w14:paraId="6F7C76FE" w14:textId="0ECDD521" w:rsidR="00B82FDC" w:rsidRPr="00150AFE" w:rsidRDefault="00B82FDC" w:rsidP="00B82FDC">
      <w:r w:rsidRPr="00150AFE">
        <w:t xml:space="preserve">The 20 genes most strongly associated with survival by raw p-value were identified and their joint PC1 score computed as an alternative transcriptomic feature. The top three genes by this ranking were COL7A1, ZIC2, and STX1A. COL7A1 encodes type VII collagen, an ECM constituent whose elevated expression is associated with aggressive </w:t>
      </w:r>
      <w:proofErr w:type="spellStart"/>
      <w:r w:rsidRPr="00150AFE">
        <w:t>ccRCC</w:t>
      </w:r>
      <w:proofErr w:type="spellEnd"/>
      <w:r w:rsidRPr="00150AFE">
        <w:t xml:space="preserve"> and substantially reduced five-year survival</w:t>
      </w:r>
      <w:r w:rsidR="00D27C42">
        <w:fldChar w:fldCharType="begin"/>
      </w:r>
      <w:r w:rsidR="00BD6E8D">
        <w:instrText xml:space="preserve"> ADDIN ZOTERO_ITEM CSL_CITATION {"citationID":"iqQQwRkD","properties":{"unsorted":false,"formattedCitation":"\\super 11\\nosupersub{}","plainCitation":"11","noteIndex":0},"citationItems":[{"id":3810,"uris":["http://zotero.org/users/17607594/items/P3X7RSJZ"],"itemData":{"id":3810,"type":"article-journal","abstract":"Clear-cell renal cell carcinoma (ccRCC) accounts for 75% of kidney cancers. Due to the high recurrence rate and treatment options that come with high costs and potential side effects, a correct prognosis of patient survival is essential for the successful and effective treatment of patients. Novel biomarkers could play an important role in the assessment of the overall survival of patients. COL7A1 encodes for collagen type VII, a constituent of the basal membrane. COL7A1 is associated with survival in many cancers; however, the prognostic value of COL7A1 expression as a standalone biomarker in ccRCC has not been investigated. With five publicly available independent cohorts, we used Kaplan-Meier curves and the Cox proportional hazards model to investigate the prognostic value of COL7A1, as well as gene set enrichment analysis to investigate genes co-expressed with COL7A1. COL7A1 expression stratifies patients in terms of aggressiveness, where the 5-year survival probability of each of the four groups was 72.4%, 59.1%, 34.15%, and 8.6% in order of increasing expression. Additionally, COL7A1 expression was successfully used to further divide patients of each stage and histological grade into groups of high and low risk. Similar results were obtained in independent cohorts. In vitro knockdown of COL7A1 expression significantly affected ccRCC cells' ability to migrate, leading to the hypothesis that COL7A1 may have a role in cancer aggressiveness. To conclude, we identified COL7A1 as a new prognosis marker that can stratify ccRCC patients.","citation-key":"kocaCOL7A1ExpressionImproves2023","container-title":"Cancers","DOI":"10.3390/cancers15102701","ISSN":"2072-6694","issue":"10","journalAbbreviation":"Cancers (Basel)","language":"eng","license":"http://creativecommons.org/licenses/by/3.0/","page":"2701","PMID":"37345040","PMCID":"PMC10216355","publisher":"Multidisciplinary Digital Publishing Institute","source":"PubMed","title":"COL7A1 expression improves prognosis prediction for patients with clear cell renal cell carcinoma atop of stage","URL":"https://www.mdpi.com/2072-6694/15/10/2701","volume":"15","author":[{"family":"Koca","given":"Dzenis"},{"family":"Séraudie","given":"Irinka"},{"family":"Jardillier","given":"Rémy"},{"family":"Cochet","given":"Claude"},{"family":"Filhol","given":"Odile"},{"family":"Guyon","given":"Laurent"}],"issued":{"date-parts":[["2023",5,10]]}}}],"schema":"https://github.com/citation-style-language/schema/raw/master/csl-citation.json"} </w:instrText>
      </w:r>
      <w:r w:rsidR="00D27C42">
        <w:fldChar w:fldCharType="separate"/>
      </w:r>
      <w:r w:rsidR="00BD6E8D" w:rsidRPr="00BD6E8D">
        <w:rPr>
          <w:vertAlign w:val="superscript"/>
        </w:rPr>
        <w:t>11</w:t>
      </w:r>
      <w:r w:rsidR="00D27C42">
        <w:fldChar w:fldCharType="end"/>
      </w:r>
      <w:r w:rsidRPr="00150AFE">
        <w:t xml:space="preserve">. ZIC2, a zinc finger transcription factor, promotes </w:t>
      </w:r>
      <w:proofErr w:type="spellStart"/>
      <w:r w:rsidRPr="00150AFE">
        <w:t>ccRCC</w:t>
      </w:r>
      <w:proofErr w:type="spellEnd"/>
      <w:r w:rsidRPr="00150AFE">
        <w:t xml:space="preserve"> proliferation, invasion, and metastasis via the FOXM1</w:t>
      </w:r>
      <w:r w:rsidR="00C734A8">
        <w:t xml:space="preserve"> </w:t>
      </w:r>
      <w:r w:rsidRPr="00150AFE">
        <w:t>/</w:t>
      </w:r>
      <w:r w:rsidR="00C734A8">
        <w:t xml:space="preserve"> </w:t>
      </w:r>
      <w:r w:rsidRPr="00150AFE">
        <w:t>ZIC2</w:t>
      </w:r>
      <w:r w:rsidR="00C734A8">
        <w:t xml:space="preserve"> </w:t>
      </w:r>
      <w:r w:rsidRPr="00150AFE">
        <w:t>/</w:t>
      </w:r>
      <w:r w:rsidR="00C734A8">
        <w:t xml:space="preserve"> </w:t>
      </w:r>
      <w:r w:rsidRPr="00150AFE">
        <w:t>UBE2C</w:t>
      </w:r>
      <w:r w:rsidR="00C734A8">
        <w:t xml:space="preserve"> </w:t>
      </w:r>
      <w:r w:rsidRPr="00150AFE">
        <w:t>/</w:t>
      </w:r>
      <w:r w:rsidR="00C734A8">
        <w:t xml:space="preserve"> </w:t>
      </w:r>
      <w:r w:rsidRPr="00150AFE">
        <w:t>mTOR signalling axis</w:t>
      </w:r>
      <w:r w:rsidR="00D27C42">
        <w:fldChar w:fldCharType="begin"/>
      </w:r>
      <w:r w:rsidR="00BD6E8D">
        <w:instrText xml:space="preserve"> ADDIN ZOTERO_ITEM CSL_CITATION {"citationID":"k5vRYnDF","properties":{"unsorted":false,"formattedCitation":"\\super 12\\nosupersub{}","plainCitation":"12","noteIndex":0},"citationItems":[{"id":3809,"uris":["http://zotero.org/users/17607594/items/PJXCCNRU"],"itemData":{"id":3809,"type":"article-journal","abstract":"Background: As a transcription factor, Zic family member 2 (ZIC2) has been involved in more and more studies of tumorigenesis, which has been proved by our research team to be an effective prognostic marker for Pan-cancer. However, the prognosis, tumor promoting effect and regulatory mechanism of ZIC2 in clear cell renal cell carcinoma (ccRCC) are still unknown. Methods: The potential clinical significance of ZIC2 was evaluated by bioinformatics analysis using data from TCGA, GEO, and ArrayExpress data sets. WB and IHC were used to detect ZIC2 expression in tumors and adjacent tissues. CCK-8, EdU, colony formation, cell cycle, wound healing, transwell, subcutaneous xenograft, and lung metastasis models were used to detect the biological function of ZIC2. The regulatory mechanism of ZIC2 was confirmed by data of RNA-seq, ATAC-seq, MS-PCR, Chip-PCR, and luciferase reporter experiments. Results: ZIC2 was markedly upregulated and correlated with poor clinicopathological features in ccRCC. Knockdown of ZIC2 resulted in reduced cell proliferation, invasion, migration, induction of G2/M phase arrest, and reduced tumor formation and lung metastasis in nude mice. The opposite was observed after overexpression. Mechanistically, the high expression of ZIC2 is regulated by hypomethylation and high H3K4Me3 in the promoter region, as well as positive transcriptional regulation by FOXM1. And then, ZIC2 transcriptase-positively regulates UBE2C and activates AKT/mTOR signaling pathway to promote tumor malignant progression. Conclusion: This study reveals that FOXM1-ZIC2-UBE2C-mTOR signaling axis promotes the progression of ccRCC, which can be used as a prognostic indicator and potential therapeutic target.","citation-key":"lvFOXM1regulatedZIC2Promotes2023","container-title":"International Journal of Biological Sciences","DOI":"10.7150/ijbs.84067","ISSN":"1449-2288","issue":"11","journalAbbreviation":"Int J Biol Sci","language":"eng","page":"3293-3306","PMID":"37496990","PMCID":"PMC10367559","publisher":"Ivyspring International Publisher","source":"PubMed","title":"FOXM1-regulated ZIC2 promotes the malignant phenotype of renal clear cell carcinoma by activating UBE2C/mTOR signaling pathway","URL":"https://www.ijbs.com/v19p3293.htm","volume":"19","author":[{"family":"Lv","given":"Zhengtong"},{"family":"Wang","given":"Miao"},{"family":"Hou","given":"Huimin"},{"family":"Tang","given":"Guyu"},{"family":"Xu","given":"Haozhe"},{"family":"Wang","given":"Xuan"},{"family":"Li","given":"Yuan"},{"family":"Wang","given":"Jianye"},{"family":"Liu","given":"Ming"}],"issued":{"date-parts":[["2023",6,26]]}}}],"schema":"https://github.com/citation-style-language/schema/raw/master/csl-citation.json"} </w:instrText>
      </w:r>
      <w:r w:rsidR="00D27C42">
        <w:fldChar w:fldCharType="separate"/>
      </w:r>
      <w:r w:rsidR="00BD6E8D" w:rsidRPr="00BD6E8D">
        <w:rPr>
          <w:vertAlign w:val="superscript"/>
        </w:rPr>
        <w:t>12</w:t>
      </w:r>
      <w:r w:rsidR="00D27C42">
        <w:fldChar w:fldCharType="end"/>
      </w:r>
      <w:r w:rsidRPr="00150AFE">
        <w:t>. Notably, both genes connect back to the curated pathway biology - COL7A1 to ECM remodelling and ZIC2 to the mTOR/kinase signalling programme - suggesting the data-driven screen independently rediscovered the most prognostically informative individual gene representatives of the curated biological hypotheses.</w:t>
      </w:r>
    </w:p>
    <w:p w14:paraId="04E5C709" w14:textId="0482043D" w:rsidR="00B82FDC" w:rsidRPr="00150AFE" w:rsidRDefault="00B82FDC" w:rsidP="00D27C42">
      <w:pPr>
        <w:pStyle w:val="Heading3"/>
      </w:pPr>
      <w:r w:rsidRPr="00150AFE">
        <w:t>2.</w:t>
      </w:r>
      <w:r w:rsidR="00F35C6E">
        <w:t>4</w:t>
      </w:r>
      <w:r w:rsidRPr="00150AFE">
        <w:t xml:space="preserve"> Copy Number Alteration Features</w:t>
      </w:r>
    </w:p>
    <w:p w14:paraId="7C7993DF" w14:textId="76F7EFDA" w:rsidR="00B82FDC" w:rsidRPr="00150AFE" w:rsidRDefault="00B82FDC" w:rsidP="00B82FDC">
      <w:r w:rsidRPr="00150AFE">
        <w:t xml:space="preserve">CNA data were available for 510 samples across 25,128 genes. Focal copy number events (deep deletions, GISTIC score −2; high-level amplifications, GISTIC score +2) were extracted for nine curated </w:t>
      </w:r>
      <w:proofErr w:type="spellStart"/>
      <w:r w:rsidRPr="00150AFE">
        <w:t>ccRCC</w:t>
      </w:r>
      <w:proofErr w:type="spellEnd"/>
      <w:r w:rsidRPr="00150AFE">
        <w:t xml:space="preserve"> driver genes (VHL, PBRM1, BAP1, SETD2, KDM5C, MTOR, PTEN, TSC1, TSC2)</w:t>
      </w:r>
      <w:r w:rsidR="00BD6E8D">
        <w:fldChar w:fldCharType="begin"/>
      </w:r>
      <w:r w:rsidR="00BD6E8D">
        <w:instrText xml:space="preserve"> ADDIN ZOTERO_ITEM CSL_CITATION {"citationID":"driPVBt8","properties":{"unsorted":false,"formattedCitation":"\\super 6\\nosupersub{}","plainCitation":"6","noteIndex":0},"citationItems":[{"id":3793,"uris":["http://zotero.org/users/17607594/items/T7GJT4GT"],"itemData":{"id":3793,"type":"article-journal","abstract":"Dysregulated metabolism is a hallmark of cancer, manifested through alterations in metabolites. We performed metabolomic profiling on 138 matched clear cell renal cell carcinoma (ccRCC)/normal tissue pairs and found that ccRCC is characterized by broad shifts in central carbon metabolism, one-carbon metabolism, and antioxidant response. Tumor progression and metastasis were associated with metabolite increases in glutathione and cysteine/methionine metabolism pathways. We develop an analytic pipeline and visualization tool (metabolograms) to bridge the gap between TCGA transcriptomic profiling and our metabolomic data, which enables us to assemble an integrated pathway-level metabolic atlas and to demonstrate discordance between transcriptome and metabolome. Lastly, expression profiling was performed on a high-glutathione cluster, which corresponds to a poor-survival subgroup in the ccRCC TCGA cohort.","citation-key":"hakimiIntegratedMetabolicAtlas2016","container-title":"Cancer Cell","DOI":"10.1016/j.ccell.2015.12.004","ISSN":"1878-3686","issue":"1","journalAbbreviation":"Cancer Cell","language":"eng","page":"104-116","PMID":"26766592","PMCID":"PMC4809063","source":"PubMed","title":"An integrated metabolic atlas of clear cell renal cell carcinoma","volume":"29","author":[{"family":"Hakimi","given":"A. Ari"},{"family":"Reznik","given":"Ed"},{"family":"Lee","given":"Chung-Han"},{"family":"Creighton","given":"Chad J."},{"family":"Brannon","given":"A. Rose"},{"family":"Luna","given":"Augustin"},{"family":"Aksoy","given":"B. Arman"},{"family":"Liu","given":"Eric Minwei"},{"family":"Shen","given":"Ronglai"},{"family":"Lee","given":"William"},{"family":"Chen","given":"Yang"},{"family":"Stirdivant","given":"Steve M."},{"family":"Russo","given":"Paul"},{"family":"Chen","given":"Ying Bei"},{"family":"Tickoo","given":"Satish K."},{"family":"Reuter","given":"Victor E."},{"family":"Cheng","given":"Emily H."},{"family":"Sander","given":"Chris"},{"family":"Hsieh","given":"James J."}],"issued":{"date-parts":[["2016",1,11]]}}}],"schema":"https://github.com/citation-style-language/schema/raw/master/csl-citation.json"} </w:instrText>
      </w:r>
      <w:r w:rsidR="00BD6E8D">
        <w:fldChar w:fldCharType="separate"/>
      </w:r>
      <w:r w:rsidR="00BD6E8D" w:rsidRPr="00BD6E8D">
        <w:rPr>
          <w:vertAlign w:val="superscript"/>
        </w:rPr>
        <w:t>6</w:t>
      </w:r>
      <w:r w:rsidR="00BD6E8D">
        <w:fldChar w:fldCharType="end"/>
      </w:r>
      <w:r w:rsidRPr="00150AFE">
        <w:t xml:space="preserve">. </w:t>
      </w:r>
      <w:r w:rsidR="00C416FC" w:rsidRPr="00C416FC">
        <w:t>Four low-prevalence focal deletion events (PBRM1, SETD2, BAP1, VHL) were retained following prevalence filtering</w:t>
      </w:r>
      <w:r w:rsidRPr="00150AFE">
        <w:t>.</w:t>
      </w:r>
    </w:p>
    <w:p w14:paraId="083FA032" w14:textId="33D0B4D6" w:rsidR="00B82FDC" w:rsidRPr="00150AFE" w:rsidRDefault="00B82FDC" w:rsidP="00D27C42">
      <w:pPr>
        <w:pStyle w:val="Heading3"/>
      </w:pPr>
      <w:r w:rsidRPr="00150AFE">
        <w:t>2.</w:t>
      </w:r>
      <w:r w:rsidR="00F35C6E">
        <w:t>5</w:t>
      </w:r>
      <w:r w:rsidRPr="00150AFE">
        <w:t xml:space="preserve"> Multi-Omics Model Comparison</w:t>
      </w:r>
    </w:p>
    <w:p w14:paraId="46F20E6D" w14:textId="31B0CFB3" w:rsidR="00B82FDC" w:rsidRPr="00150AFE" w:rsidRDefault="00B82FDC" w:rsidP="00B82FDC">
      <w:r w:rsidRPr="00150AFE">
        <w:t xml:space="preserve">Six survival models were compared by stratified 5-fold cross-validation, evaluating true out-of-fold Harrell's C-index as the primary performance metric (Figure 7, Table 3). All models included the four selected clinical variables as a baseline; omics layers were added incrementally. </w:t>
      </w:r>
    </w:p>
    <w:p w14:paraId="0EB17D66" w14:textId="77777777" w:rsidR="00C734A8" w:rsidRDefault="00C734A8" w:rsidP="00C734A8">
      <w:pPr>
        <w:keepNext/>
        <w:jc w:val="center"/>
      </w:pPr>
      <w:r w:rsidRPr="00C734A8">
        <w:rPr>
          <w:noProof/>
        </w:rPr>
        <w:lastRenderedPageBreak/>
        <w:drawing>
          <wp:inline distT="0" distB="0" distL="0" distR="0" wp14:anchorId="5CEAC62E" wp14:editId="3362AE3F">
            <wp:extent cx="5314950" cy="3456782"/>
            <wp:effectExtent l="0" t="0" r="0" b="0"/>
            <wp:docPr id="1343748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3300" cy="3462213"/>
                    </a:xfrm>
                    <a:prstGeom prst="rect">
                      <a:avLst/>
                    </a:prstGeom>
                    <a:noFill/>
                    <a:ln>
                      <a:noFill/>
                    </a:ln>
                  </pic:spPr>
                </pic:pic>
              </a:graphicData>
            </a:graphic>
          </wp:inline>
        </w:drawing>
      </w:r>
    </w:p>
    <w:p w14:paraId="45090D70" w14:textId="48895C39" w:rsidR="008A35C5" w:rsidRPr="008A35C5" w:rsidRDefault="00C734A8"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7</w:t>
      </w:r>
      <w:r w:rsidRPr="008A35C5">
        <w:rPr>
          <w:b/>
          <w:bCs/>
        </w:rPr>
        <w:fldChar w:fldCharType="end"/>
      </w:r>
      <w:r w:rsidRPr="008A35C5">
        <w:rPr>
          <w:b/>
          <w:bCs/>
        </w:rPr>
        <w:t xml:space="preserve">. </w:t>
      </w:r>
      <w:r w:rsidR="002C44B4" w:rsidRPr="002C44B4">
        <w:rPr>
          <w:b/>
          <w:bCs/>
        </w:rPr>
        <w:t>Cross-validated model performance comparison</w:t>
      </w:r>
      <w:r w:rsidR="008A35C5">
        <w:rPr>
          <w:b/>
          <w:bCs/>
        </w:rPr>
        <w:t>.</w:t>
      </w:r>
      <w:r w:rsidR="008A35C5">
        <w:rPr>
          <w:b/>
          <w:bCs/>
        </w:rPr>
        <w:br/>
      </w:r>
      <w:r w:rsidR="00DC67B9" w:rsidRPr="00DC67B9">
        <w:t xml:space="preserve">Out-of-fold Harrell's C-index scores and 95% confidence intervals across six survival model configurations evaluated via stratified 5-fold cross-validation. The vertical </w:t>
      </w:r>
      <w:proofErr w:type="spellStart"/>
      <w:r w:rsidR="00DC67B9" w:rsidRPr="00DC67B9">
        <w:t>gray</w:t>
      </w:r>
      <w:proofErr w:type="spellEnd"/>
      <w:r w:rsidR="00DC67B9" w:rsidRPr="00DC67B9">
        <w:t xml:space="preserve"> line defines the clinical baseline (C = 0.768). The supervised data-driven RNA score (red point) achieved peak predictive performance (C = 0.789).</w:t>
      </w:r>
    </w:p>
    <w:p w14:paraId="4F204E5A" w14:textId="075568CB" w:rsidR="00B82FDC" w:rsidRPr="008A35C5" w:rsidRDefault="00B82FDC" w:rsidP="00C734A8">
      <w:pPr>
        <w:pStyle w:val="Caption"/>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536"/>
        <w:gridCol w:w="2254"/>
        <w:gridCol w:w="2254"/>
      </w:tblGrid>
      <w:tr w:rsidR="00C734A8" w14:paraId="69D76A2A" w14:textId="77777777" w:rsidTr="008A35C5">
        <w:tc>
          <w:tcPr>
            <w:tcW w:w="2972" w:type="dxa"/>
            <w:tcBorders>
              <w:bottom w:val="single" w:sz="4" w:space="0" w:color="auto"/>
            </w:tcBorders>
          </w:tcPr>
          <w:p w14:paraId="173B3786" w14:textId="2E1F4953" w:rsidR="00C734A8" w:rsidRPr="00C734A8" w:rsidRDefault="00C734A8" w:rsidP="00C734A8">
            <w:pPr>
              <w:keepNext/>
              <w:spacing w:after="0"/>
              <w:rPr>
                <w:b/>
                <w:bCs/>
              </w:rPr>
            </w:pPr>
            <w:r w:rsidRPr="00C734A8">
              <w:rPr>
                <w:b/>
                <w:bCs/>
              </w:rPr>
              <w:t xml:space="preserve">Model                   </w:t>
            </w:r>
          </w:p>
        </w:tc>
        <w:tc>
          <w:tcPr>
            <w:tcW w:w="1536" w:type="dxa"/>
            <w:tcBorders>
              <w:bottom w:val="single" w:sz="4" w:space="0" w:color="auto"/>
            </w:tcBorders>
          </w:tcPr>
          <w:p w14:paraId="55CDC2B4" w14:textId="5BBAF49A" w:rsidR="00C734A8" w:rsidRPr="00C734A8" w:rsidRDefault="00C734A8" w:rsidP="00417F53">
            <w:pPr>
              <w:keepNext/>
              <w:spacing w:after="0"/>
              <w:jc w:val="center"/>
              <w:rPr>
                <w:b/>
                <w:bCs/>
              </w:rPr>
            </w:pPr>
            <w:r w:rsidRPr="00C734A8">
              <w:rPr>
                <w:b/>
                <w:bCs/>
              </w:rPr>
              <w:t>CV C-index</w:t>
            </w:r>
          </w:p>
        </w:tc>
        <w:tc>
          <w:tcPr>
            <w:tcW w:w="2254" w:type="dxa"/>
            <w:tcBorders>
              <w:bottom w:val="single" w:sz="4" w:space="0" w:color="auto"/>
            </w:tcBorders>
          </w:tcPr>
          <w:p w14:paraId="51B367FA" w14:textId="054585A7" w:rsidR="00C734A8" w:rsidRPr="00C734A8" w:rsidRDefault="00C734A8" w:rsidP="00417F53">
            <w:pPr>
              <w:keepNext/>
              <w:spacing w:after="0"/>
              <w:jc w:val="center"/>
              <w:rPr>
                <w:b/>
                <w:bCs/>
              </w:rPr>
            </w:pPr>
            <w:r w:rsidRPr="00C734A8">
              <w:rPr>
                <w:b/>
                <w:bCs/>
              </w:rPr>
              <w:t>95% CI</w:t>
            </w:r>
          </w:p>
        </w:tc>
        <w:tc>
          <w:tcPr>
            <w:tcW w:w="2254" w:type="dxa"/>
            <w:tcBorders>
              <w:bottom w:val="single" w:sz="4" w:space="0" w:color="auto"/>
            </w:tcBorders>
          </w:tcPr>
          <w:p w14:paraId="6AA8D3EF" w14:textId="6CF213F5" w:rsidR="00C734A8" w:rsidRPr="00C734A8" w:rsidRDefault="00C734A8" w:rsidP="00417F53">
            <w:pPr>
              <w:keepNext/>
              <w:spacing w:after="0"/>
              <w:jc w:val="center"/>
              <w:rPr>
                <w:b/>
                <w:bCs/>
              </w:rPr>
            </w:pPr>
            <w:r w:rsidRPr="00C734A8">
              <w:rPr>
                <w:b/>
                <w:bCs/>
              </w:rPr>
              <w:t>Increment vs Clinical-only</w:t>
            </w:r>
          </w:p>
        </w:tc>
      </w:tr>
      <w:tr w:rsidR="00C734A8" w14:paraId="1FD6F4CD" w14:textId="77777777" w:rsidTr="008A35C5">
        <w:tc>
          <w:tcPr>
            <w:tcW w:w="2972" w:type="dxa"/>
            <w:tcBorders>
              <w:top w:val="single" w:sz="4" w:space="0" w:color="auto"/>
            </w:tcBorders>
          </w:tcPr>
          <w:p w14:paraId="0810AE25" w14:textId="14A05869" w:rsidR="00C734A8" w:rsidRDefault="00C734A8" w:rsidP="00C734A8">
            <w:pPr>
              <w:keepNext/>
              <w:spacing w:after="0"/>
            </w:pPr>
            <w:r w:rsidRPr="00150AFE">
              <w:t xml:space="preserve">RNA Data-Driven Score   </w:t>
            </w:r>
          </w:p>
        </w:tc>
        <w:tc>
          <w:tcPr>
            <w:tcW w:w="1536" w:type="dxa"/>
            <w:tcBorders>
              <w:top w:val="single" w:sz="4" w:space="0" w:color="auto"/>
            </w:tcBorders>
          </w:tcPr>
          <w:p w14:paraId="02F56F9A" w14:textId="57251183" w:rsidR="00C734A8" w:rsidRDefault="00C734A8" w:rsidP="00417F53">
            <w:pPr>
              <w:keepNext/>
              <w:spacing w:after="0"/>
              <w:jc w:val="center"/>
            </w:pPr>
            <w:r w:rsidRPr="00150AFE">
              <w:t>0.789</w:t>
            </w:r>
          </w:p>
        </w:tc>
        <w:tc>
          <w:tcPr>
            <w:tcW w:w="2254" w:type="dxa"/>
            <w:tcBorders>
              <w:top w:val="single" w:sz="4" w:space="0" w:color="auto"/>
            </w:tcBorders>
          </w:tcPr>
          <w:p w14:paraId="1CC7163A" w14:textId="47CEA121" w:rsidR="00C734A8" w:rsidRDefault="00C734A8" w:rsidP="00417F53">
            <w:pPr>
              <w:keepNext/>
              <w:spacing w:after="0"/>
              <w:jc w:val="center"/>
            </w:pPr>
            <w:r w:rsidRPr="00150AFE">
              <w:t>0.757–0.822</w:t>
            </w:r>
          </w:p>
        </w:tc>
        <w:tc>
          <w:tcPr>
            <w:tcW w:w="2254" w:type="dxa"/>
            <w:tcBorders>
              <w:top w:val="single" w:sz="4" w:space="0" w:color="auto"/>
            </w:tcBorders>
          </w:tcPr>
          <w:p w14:paraId="1CAC7A27" w14:textId="441DB11F" w:rsidR="00C734A8" w:rsidRDefault="00C734A8" w:rsidP="00417F53">
            <w:pPr>
              <w:keepNext/>
              <w:spacing w:after="0"/>
              <w:jc w:val="center"/>
            </w:pPr>
            <w:r w:rsidRPr="00150AFE">
              <w:t>+0.021</w:t>
            </w:r>
          </w:p>
        </w:tc>
      </w:tr>
      <w:tr w:rsidR="00C734A8" w14:paraId="10A114DA" w14:textId="77777777" w:rsidTr="008A35C5">
        <w:tc>
          <w:tcPr>
            <w:tcW w:w="2972" w:type="dxa"/>
          </w:tcPr>
          <w:p w14:paraId="147A0CA8" w14:textId="3BD517DE" w:rsidR="00C734A8" w:rsidRDefault="00417F53" w:rsidP="00C734A8">
            <w:pPr>
              <w:keepNext/>
              <w:spacing w:after="0"/>
            </w:pPr>
            <w:r w:rsidRPr="00150AFE">
              <w:t xml:space="preserve">RPPA Proteomics         </w:t>
            </w:r>
          </w:p>
        </w:tc>
        <w:tc>
          <w:tcPr>
            <w:tcW w:w="1536" w:type="dxa"/>
          </w:tcPr>
          <w:p w14:paraId="294434A4" w14:textId="3B9C5723" w:rsidR="00C734A8" w:rsidRDefault="00417F53" w:rsidP="00417F53">
            <w:pPr>
              <w:keepNext/>
              <w:spacing w:after="0"/>
              <w:jc w:val="center"/>
            </w:pPr>
            <w:r w:rsidRPr="00150AFE">
              <w:t>0.784</w:t>
            </w:r>
          </w:p>
        </w:tc>
        <w:tc>
          <w:tcPr>
            <w:tcW w:w="2254" w:type="dxa"/>
          </w:tcPr>
          <w:p w14:paraId="38A4467A" w14:textId="3D2818B5" w:rsidR="00C734A8" w:rsidRDefault="00417F53" w:rsidP="00417F53">
            <w:pPr>
              <w:keepNext/>
              <w:spacing w:after="0"/>
              <w:jc w:val="center"/>
            </w:pPr>
            <w:r w:rsidRPr="00150AFE">
              <w:t>0.747–0.820</w:t>
            </w:r>
          </w:p>
        </w:tc>
        <w:tc>
          <w:tcPr>
            <w:tcW w:w="2254" w:type="dxa"/>
          </w:tcPr>
          <w:p w14:paraId="11309A6D" w14:textId="77C7A96F" w:rsidR="00C734A8" w:rsidRDefault="00417F53" w:rsidP="00417F53">
            <w:pPr>
              <w:keepNext/>
              <w:spacing w:after="0"/>
              <w:jc w:val="center"/>
            </w:pPr>
            <w:r w:rsidRPr="00150AFE">
              <w:t>+0.016</w:t>
            </w:r>
          </w:p>
        </w:tc>
      </w:tr>
      <w:tr w:rsidR="00417F53" w14:paraId="1EFE29C2" w14:textId="77777777" w:rsidTr="008A35C5">
        <w:tc>
          <w:tcPr>
            <w:tcW w:w="2972" w:type="dxa"/>
          </w:tcPr>
          <w:p w14:paraId="56FC7F4C" w14:textId="289AA8A9" w:rsidR="00417F53" w:rsidRPr="00150AFE" w:rsidRDefault="00417F53" w:rsidP="00C734A8">
            <w:pPr>
              <w:keepNext/>
              <w:spacing w:after="0"/>
            </w:pPr>
            <w:r w:rsidRPr="00150AFE">
              <w:t xml:space="preserve">Integrated </w:t>
            </w:r>
            <w:proofErr w:type="gramStart"/>
            <w:r w:rsidRPr="00150AFE">
              <w:t>Multi-Omics</w:t>
            </w:r>
            <w:proofErr w:type="gramEnd"/>
            <w:r w:rsidRPr="00150AFE">
              <w:t xml:space="preserve">  </w:t>
            </w:r>
          </w:p>
        </w:tc>
        <w:tc>
          <w:tcPr>
            <w:tcW w:w="1536" w:type="dxa"/>
          </w:tcPr>
          <w:p w14:paraId="2FAC73A2" w14:textId="792D2100" w:rsidR="00417F53" w:rsidRPr="00150AFE" w:rsidRDefault="00417F53" w:rsidP="00417F53">
            <w:pPr>
              <w:keepNext/>
              <w:spacing w:after="0"/>
              <w:jc w:val="center"/>
            </w:pPr>
            <w:r w:rsidRPr="00150AFE">
              <w:t>0.</w:t>
            </w:r>
            <w:r>
              <w:t>774</w:t>
            </w:r>
          </w:p>
        </w:tc>
        <w:tc>
          <w:tcPr>
            <w:tcW w:w="2254" w:type="dxa"/>
          </w:tcPr>
          <w:p w14:paraId="05DCCC58" w14:textId="32AD25F0" w:rsidR="00417F53" w:rsidRPr="00150AFE" w:rsidRDefault="00417F53" w:rsidP="00417F53">
            <w:pPr>
              <w:keepNext/>
              <w:spacing w:after="0"/>
              <w:jc w:val="center"/>
            </w:pPr>
            <w:r w:rsidRPr="00150AFE">
              <w:t>0.738–0.811</w:t>
            </w:r>
          </w:p>
        </w:tc>
        <w:tc>
          <w:tcPr>
            <w:tcW w:w="2254" w:type="dxa"/>
          </w:tcPr>
          <w:p w14:paraId="0298122E" w14:textId="5C56BD0D" w:rsidR="00417F53" w:rsidRPr="00150AFE" w:rsidRDefault="00417F53" w:rsidP="00417F53">
            <w:pPr>
              <w:keepNext/>
              <w:spacing w:after="0"/>
              <w:jc w:val="center"/>
            </w:pPr>
            <w:r w:rsidRPr="00150AFE">
              <w:t xml:space="preserve">+0.006                </w:t>
            </w:r>
          </w:p>
        </w:tc>
      </w:tr>
      <w:tr w:rsidR="00417F53" w14:paraId="21396F3F" w14:textId="77777777" w:rsidTr="008A35C5">
        <w:tc>
          <w:tcPr>
            <w:tcW w:w="2972" w:type="dxa"/>
          </w:tcPr>
          <w:p w14:paraId="1794B00D" w14:textId="6398032B" w:rsidR="00417F53" w:rsidRPr="00150AFE" w:rsidRDefault="00417F53" w:rsidP="00C734A8">
            <w:pPr>
              <w:keepNext/>
              <w:spacing w:after="0"/>
            </w:pPr>
            <w:r w:rsidRPr="00150AFE">
              <w:t xml:space="preserve">RNA Pathway Signatures  </w:t>
            </w:r>
          </w:p>
        </w:tc>
        <w:tc>
          <w:tcPr>
            <w:tcW w:w="1536" w:type="dxa"/>
          </w:tcPr>
          <w:p w14:paraId="3E32B286" w14:textId="39EDCC8E" w:rsidR="00417F53" w:rsidRPr="00150AFE" w:rsidRDefault="00417F53" w:rsidP="00417F53">
            <w:pPr>
              <w:keepNext/>
              <w:spacing w:after="0"/>
              <w:jc w:val="center"/>
            </w:pPr>
            <w:r w:rsidRPr="00150AFE">
              <w:t xml:space="preserve">0.772      </w:t>
            </w:r>
          </w:p>
        </w:tc>
        <w:tc>
          <w:tcPr>
            <w:tcW w:w="2254" w:type="dxa"/>
          </w:tcPr>
          <w:p w14:paraId="39F78351" w14:textId="594F4F26" w:rsidR="00417F53" w:rsidRPr="00150AFE" w:rsidRDefault="00417F53" w:rsidP="00417F53">
            <w:pPr>
              <w:keepNext/>
              <w:spacing w:after="0"/>
              <w:jc w:val="center"/>
            </w:pPr>
            <w:r w:rsidRPr="00150AFE">
              <w:t>0.737–0.808</w:t>
            </w:r>
          </w:p>
        </w:tc>
        <w:tc>
          <w:tcPr>
            <w:tcW w:w="2254" w:type="dxa"/>
          </w:tcPr>
          <w:p w14:paraId="67757C96" w14:textId="53EF27CD" w:rsidR="00417F53" w:rsidRPr="00150AFE" w:rsidRDefault="00417F53" w:rsidP="00417F53">
            <w:pPr>
              <w:keepNext/>
              <w:spacing w:after="0"/>
              <w:jc w:val="center"/>
            </w:pPr>
            <w:r w:rsidRPr="00150AFE">
              <w:t xml:space="preserve">+0.004                </w:t>
            </w:r>
          </w:p>
        </w:tc>
      </w:tr>
      <w:tr w:rsidR="00417F53" w14:paraId="187C9215" w14:textId="77777777" w:rsidTr="008A35C5">
        <w:tc>
          <w:tcPr>
            <w:tcW w:w="2972" w:type="dxa"/>
          </w:tcPr>
          <w:p w14:paraId="336D74D1" w14:textId="7FF55797" w:rsidR="00417F53" w:rsidRPr="00150AFE" w:rsidRDefault="00417F53" w:rsidP="00C734A8">
            <w:pPr>
              <w:keepNext/>
              <w:spacing w:after="0"/>
            </w:pPr>
            <w:r w:rsidRPr="00150AFE">
              <w:t xml:space="preserve">Clinical Baseline       </w:t>
            </w:r>
          </w:p>
        </w:tc>
        <w:tc>
          <w:tcPr>
            <w:tcW w:w="1536" w:type="dxa"/>
          </w:tcPr>
          <w:p w14:paraId="092740DC" w14:textId="624DBC1D" w:rsidR="00417F53" w:rsidRPr="00150AFE" w:rsidRDefault="00417F53" w:rsidP="00417F53">
            <w:pPr>
              <w:keepNext/>
              <w:spacing w:after="0"/>
              <w:jc w:val="center"/>
            </w:pPr>
            <w:r w:rsidRPr="00150AFE">
              <w:t xml:space="preserve">0.768      </w:t>
            </w:r>
          </w:p>
        </w:tc>
        <w:tc>
          <w:tcPr>
            <w:tcW w:w="2254" w:type="dxa"/>
          </w:tcPr>
          <w:p w14:paraId="41EFDD9C" w14:textId="524570B4" w:rsidR="00417F53" w:rsidRPr="00150AFE" w:rsidRDefault="00417F53" w:rsidP="00417F53">
            <w:pPr>
              <w:keepNext/>
              <w:spacing w:after="0"/>
              <w:jc w:val="center"/>
            </w:pPr>
            <w:r w:rsidRPr="00150AFE">
              <w:t>0.731–0.804</w:t>
            </w:r>
          </w:p>
        </w:tc>
        <w:tc>
          <w:tcPr>
            <w:tcW w:w="2254" w:type="dxa"/>
          </w:tcPr>
          <w:p w14:paraId="2A159186" w14:textId="0303C4C8" w:rsidR="00417F53" w:rsidRPr="00150AFE" w:rsidRDefault="00417F53" w:rsidP="00417F53">
            <w:pPr>
              <w:keepNext/>
              <w:spacing w:after="0"/>
              <w:jc w:val="center"/>
            </w:pPr>
            <w:r w:rsidRPr="00150AFE">
              <w:t>—</w:t>
            </w:r>
          </w:p>
        </w:tc>
      </w:tr>
      <w:tr w:rsidR="00417F53" w14:paraId="0D01D165" w14:textId="77777777" w:rsidTr="008A35C5">
        <w:tc>
          <w:tcPr>
            <w:tcW w:w="2972" w:type="dxa"/>
          </w:tcPr>
          <w:p w14:paraId="510E1D41" w14:textId="4A7454A5" w:rsidR="00417F53" w:rsidRPr="00150AFE" w:rsidRDefault="00417F53" w:rsidP="00C734A8">
            <w:pPr>
              <w:keepNext/>
              <w:spacing w:after="0"/>
            </w:pPr>
            <w:r w:rsidRPr="00150AFE">
              <w:t>Copy Number Alterations</w:t>
            </w:r>
          </w:p>
        </w:tc>
        <w:tc>
          <w:tcPr>
            <w:tcW w:w="1536" w:type="dxa"/>
          </w:tcPr>
          <w:p w14:paraId="25853968" w14:textId="4E6A687D" w:rsidR="00417F53" w:rsidRPr="00150AFE" w:rsidRDefault="00417F53" w:rsidP="00417F53">
            <w:pPr>
              <w:keepNext/>
              <w:spacing w:after="0"/>
              <w:jc w:val="center"/>
            </w:pPr>
            <w:r w:rsidRPr="00150AFE">
              <w:t xml:space="preserve">0.767      </w:t>
            </w:r>
          </w:p>
        </w:tc>
        <w:tc>
          <w:tcPr>
            <w:tcW w:w="2254" w:type="dxa"/>
          </w:tcPr>
          <w:p w14:paraId="02F808C0" w14:textId="4608AB12" w:rsidR="00417F53" w:rsidRPr="00150AFE" w:rsidRDefault="00417F53" w:rsidP="00417F53">
            <w:pPr>
              <w:keepNext/>
              <w:spacing w:after="0"/>
              <w:jc w:val="center"/>
            </w:pPr>
            <w:r w:rsidRPr="00150AFE">
              <w:t>0.730–0.804</w:t>
            </w:r>
          </w:p>
        </w:tc>
        <w:tc>
          <w:tcPr>
            <w:tcW w:w="2254" w:type="dxa"/>
          </w:tcPr>
          <w:p w14:paraId="0074698C" w14:textId="1FCC7DE2" w:rsidR="00417F53" w:rsidRPr="00150AFE" w:rsidRDefault="00417F53" w:rsidP="00417F53">
            <w:pPr>
              <w:keepNext/>
              <w:spacing w:after="0"/>
              <w:jc w:val="center"/>
            </w:pPr>
            <w:r w:rsidRPr="00150AFE">
              <w:t xml:space="preserve">−0.001                </w:t>
            </w:r>
          </w:p>
        </w:tc>
      </w:tr>
    </w:tbl>
    <w:p w14:paraId="0AB9FACE" w14:textId="4FEFA2B4" w:rsidR="00B82FDC" w:rsidRPr="000B7451" w:rsidRDefault="00417F53" w:rsidP="00417F53">
      <w:pPr>
        <w:pStyle w:val="Caption"/>
        <w:rPr>
          <w:b/>
          <w:bCs/>
        </w:rPr>
      </w:pPr>
      <w:r w:rsidRPr="000B7451">
        <w:rPr>
          <w:b/>
          <w:bCs/>
        </w:rPr>
        <w:t xml:space="preserve">Table </w:t>
      </w:r>
      <w:r w:rsidRPr="000B7451">
        <w:rPr>
          <w:b/>
          <w:bCs/>
        </w:rPr>
        <w:fldChar w:fldCharType="begin"/>
      </w:r>
      <w:r w:rsidRPr="000B7451">
        <w:rPr>
          <w:b/>
          <w:bCs/>
        </w:rPr>
        <w:instrText xml:space="preserve"> SEQ Table \* ARABIC </w:instrText>
      </w:r>
      <w:r w:rsidRPr="000B7451">
        <w:rPr>
          <w:b/>
          <w:bCs/>
        </w:rPr>
        <w:fldChar w:fldCharType="separate"/>
      </w:r>
      <w:r w:rsidRPr="000B7451">
        <w:rPr>
          <w:b/>
          <w:bCs/>
          <w:noProof/>
        </w:rPr>
        <w:t>3</w:t>
      </w:r>
      <w:r w:rsidRPr="000B7451">
        <w:rPr>
          <w:b/>
          <w:bCs/>
        </w:rPr>
        <w:fldChar w:fldCharType="end"/>
      </w:r>
      <w:r w:rsidRPr="000B7451">
        <w:rPr>
          <w:b/>
          <w:bCs/>
        </w:rPr>
        <w:t xml:space="preserve">. </w:t>
      </w:r>
      <w:r w:rsidR="00DC67B9" w:rsidRPr="00DC67B9">
        <w:rPr>
          <w:b/>
          <w:bCs/>
        </w:rPr>
        <w:t>Cross-validated performance and incremental metrics against clinical baseline</w:t>
      </w:r>
      <w:r w:rsidR="000B7451" w:rsidRPr="000B7451">
        <w:rPr>
          <w:b/>
          <w:bCs/>
        </w:rPr>
        <w:t>.</w:t>
      </w:r>
      <w:r w:rsidR="000B7451" w:rsidRPr="000B7451">
        <w:rPr>
          <w:b/>
          <w:bCs/>
        </w:rPr>
        <w:br/>
      </w:r>
      <w:r w:rsidR="00DC67B9" w:rsidRPr="00DC67B9">
        <w:t>Summary of out-of-fold Harrell's C-index values, 95% confidence intervals, and incremental performance gains (∆C) relative to the clinical baseline across the six evaluated survival models</w:t>
      </w:r>
      <w:r w:rsidR="000B7451" w:rsidRPr="000B7451">
        <w:t>.</w:t>
      </w:r>
    </w:p>
    <w:p w14:paraId="13B93B71" w14:textId="54AF787E" w:rsidR="00B82FDC" w:rsidRPr="00150AFE" w:rsidRDefault="00B82FDC" w:rsidP="00B82FDC">
      <w:r w:rsidRPr="00150AFE">
        <w:t xml:space="preserve">The unbiased data-driven transcriptomic score was the single best-performing model (C-index = 0.789), adding 0.021 over the clinical baseline. RPPA proteomics was the second strongest individual layer (C-index = 0.784, +0.016). Curated RNA pathway signatures added a modest </w:t>
      </w:r>
      <w:r w:rsidRPr="00150AFE">
        <w:lastRenderedPageBreak/>
        <w:t>but positive increment (+0.004). CNA features did not improve upon the clinical baseline, consistent with the very low focal alteration prevalence in this cohort. Notably, the fully integrated model (C-index = 0.774) underperformed both the data-driven RNA score and the RPPA model individually, suggesting that incorporating noisier layers dilutes the strongest signals rather than compounding them. This finding is consistent with the literature on multi-omics model saturation</w:t>
      </w:r>
      <w:r w:rsidR="00D27C42">
        <w:fldChar w:fldCharType="begin"/>
      </w:r>
      <w:r w:rsidR="00BD6E8D">
        <w:instrText xml:space="preserve"> ADDIN ZOTERO_ITEM CSL_CITATION {"citationID":"YAPxI3oR","properties":{"unsorted":false,"formattedCitation":"\\super 13,14\\nosupersub{}","plainCitation":"13,14","noteIndex":0},"citationItems":[{"id":3807,"uris":["http://zotero.org/users/17607594/items/5CE9ZVI2"],"itemData":{"id":3807,"type":"article-journal","abstract":"Multi-omics data, that is, datasets containing different types of high-dimensional molecular variables, are increasingly often generated for the investigation of various diseases. Nevertheless, questions remain regarding the usefulness of multi-omics data for the prediction of disease outcomes such as survival time. It is also unclear which methods are most appropriate to derive such prediction models. We aim to give some answers to these questions through a large-scale benchmark study using real data. Different prediction methods from machine learning and statistics were applied on 18 multi-omics cancer datasets (35 to 1000 observations, up to 100 000 variables) from the database 'The Cancer Genome Atlas' (TCGA). The considered outcome was the (censored) survival time. Eleven methods based on boosting, penalized regression and random forest were compared, comprising both methods that do and that do not take the group structure of the omics variables into account. The Kaplan-Meier estimate and a Cox model using only clinical variables were used as reference methods. The methods were compared using several repetitions of 5-fold cross-validation. Uno's C-index and the integrated Brier score served as performance metrics. The results indicate that methods taking into account the multi-omics structure have a slightly better prediction performance. Taking this structure into account can protect the predictive information in low-dimensional groups-especially clinical variables-from not being exploited during prediction. Moreover, only the block forest method outperformed the Cox model on average, and only slightly. This indicates, as a by-product of our study, that in the considered TCGA studies the utility of multi-omics data for prediction purposes was limited. Contact:moritz.herrmann@stat.uni-muenchen.de, +49 89 2180 3198 Supplementary information: Supplementary data are available at Briefings in Bioinformatics online. All analyses are reproducible using R code freely available on Github.","citation-key":"herrmannLargescaleBenchmarkStudy2021","container-title":"Briefings in Bioinformatics","DOI":"10.1093/bib/bbaa167","ISSN":"1477-4054","issue":"3","journalAbbreviation":"Brief Bioinform","language":"eng","page":"bbaa167","PMID":"32823283","PMCID":"PMC8138887","source":"PubMed","title":"Large-scale benchmark study of survival prediction methods using multi-omics data","URL":"https://pmc.ncbi.nlm.nih.gov/articles/PMC8138887/","volume":"22","author":[{"family":"Herrmann","given":"Moritz"},{"family":"Probst","given":"Philipp"},{"family":"Hornung","given":"Roman"},{"family":"Jurinovic","given":"Vindi"},{"family":"Boulesteix","given":"Anne-Laure"}],"issued":{"date-parts":[["2021",5,20]]}}},{"id":3805,"uris":["http://zotero.org/users/17607594/items/DEY8XQ9J"],"itemData":{"id":3805,"type":"article-journal","abstract":"BACKGROUND: Predictive modeling based on multi-omics data, which incorporates several types of omics data for the same patients, has shown potential to outperform single-omics predictive modeling. Most research in this domain focuses on incorporating numerous data types, despite the complexity and cost of acquiring them. The prevailing assumption is that increasing the number of data types necessarily improves predictive performance. However, the integration of less informative or redundant data types could potentially hinder this performance. Therefore, identifying the most effective combinations of omics data types that enhance predictive performance is critical for cost-effective and accurate predictions.\nMETHODS: In this study, we systematically evaluated the predictive performance of all 31 possible combinations including at least one of five genomic data types (mRNA, miRNA, methylation, DNAseq, and copy number variation) using 14 cancer datasets with right-censored survival outcomes, publicly available from the TCGA database. We employed various prediction methods and up-weighted clinical data in every model to leverage their predictive importance. Harrell's C-index and the integrated Brier Score were used as performance measures. To assess the robustness of our findings, we performed a bootstrap analysis at the level of the included datasets. Statistical testing was conducted for key results, limiting the number of tests to ensure a low risk of false positives.\nRESULTS: Contrary to expectations, we found that using only mRNA data or a combination of mRNA and miRNA data was sufficient for most cancer types. For some cancer types, the additional inclusion of methylation data led to improved prediction results. Far from enhancing performance, the introduction of more data types most often resulted in a decline in performance, which varied between the two performance measures.\nCONCLUSIONS: Our findings challenge the prevailing notion that combining multiple omics data types in multi-omics survival prediction improves predictive performance. Thus, the widespread approach in multi-omics prediction of incorporating as many data types as possible should be reconsidered to avoid suboptimal prediction results and unnecessary expenditure.","citation-key":"liDoesCombiningNumerous2024","container-title":"BMC Medical Informatics and Decision Making","DOI":"10.1186/s12911-024-02642-9","ISSN":"1472-6947","issue":"1","journalAbbreviation":"BMC Med Inform Decis Mak","language":"eng","page":"244","PMID":"39223659","PMCID":"PMC11370316","source":"PubMed","title":"Does combining numerous data types in multi-omics data improve or hinder performance in survival prediction? Insights from a large-scale benchmark study","title-short":"Does combining numerous data types in multi-omics data improve or hinder performance in survival prediction?","URL":"https://doi.org/10.1186/s12911-024-02642-9","volume":"24","author":[{"family":"Li","given":"Yingxia"},{"family":"Herold","given":"Tobias"},{"family":"Mansmann","given":"Ulrich"},{"family":"Hornung","given":"Roman"}],"issued":{"date-parts":[["2024",9,2]]}}}],"schema":"https://github.com/citation-style-language/schema/raw/master/csl-citation.json"} </w:instrText>
      </w:r>
      <w:r w:rsidR="00D27C42">
        <w:fldChar w:fldCharType="separate"/>
      </w:r>
      <w:r w:rsidR="00BD6E8D" w:rsidRPr="00BD6E8D">
        <w:rPr>
          <w:vertAlign w:val="superscript"/>
        </w:rPr>
        <w:t>13,14</w:t>
      </w:r>
      <w:r w:rsidR="00D27C42">
        <w:fldChar w:fldCharType="end"/>
      </w:r>
      <w:r w:rsidRPr="00150AFE">
        <w:t>.</w:t>
      </w:r>
    </w:p>
    <w:p w14:paraId="1EEEE2B2" w14:textId="3209FBFB" w:rsidR="00B82FDC" w:rsidRPr="00150AFE" w:rsidRDefault="00B82FDC" w:rsidP="00F35C6E">
      <w:pPr>
        <w:pStyle w:val="Heading3"/>
      </w:pPr>
      <w:r w:rsidRPr="00150AFE">
        <w:t>2.</w:t>
      </w:r>
      <w:r w:rsidR="00F35C6E">
        <w:t>6</w:t>
      </w:r>
      <w:r w:rsidRPr="00150AFE">
        <w:t xml:space="preserve"> Integrated Model Coefficients and Biological Interpretation</w:t>
      </w:r>
    </w:p>
    <w:p w14:paraId="1A05CF55" w14:textId="77777777" w:rsidR="00B82FDC" w:rsidRPr="00150AFE" w:rsidRDefault="00B82FDC" w:rsidP="00B82FDC">
      <w:r w:rsidRPr="00150AFE">
        <w:t>The final integrated model was fitted on the full complete-case cohort (n = 448) using clinical variables, RPPA proteins, and curated RNA pathway scores. CNA features were excluded from the integrated model due to near-complete separation arising from their very low prevalence, though CNA was retained as a standalone cross-validated comparison model. The full coefficient forest plot is presented in Figure 8.</w:t>
      </w:r>
    </w:p>
    <w:p w14:paraId="7C5F7035" w14:textId="77777777" w:rsidR="00417F53" w:rsidRDefault="00417F53" w:rsidP="00417F53">
      <w:pPr>
        <w:keepNext/>
      </w:pPr>
      <w:r>
        <w:rPr>
          <w:noProof/>
        </w:rPr>
        <w:lastRenderedPageBreak/>
        <w:drawing>
          <wp:inline distT="0" distB="0" distL="0" distR="0" wp14:anchorId="18483DE4" wp14:editId="78D9F1BD">
            <wp:extent cx="5727700" cy="4298950"/>
            <wp:effectExtent l="0" t="0" r="6350" b="6350"/>
            <wp:docPr id="924675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4298950"/>
                    </a:xfrm>
                    <a:prstGeom prst="rect">
                      <a:avLst/>
                    </a:prstGeom>
                    <a:noFill/>
                    <a:ln>
                      <a:noFill/>
                    </a:ln>
                  </pic:spPr>
                </pic:pic>
              </a:graphicData>
            </a:graphic>
          </wp:inline>
        </w:drawing>
      </w:r>
    </w:p>
    <w:p w14:paraId="765E8BE2" w14:textId="66E747DE" w:rsidR="008A35C5" w:rsidRPr="008A35C5" w:rsidRDefault="00417F53"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Pr="008A35C5">
        <w:rPr>
          <w:b/>
          <w:bCs/>
          <w:noProof/>
        </w:rPr>
        <w:t>8</w:t>
      </w:r>
      <w:r w:rsidRPr="008A35C5">
        <w:rPr>
          <w:b/>
          <w:bCs/>
        </w:rPr>
        <w:fldChar w:fldCharType="end"/>
      </w:r>
      <w:r w:rsidRPr="008A35C5">
        <w:rPr>
          <w:b/>
          <w:bCs/>
        </w:rPr>
        <w:t xml:space="preserve">. </w:t>
      </w:r>
      <w:r w:rsidR="00DC67B9" w:rsidRPr="00DC67B9">
        <w:rPr>
          <w:b/>
          <w:bCs/>
        </w:rPr>
        <w:t>Multivariable hazard ratios for the integrated multi-omics model</w:t>
      </w:r>
      <w:r w:rsidR="008A35C5" w:rsidRPr="008A35C5">
        <w:rPr>
          <w:b/>
          <w:bCs/>
        </w:rPr>
        <w:t>.</w:t>
      </w:r>
      <w:r w:rsidR="008A35C5">
        <w:rPr>
          <w:b/>
          <w:bCs/>
        </w:rPr>
        <w:br/>
      </w:r>
      <w:r w:rsidR="00DC67B9" w:rsidRPr="00DC67B9">
        <w:t>Full-cohort Cox proportional hazards fit (n = 448) across clinical metadata, proteomic markers, and transcriptomic pathway scores. Points show hazard ratios (HR) and horizontal whiskers represent 95% confidence intervals on a log scale. Green indicates protective effects (HR &lt; 1) and red indicates increased risk (HR &gt; 1)</w:t>
      </w:r>
      <w:r w:rsidR="00DC67B9">
        <w:t>.</w:t>
      </w:r>
    </w:p>
    <w:p w14:paraId="003282CC" w14:textId="595B3603" w:rsidR="00B82FDC" w:rsidRPr="00150AFE" w:rsidRDefault="00B82FDC" w:rsidP="00B82FDC">
      <w:r w:rsidRPr="00D27C42">
        <w:rPr>
          <w:b/>
          <w:bCs/>
        </w:rPr>
        <w:t>Clinical variables.</w:t>
      </w:r>
      <w:r w:rsidRPr="00150AFE">
        <w:t xml:space="preserve"> Stage IV conferred the largest hazard in the model (HR = 4.32, 95% CI 2.61–7.17, p = 1.34 × 10</w:t>
      </w:r>
      <w:r w:rsidRPr="00150AFE">
        <w:rPr>
          <w:rFonts w:ascii="Cambria Math" w:hAnsi="Cambria Math" w:cs="Cambria Math"/>
        </w:rPr>
        <w:t>⁻</w:t>
      </w:r>
      <w:r w:rsidRPr="00150AFE">
        <w:t>⁸), consistent with the strong clinical dominance observed throughout the analysis. Age (HR = 1.04 per year, p = 6.40 × 10</w:t>
      </w:r>
      <w:r w:rsidRPr="00150AFE">
        <w:rPr>
          <w:rFonts w:ascii="Cambria Math" w:hAnsi="Cambria Math" w:cs="Cambria Math"/>
        </w:rPr>
        <w:t>⁻</w:t>
      </w:r>
      <w:r w:rsidRPr="00150AFE">
        <w:t>⁶) and Stage III (HR = 1.93, p = 0.008) also reached significance. Grade and tumour break load score, whilst selected by univariable screening, did not retain independent significance in the fully adjusted model, likely reflecting partial mediation through stage.</w:t>
      </w:r>
    </w:p>
    <w:p w14:paraId="54F23838" w14:textId="24CAFB69" w:rsidR="00B82FDC" w:rsidRPr="00150AFE" w:rsidRDefault="00B82FDC" w:rsidP="00B82FDC">
      <w:r w:rsidRPr="00D27C42">
        <w:rPr>
          <w:b/>
          <w:bCs/>
        </w:rPr>
        <w:t>Proteomic markers.</w:t>
      </w:r>
      <w:r w:rsidRPr="00150AFE">
        <w:t xml:space="preserve"> Three RPPA proteins reached statistical significance in the multivariable model. PEA15 (HR = 1.28, p = 0.014) was associated with increased mortality risk; PEA15 sequesters phosphorylated ERK in the cytoplasm, altering its transcriptional programme and modulating apoptotic sensitivity</w:t>
      </w:r>
      <w:r w:rsidR="00D27C42">
        <w:fldChar w:fldCharType="begin"/>
      </w:r>
      <w:r w:rsidR="00BD6E8D">
        <w:instrText xml:space="preserve"> ADDIN ZOTERO_ITEM CSL_CITATION {"citationID":"i9j0vOUu","properties":{"unsorted":false,"formattedCitation":"\\super 15\\nosupersub{}","plainCitation":"15","noteIndex":0},"citationItems":[{"id":3803,"uris":["http://zotero.org/users/17607594/items/L3INXWDI"],"itemData":{"id":3803,"type":"article-journal","abstract":"BACKGROUND: Clear cell renal cell carcinoma (ccRCC) is one of the most common types of malignant adult kidney cancer, and its incidence and mortality are not optimistic. It is well known that tumor-related protein markers play an important role in cancer detection, prognosis prediction, or treatment selection, such as carcinoembryonic antigen (CEA), programmed cell death 1 (PD-1), programmed cell death 1 ligand 1 (PD-L1), and cytotoxic T lymphocyte antigen 4 (CTLA-4), so a comprehensive analysis was performed in this study to explore the prognostic value of protein expression in patients with ccRCC.\nMATERIALS AND METHODS: Protein expression data were obtained from The Cancer Proteome Atlas (TCPA), and clinical information were downloaded from The Cancer Genome Atlas (TCGA). We selected 445 patients with complete information and then separated them into a training set and testing set. We performed univariate, least absolute shrinkage and selection operator (LASSO) Cox analyses to find prognosis-related proteins (PRPs) and constructed a protein signature. Then, we used stratified analysis to fully verify the prognostic significance of the prognostic-related protein signature score (PRPscore). Besides, we also explored the differences in immunotherapy response and immune cell infiltration level in high and low score groups. The consensus clustering analysis was also performed to identify potential cancer subgroups.\nRESULTS: From the training set, a total of 233 PRPs were selected, and a seven-protein signature was constructed, including ACC1, AR, MAPK, PDK1, PEA15, SYK, and BRAF. Based on the PRPscore, patients could be divided into two groups with significantly different overall survival rates. Univariate and multivariate Cox regression analyses proved that this signature was an independent prognostic factor for patients (P &lt; 0.001). Moreover, the signature showed a high ability to distinguish prognostic outcomes among subgroups, and the low score group had a better prognosis (P &lt; 0.001) and better immunotherapy response (P = 0.003) than the high score group.\nCONCLUSION: We constructed a novel protein signature with robust predictive power and high clinical value. This will help to guide the disease management and individualized treatment of ccRCC patients.","citation-key":"chuIdentificationNovelProteinBased2021","container-title":"Frontiers in Molecular Biosciences","DOI":"10.3389/fmolb.2021.623120","ISSN":"2296-889X","journalAbbreviation":"Front Mol Biosci","language":"eng","page":"623120","PMID":"33842538","PMCID":"PMC8027127","source":"PubMed","title":"Identification of a Novel Protein-Based Signature to Improve Prognosis Prediction in Renal Clear Cell Carcinoma","volume":"8","author":[{"family":"Chu","given":"Guangdi"},{"family":"Xu","given":"Ting"},{"family":"Zhu","given":"Guanqun"},{"family":"Liu","given":"Shuaihong"},{"family":"Niu","given":"Haitao"},{"family":"Zhang","given":"Mingxin"}],"issued":{"date-parts":[["2021"]]}}}],"schema":"https://github.com/citation-style-language/schema/raw/master/csl-citation.json"} </w:instrText>
      </w:r>
      <w:r w:rsidR="00D27C42">
        <w:fldChar w:fldCharType="separate"/>
      </w:r>
      <w:r w:rsidR="00BD6E8D" w:rsidRPr="00BD6E8D">
        <w:rPr>
          <w:vertAlign w:val="superscript"/>
        </w:rPr>
        <w:t>15</w:t>
      </w:r>
      <w:r w:rsidR="00D27C42">
        <w:fldChar w:fldCharType="end"/>
      </w:r>
      <w:r w:rsidRPr="00150AFE">
        <w:t xml:space="preserve">. ERRFI1/MIG-6 (HR = 0.76, p = 0.021) was protective, consistent with its role as a negative regulator of EGFR and ERBB family receptor tyrosine kinase signalling (higher ERRFI1 expression reflects greater suppression of the oncogenic </w:t>
      </w:r>
      <w:r w:rsidRPr="00150AFE">
        <w:lastRenderedPageBreak/>
        <w:t>kinase axis)</w:t>
      </w:r>
      <w:r w:rsidR="00D27C42">
        <w:fldChar w:fldCharType="begin"/>
      </w:r>
      <w:r w:rsidR="00BD6E8D">
        <w:instrText xml:space="preserve"> ADDIN ZOTERO_ITEM CSL_CITATION {"citationID":"wi39ktbc","properties":{"unsorted":false,"formattedCitation":"\\super 16\\nosupersub{}","plainCitation":"16","noteIndex":0},"citationItems":[{"id":3802,"uris":["http://zotero.org/users/17607594/items/KT35TE47"],"itemData":{"id":3802,"type":"article-journal","abstract":"Gene 33 (also named Mig6, RALT, and ERRFI1) is an adapter/scaffold protein with a calculated molecular weight of about 50 kD. It contains multiple domains known to mediate protein-protein interaction, suggesting that it has the potential to interact with many cellular partners and have multiple cellular functions. The research over the last two decades has confirmed that it indeed regulates multiple cell signaling pathways and is involved in many pathophysiological processes. Gene 33 has long been viewed as an exclusively cytosolic protein. However, recent evidence suggests that it also has nuclear and chromatin-associated functions. These new findings highlight a significantly broader functional spectrum of this protein. In this review, we will discuss the function and regulation of Gene 33, as well as its association with human pathophysiological conditions in light of the recent research progress on this protein.","citation-key":"xuGene33Mig62021","container-title":"Cells","DOI":"10.3390/cells10071574","ISSN":"2073-4409","issue":"7","journalAbbreviation":"Cells","language":"eng","page":"1574","PMID":"34206547","PMCID":"PMC8306081","source":"PubMed","title":"Gene 33/Mig6/ERRFI1, an Adapter Protein with Complex Functions in Cell Biology and Human Diseases","volume":"10","author":[{"family":"Xu","given":"Dazhong"},{"family":"Li","given":"Cen"}],"issued":{"date-parts":[["2021",6,22]]}}}],"schema":"https://github.com/citation-style-language/schema/raw/master/csl-citation.json"} </w:instrText>
      </w:r>
      <w:r w:rsidR="00D27C42">
        <w:fldChar w:fldCharType="separate"/>
      </w:r>
      <w:r w:rsidR="00BD6E8D" w:rsidRPr="00BD6E8D">
        <w:rPr>
          <w:vertAlign w:val="superscript"/>
        </w:rPr>
        <w:t>16</w:t>
      </w:r>
      <w:r w:rsidR="00D27C42">
        <w:fldChar w:fldCharType="end"/>
      </w:r>
      <w:r w:rsidRPr="00150AFE">
        <w:t xml:space="preserve">. Phosphorylated MAPK/ERK (pT202/Y204; HR = 0.81, p = 0.030) was also independently protective. Although MAPK/ERK activation is usually linked to tumour growth, there is published evidence in </w:t>
      </w:r>
      <w:proofErr w:type="spellStart"/>
      <w:r w:rsidRPr="00150AFE">
        <w:t>ccRCC</w:t>
      </w:r>
      <w:proofErr w:type="spellEnd"/>
      <w:r w:rsidRPr="00150AFE">
        <w:t xml:space="preserve"> that higher ERK activity may instead reflect more differentiated, less aggressive tumours. The similar effects seen for ERRFI1, phospho-ERK, and the borderline-significant p90RSK (HR = 0.82, p = 0.098) suggest a consistent ERK/MAPK signalling pattern, where higher pathway activity is linked to improved survival in </w:t>
      </w:r>
      <w:r w:rsidR="00D27C42">
        <w:t>ccRCC</w:t>
      </w:r>
      <w:r w:rsidR="00D27C42">
        <w:fldChar w:fldCharType="begin"/>
      </w:r>
      <w:r w:rsidR="00BD6E8D">
        <w:instrText xml:space="preserve"> ADDIN ZOTERO_ITEM CSL_CITATION {"citationID":"2kVQxsnL","properties":{"unsorted":false,"formattedCitation":"\\super 17\\nosupersub{}","plainCitation":"17","noteIndex":0},"citationItems":[{"id":3801,"uris":["http://zotero.org/users/17607594/items/GIP9ZLK3"],"itemData":{"id":3801,"type":"article-journal","abstract":"We examined extracellular signal</w:instrText>
      </w:r>
      <w:r w:rsidR="00BD6E8D">
        <w:rPr>
          <w:rFonts w:ascii="Cambria Math" w:hAnsi="Cambria Math" w:cs="Cambria Math"/>
        </w:rPr>
        <w:instrText>‑</w:instrText>
      </w:r>
      <w:r w:rsidR="00BD6E8D">
        <w:instrText>regulated kinase (ERK), 4E</w:instrText>
      </w:r>
      <w:r w:rsidR="00BD6E8D">
        <w:rPr>
          <w:rFonts w:ascii="Cambria Math" w:hAnsi="Cambria Math" w:cs="Cambria Math"/>
        </w:rPr>
        <w:instrText>‑</w:instrText>
      </w:r>
      <w:r w:rsidR="00BD6E8D">
        <w:instrText>binding protein 1 (4EBP1) and p70 ribosomal S6 kinase (p70) as potential biomarkers for pretreatment prediction of the prognosis of patients with metastatic renal cell carcinoma (RCC) treated with sorafenib, sunitinib or everolimus. 786</w:instrText>
      </w:r>
      <w:r w:rsidR="00BD6E8D">
        <w:rPr>
          <w:rFonts w:ascii="Cambria Math" w:hAnsi="Cambria Math" w:cs="Cambria Math"/>
        </w:rPr>
        <w:instrText>‑</w:instrText>
      </w:r>
      <w:r w:rsidR="00BD6E8D">
        <w:instrText>O and 769</w:instrText>
      </w:r>
      <w:r w:rsidR="00BD6E8D">
        <w:rPr>
          <w:rFonts w:ascii="Cambria Math" w:hAnsi="Cambria Math" w:cs="Cambria Math"/>
        </w:rPr>
        <w:instrText>‑</w:instrText>
      </w:r>
      <w:r w:rsidR="00BD6E8D">
        <w:instrText>P cells were treated with sorafenib, sunitinib and everolimus. The expression of phosphorylated/total ERK, phosphorylated/total 4EBP1 and phosphorylated/total p70 was evaluated using western blotting. ERK, 4EBP1 and p70 were knocked down by siRNA in 786</w:instrText>
      </w:r>
      <w:r w:rsidR="00BD6E8D">
        <w:rPr>
          <w:rFonts w:ascii="Cambria Math" w:hAnsi="Cambria Math" w:cs="Cambria Math"/>
        </w:rPr>
        <w:instrText>‑</w:instrText>
      </w:r>
      <w:r w:rsidR="00BD6E8D">
        <w:instrText>O and 769</w:instrText>
      </w:r>
      <w:r w:rsidR="00BD6E8D">
        <w:rPr>
          <w:rFonts w:ascii="Cambria Math" w:hAnsi="Cambria Math" w:cs="Cambria Math"/>
        </w:rPr>
        <w:instrText>‑</w:instrText>
      </w:r>
      <w:r w:rsidR="00BD6E8D">
        <w:instrText>P cells. Then, the viability after treatment with each drug was assessed. Expression of phosphorylated (phospho)</w:instrText>
      </w:r>
      <w:r w:rsidR="00BD6E8D">
        <w:rPr>
          <w:rFonts w:ascii="Cambria Math" w:hAnsi="Cambria Math" w:cs="Cambria Math"/>
        </w:rPr>
        <w:instrText>‑</w:instrText>
      </w:r>
      <w:r w:rsidR="00BD6E8D">
        <w:instrText>ERK, -4EBP1 and -p70 was immunohistochemically evaluated in radical nephrectomy specimens and correlated with progression</w:instrText>
      </w:r>
      <w:r w:rsidR="00BD6E8D">
        <w:rPr>
          <w:rFonts w:ascii="Cambria Math" w:hAnsi="Cambria Math" w:cs="Cambria Math"/>
        </w:rPr>
        <w:instrText>‑</w:instrText>
      </w:r>
      <w:r w:rsidR="00BD6E8D">
        <w:instrText>free survival during treatment with each molecular targeting agent. Sorafenib inhibited the expression of phospho-ERK and -4EBP1 in 769</w:instrText>
      </w:r>
      <w:r w:rsidR="00BD6E8D">
        <w:rPr>
          <w:rFonts w:ascii="Cambria Math" w:hAnsi="Cambria Math" w:cs="Cambria Math"/>
        </w:rPr>
        <w:instrText>‑</w:instrText>
      </w:r>
      <w:r w:rsidR="00BD6E8D">
        <w:instrText>P cells; sunitinib, phospho-ERK and -4EBP1 in 786</w:instrText>
      </w:r>
      <w:r w:rsidR="00BD6E8D">
        <w:rPr>
          <w:rFonts w:ascii="Cambria Math" w:hAnsi="Cambria Math" w:cs="Cambria Math"/>
        </w:rPr>
        <w:instrText>‑</w:instrText>
      </w:r>
      <w:r w:rsidR="00BD6E8D">
        <w:instrText>O and 769</w:instrText>
      </w:r>
      <w:r w:rsidR="00BD6E8D">
        <w:rPr>
          <w:rFonts w:ascii="Cambria Math" w:hAnsi="Cambria Math" w:cs="Cambria Math"/>
        </w:rPr>
        <w:instrText>‑</w:instrText>
      </w:r>
      <w:r w:rsidR="00BD6E8D">
        <w:instrText>P cells; and everolimus, phospho-p70 in 786</w:instrText>
      </w:r>
      <w:r w:rsidR="00BD6E8D">
        <w:rPr>
          <w:rFonts w:ascii="Cambria Math" w:hAnsi="Cambria Math" w:cs="Cambria Math"/>
        </w:rPr>
        <w:instrText>‑</w:instrText>
      </w:r>
      <w:r w:rsidR="00BD6E8D">
        <w:instrText>O and 769</w:instrText>
      </w:r>
      <w:r w:rsidR="00BD6E8D">
        <w:rPr>
          <w:rFonts w:ascii="Cambria Math" w:hAnsi="Cambria Math" w:cs="Cambria Math"/>
        </w:rPr>
        <w:instrText>‑</w:instrText>
      </w:r>
      <w:r w:rsidR="00BD6E8D">
        <w:instrText>P cells. Knockdown of ERK reduced sensitivity to sorafenib in both cell lines, knockdown of ERK and 4EBP1 reduced sensitivity to sunitinib in 769</w:instrText>
      </w:r>
      <w:r w:rsidR="00BD6E8D">
        <w:rPr>
          <w:rFonts w:ascii="Cambria Math" w:hAnsi="Cambria Math" w:cs="Cambria Math"/>
        </w:rPr>
        <w:instrText>‑</w:instrText>
      </w:r>
      <w:r w:rsidR="00BD6E8D">
        <w:instrText>P cells, and knockdown of 4EBP1 and p70 reduced sensitivity to everolimus in 786</w:instrText>
      </w:r>
      <w:r w:rsidR="00BD6E8D">
        <w:rPr>
          <w:rFonts w:ascii="Cambria Math" w:hAnsi="Cambria Math" w:cs="Cambria Math"/>
        </w:rPr>
        <w:instrText>‑</w:instrText>
      </w:r>
      <w:r w:rsidR="00BD6E8D">
        <w:instrText>O cells. High expression of phospho-ERK, -4EBP1 and -p70 correlated with better progression</w:instrText>
      </w:r>
      <w:r w:rsidR="00BD6E8D">
        <w:rPr>
          <w:rFonts w:ascii="Cambria Math" w:hAnsi="Cambria Math" w:cs="Cambria Math"/>
        </w:rPr>
        <w:instrText>‑</w:instrText>
      </w:r>
      <w:r w:rsidR="00BD6E8D">
        <w:instrText xml:space="preserve">free survival in patients treated with sorafenib, sunitinib and everolimus, respectively. Our results indicate that phospho-ERK, -4EBP1 and/or -ERK, and phospho-p70 can be used as biomarkers for the therapeutic efficacy of sorafenib, sunitinib and everolimus, respectively.","citation-key":"nakaiPotentialBiomarkersTherapeutic2017","container-title":"Oncology Reports","DOI":"10.3892/or.2016.5232","ISSN":"1791-2431","issue":"1","journalAbbreviation":"Oncol Rep","language":"eng","page":"227-234","PMID":"27840968","source":"PubMed","title":"Potential biomarkers for the therapeutic efficacy of sorafenib, sunitinib and everolimus","volume":"37","author":[{"family":"Nakai","given":"Yasushi"},{"family":"Miyake","given":"Makito"},{"family":"Morizawa","given":"Yosuke"},{"family":"Hori","given":"Shunta"},{"family":"Tatsumi","given":"Yoshihiro"},{"family":"Anai","given":"Satoshi"},{"family":"Onishi","given":"Sayuri"},{"family":"Tanaka","given":"Nobumichi"},{"family":"Fujimoto","given":"Kiyohide"}],"issued":{"date-parts":[["2017",1]]}}}],"schema":"https://github.com/citation-style-language/schema/raw/master/csl-citation.json"} </w:instrText>
      </w:r>
      <w:r w:rsidR="00D27C42">
        <w:fldChar w:fldCharType="separate"/>
      </w:r>
      <w:r w:rsidR="00BD6E8D" w:rsidRPr="00BD6E8D">
        <w:rPr>
          <w:vertAlign w:val="superscript"/>
        </w:rPr>
        <w:t>17</w:t>
      </w:r>
      <w:r w:rsidR="00D27C42">
        <w:fldChar w:fldCharType="end"/>
      </w:r>
      <w:r w:rsidRPr="00150AFE">
        <w:t>. The remaining seven proteins did not reach significance in the fully adjusted model, consistent with partial redundancy in their prognostic information relative to stage and the other retained proteins.</w:t>
      </w:r>
    </w:p>
    <w:p w14:paraId="4C76597C" w14:textId="7ED326B9" w:rsidR="00B82FDC" w:rsidRPr="00150AFE" w:rsidRDefault="00B82FDC" w:rsidP="00B82FDC">
      <w:r w:rsidRPr="00D27C42">
        <w:rPr>
          <w:b/>
          <w:bCs/>
        </w:rPr>
        <w:t>Transcriptomic pathway scores.</w:t>
      </w:r>
      <w:r w:rsidRPr="00150AFE">
        <w:t xml:space="preserve"> No individual pathway score reached conventional significance in the multivariable integrated model, despite the combined RNA pathway feature set improving cross-validated C-index by 0.004 over the clinical baseline. This apparent paradox is explained by multicollinearity: the eight pathway gene sets share a substantial number of member genes (</w:t>
      </w:r>
      <w:proofErr w:type="spellStart"/>
      <w:r w:rsidRPr="00C11FF7">
        <w:rPr>
          <w:rStyle w:val="CodeChar"/>
        </w:rPr>
        <w:t>inflammatory_response</w:t>
      </w:r>
      <w:proofErr w:type="spellEnd"/>
      <w:r w:rsidRPr="00150AFE">
        <w:t xml:space="preserve"> and </w:t>
      </w:r>
      <w:proofErr w:type="spellStart"/>
      <w:r w:rsidRPr="00C11FF7">
        <w:rPr>
          <w:rStyle w:val="CodeChar"/>
        </w:rPr>
        <w:t>ecm_remodelling</w:t>
      </w:r>
      <w:proofErr w:type="spellEnd"/>
      <w:r w:rsidRPr="00150AFE">
        <w:t xml:space="preserve"> each contain over 1,800 genes with considerable overlap), producing highly correlated PC1 scores that inflate standard errors and p-values in multivariable regression whilst retaining joint discriminatory power in cross-validation. The neutrophil activation score carried the numerically largest pathway hazard ratio in the integrated model (HR = 1.15), consistent with the established role of tumour-associated neutrophils as mediators of invasion and poor prognosis in ccRCC</w:t>
      </w:r>
      <w:r w:rsidR="00D27C42">
        <w:fldChar w:fldCharType="begin"/>
      </w:r>
      <w:r w:rsidR="00BD6E8D">
        <w:instrText xml:space="preserve"> ADDIN ZOTERO_ITEM CSL_CITATION {"citationID":"MyKWe3co","properties":{"unsorted":false,"formattedCitation":"\\super 5\\nosupersub{}","plainCitation":"5","noteIndex":0},"citationItems":[{"id":3817,"uris":["http://zotero.org/users/17607594/items/JQHQTJZP"],"itemData":{"id":3817,"type":"article-journal","abstract":"Neutrophils are the most abundant circulating leukocytes, being the first line of defence against bacterial and fungal infections. However, neutrophils also contribute to tissue damage during various autoimmune and inflammatory diseases, and play important roles in cancer progression. The intimate but complex involvement of neutrophils in various diseases makes them exciting targets for therapeutic intervention but also necessitates differentiation of beneficial responses from potentially detrimental side effects. A variety of approaches to therapeutically target neutrophils have emerged, including strategies to enhance, inhibit or restore neutrophil function, with several agents entering clinical trials. However, challenges and controversies in the field remain.","citation-key":"nemethNeutrophilsEmergingTherapeutic2020","container-title":"Nature Reviews Drug Discovery","DOI":"10.1038/s41573-019-0054-z","ISSN":"1474-1784","issue":"4","journalAbbreviation":"Nat Rev Drug Discov","language":"eng","license":"2020 Springer Nature Limited","page":"253-275","PMID":"31969717","publisher":"Nature Publishing Group","source":"PubMed","title":"Neutrophils as emerging therapeutic targets","URL":"https://www.nature.com/articles/s41573-019-0054-z","volume":"19","author":[{"family":"Németh","given":"Tamás"},{"family":"Sperandio","given":"Markus"},{"family":"Mócsai","given":"Attila"}],"issued":{"date-parts":[["2020",4]]}}}],"schema":"https://github.com/citation-style-language/schema/raw/master/csl-citation.json"} </w:instrText>
      </w:r>
      <w:r w:rsidR="00D27C42">
        <w:fldChar w:fldCharType="separate"/>
      </w:r>
      <w:r w:rsidR="00BD6E8D" w:rsidRPr="00BD6E8D">
        <w:rPr>
          <w:vertAlign w:val="superscript"/>
        </w:rPr>
        <w:t>5</w:t>
      </w:r>
      <w:r w:rsidR="00D27C42">
        <w:fldChar w:fldCharType="end"/>
      </w:r>
      <w:r w:rsidRPr="00150AFE">
        <w:t>. Notably, neutrophil activation was a stronger individual signal than neutrophil degranulation, suggesting that upstream neutrophil recruitment and activation state (rather than downstream effector functions) is the more prognostically relevant component of neutrophil biology in this tumour.</w:t>
      </w:r>
    </w:p>
    <w:p w14:paraId="385BED83" w14:textId="77777777" w:rsidR="00DC67B9" w:rsidRDefault="00DC67B9">
      <w:pPr>
        <w:spacing w:after="160" w:line="259" w:lineRule="auto"/>
        <w:rPr>
          <w:rFonts w:eastAsiaTheme="majorEastAsia"/>
          <w:b/>
          <w:bCs/>
          <w:sz w:val="32"/>
          <w:szCs w:val="32"/>
        </w:rPr>
      </w:pPr>
      <w:r>
        <w:br w:type="page"/>
      </w:r>
    </w:p>
    <w:p w14:paraId="7353D617" w14:textId="12CF5E28" w:rsidR="00B82FDC" w:rsidRPr="00150AFE" w:rsidRDefault="00B82FDC" w:rsidP="000972D6">
      <w:pPr>
        <w:pStyle w:val="Heading2"/>
      </w:pPr>
      <w:r w:rsidRPr="00150AFE">
        <w:lastRenderedPageBreak/>
        <w:t>3. Methods and Code</w:t>
      </w:r>
    </w:p>
    <w:p w14:paraId="7C6B749B" w14:textId="10F00ECA" w:rsidR="00B82FDC" w:rsidRDefault="00B82FDC" w:rsidP="00B82FDC">
      <w:r w:rsidRPr="00150AFE">
        <w:t xml:space="preserve">The complete analysis pipeline is publicly available at </w:t>
      </w:r>
      <w:hyperlink r:id="rId16" w:history="1">
        <w:r w:rsidR="00D27C42" w:rsidRPr="00BB0C36">
          <w:rPr>
            <w:rStyle w:val="Hyperlink"/>
          </w:rPr>
          <w:t>https://github.com/gillespieza/tcga-kirc-survival-omics/</w:t>
        </w:r>
      </w:hyperlink>
      <w:r w:rsidRPr="00150AFE">
        <w:t>. All analyses were performed in R (version 4.6.0)</w:t>
      </w:r>
      <w:r w:rsidR="00C5345B">
        <w:fldChar w:fldCharType="begin"/>
      </w:r>
      <w:r w:rsidR="00BD6E8D">
        <w:instrText xml:space="preserve"> ADDIN ZOTERO_ITEM CSL_CITATION {"citationID":"blZKul1m","properties":{"unsorted":false,"formattedCitation":"\\super 18\\nosupersub{}","plainCitation":"18","noteIndex":0},"citationItems":[{"id":3799,"uris":["http://zotero.org/users/17607594/items/8LG8BR35"],"itemData":{"id":3799,"type":"webpage","citation-key":"ProjectStatisticalComputing","publisher":"R Foundation for Statistical Computing","publisher-place":"Vienna, Austria","title":"R: A language and environment for statistical computing","URL":"https://www.r-project.org/","author":[{"literal":"R Core Team"}],"accessed":{"date-parts":[["2026",6,8]]},"issued":{"date-parts":[["2019"]]}}}],"schema":"https://github.com/citation-style-language/schema/raw/master/csl-citation.json"} </w:instrText>
      </w:r>
      <w:r w:rsidR="00C5345B">
        <w:fldChar w:fldCharType="separate"/>
      </w:r>
      <w:r w:rsidR="00BD6E8D" w:rsidRPr="00BD6E8D">
        <w:rPr>
          <w:vertAlign w:val="superscript"/>
        </w:rPr>
        <w:t>18</w:t>
      </w:r>
      <w:r w:rsidR="00C5345B">
        <w:fldChar w:fldCharType="end"/>
      </w:r>
      <w:r w:rsidRPr="00150AFE">
        <w:t xml:space="preserve"> using the </w:t>
      </w:r>
      <w:proofErr w:type="spellStart"/>
      <w:r w:rsidRPr="00C11FF7">
        <w:rPr>
          <w:rStyle w:val="CodeChar"/>
        </w:rPr>
        <w:t>tidyverse</w:t>
      </w:r>
      <w:proofErr w:type="spellEnd"/>
      <w:r w:rsidRPr="00150AFE">
        <w:t xml:space="preserve"> suite</w:t>
      </w:r>
      <w:r w:rsidR="00C5345B">
        <w:fldChar w:fldCharType="begin"/>
      </w:r>
      <w:r w:rsidR="00BD6E8D">
        <w:instrText xml:space="preserve"> ADDIN ZOTERO_ITEM CSL_CITATION {"citationID":"6ldHkUpr","properties":{"unsorted":false,"formattedCitation":"\\super 19\\nosupersub{}","plainCitation":"19","noteIndex":0},"citationItems":[{"id":3790,"uris":["http://zotero.org/users/17607594/items/SITKWDJQ"],"itemData":{"id":3790,"type":"article-journal","abstract":"Wickham et al., (2019). Welcome to the Tidyverse. Journal of Open Source Software, 4(43), 1686, https://doi.org/10.21105/joss.01686","citation-key":"wickhamWelcomeTidyverse2019","container-title":"Journal of Open Source Software","DOI":"10.21105/joss.01686","ISSN":"2475-9066","issue":"43","language":"en","page":"1686","source":"joss.theoj.org","title":"Welcome to the Tidyverse","URL":"https://joss.theoj.org/papers/10.21105/joss.01686","volume":"4","author":[{"family":"Wickham","given":"Hadley"},{"family":"Averick","given":"Mara"},{"family":"Bryan","given":"Jennifer"},{"family":"Chang","given":"Winston"},{"family":"McGowan","given":"Lucy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accessed":{"date-parts":[["2026",6,8]]},"issued":{"date-parts":[["2019",11,21]]}}}],"schema":"https://github.com/citation-style-language/schema/raw/master/csl-citation.json"} </w:instrText>
      </w:r>
      <w:r w:rsidR="00C5345B">
        <w:fldChar w:fldCharType="separate"/>
      </w:r>
      <w:r w:rsidR="00BD6E8D" w:rsidRPr="00BD6E8D">
        <w:rPr>
          <w:vertAlign w:val="superscript"/>
        </w:rPr>
        <w:t>19</w:t>
      </w:r>
      <w:r w:rsidR="00C5345B">
        <w:fldChar w:fldCharType="end"/>
      </w:r>
      <w:r w:rsidR="00C5345B">
        <w:t>,</w:t>
      </w:r>
      <w:r w:rsidRPr="00150AFE">
        <w:t xml:space="preserve"> </w:t>
      </w:r>
      <w:r w:rsidRPr="00C11FF7">
        <w:rPr>
          <w:rStyle w:val="CodeChar"/>
        </w:rPr>
        <w:t>survival</w:t>
      </w:r>
      <w:r w:rsidR="00C11FF7" w:rsidRPr="00C11FF7">
        <w:rPr>
          <w:vertAlign w:val="superscript"/>
        </w:rPr>
        <w:fldChar w:fldCharType="begin"/>
      </w:r>
      <w:r w:rsidR="00BD6E8D">
        <w:rPr>
          <w:vertAlign w:val="superscript"/>
        </w:rPr>
        <w:instrText xml:space="preserve"> ADDIN ZOTERO_ITEM CSL_CITATION {"citationID":"otD2iUnn","properties":{"unsorted":false,"formattedCitation":"\\super 20,21\\nosupersub{}","plainCitation":"20,21","noteIndex":0},"citationItems":[{"id":3797,"uris":["http://zotero.org/users/17607594/items/WK2M5XRX"],"itemData":{"id":3797,"type":"software","citation-key":"therneauPackageSurvivalAnalysis2026","collection-title":"R package version 3.8-6","title":"A Package for Survival Analysis in R","URL":"https://CRAN.R-project.org/package=survival","author":[{"family":"Therneau","given":"T"}],"issued":{"date-parts":[["2026"]]}}},{"id":3798,"uris":["http://zotero.org/users/17607594/items/QIMTPZ7A"],"itemData":{"id":3798,"type":"software","citation-key":"therneauModelingSurvivalData2000","ISBN":"0-387-98784-3","publisher":"Springer","publisher-place":"New York","title":"Modeling Survival Data: Extending the Cox Model","author":[{"family":"Therneau","given":"Terry M."},{"family":"Grambsch","given":"Patricia M."}],"issued":{"date-parts":[["2000"]]}}}],"schema":"https://github.com/citation-style-language/schema/raw/master/csl-citation.json"} </w:instrText>
      </w:r>
      <w:r w:rsidR="00C11FF7" w:rsidRPr="00C11FF7">
        <w:rPr>
          <w:vertAlign w:val="superscript"/>
        </w:rPr>
        <w:fldChar w:fldCharType="separate"/>
      </w:r>
      <w:r w:rsidR="00BD6E8D" w:rsidRPr="00BD6E8D">
        <w:rPr>
          <w:vertAlign w:val="superscript"/>
        </w:rPr>
        <w:t>20,21</w:t>
      </w:r>
      <w:r w:rsidR="00C11FF7" w:rsidRPr="00C11FF7">
        <w:rPr>
          <w:vertAlign w:val="superscript"/>
        </w:rPr>
        <w:fldChar w:fldCharType="end"/>
      </w:r>
      <w:r w:rsidRPr="00150AFE">
        <w:t xml:space="preserve">, </w:t>
      </w:r>
      <w:r w:rsidRPr="00C11FF7">
        <w:rPr>
          <w:rStyle w:val="CodeChar"/>
        </w:rPr>
        <w:t>survminer</w:t>
      </w:r>
      <w:r w:rsidR="00706259">
        <w:fldChar w:fldCharType="begin"/>
      </w:r>
      <w:r w:rsidR="00BD6E8D">
        <w:instrText xml:space="preserve"> ADDIN ZOTERO_ITEM CSL_CITATION {"citationID":"Dd0X7V5F","properties":{"unsorted":false,"formattedCitation":"\\super 22\\nosupersub{}","plainCitation":"22","noteIndex":0},"citationItems":[{"id":3796,"uris":["http://zotero.org/users/17607594/items/U2VEJCHJ"],"itemData":{"id":3796,"type":"software","abstract":"Contains the function 'ggsurvplot()' for drawing easily beautiful and 'ready-to-publish' survival curves with the 'number at risk' table and 'censoring count plot'. Other functions are also available to plot adjusted curves for ‘Cox' model and to visually examine ’Cox' model assumptions.","citation-key":"kassambaraSurvminerDrawingSurvival2026","collection-title":"R package version 0.5.2","DOI":"10.32614/CRAN.package.survminer","license":"GPL-2","source":"R-Packages","title":"survminer: Drawing Survival Curves using 'ggplot2'","title-short":"survminer","URL":"https://cran.r-project.org/web/packages/survminer/index.html","author":[{"family":"Kassambara","given":"Alboukadel"},{"family":"Kosinski","given":"Marcin"},{"family":"Biecek","given":"Przemyslaw"}],"accessed":{"date-parts":[["2026",6,8]]},"issued":{"date-parts":[["2026",2,25]]}}}],"schema":"https://github.com/citation-style-language/schema/raw/master/csl-citation.json"} </w:instrText>
      </w:r>
      <w:r w:rsidR="00706259">
        <w:fldChar w:fldCharType="separate"/>
      </w:r>
      <w:r w:rsidR="00BD6E8D" w:rsidRPr="00BD6E8D">
        <w:rPr>
          <w:vertAlign w:val="superscript"/>
        </w:rPr>
        <w:t>22</w:t>
      </w:r>
      <w:r w:rsidR="00706259">
        <w:fldChar w:fldCharType="end"/>
      </w:r>
      <w:r w:rsidRPr="00150AFE">
        <w:t xml:space="preserve">, </w:t>
      </w:r>
      <w:r w:rsidRPr="00C11FF7">
        <w:rPr>
          <w:rStyle w:val="CodeChar"/>
        </w:rPr>
        <w:t>glmnet</w:t>
      </w:r>
      <w:r w:rsidR="00706259">
        <w:rPr>
          <w:rStyle w:val="CodeChar"/>
        </w:rPr>
        <w:fldChar w:fldCharType="begin"/>
      </w:r>
      <w:r w:rsidR="00BD6E8D">
        <w:rPr>
          <w:rStyle w:val="CodeChar"/>
        </w:rPr>
        <w:instrText xml:space="preserve"> ADDIN ZOTERO_ITEM CSL_CITATION {"citationID":"xENXxiso","properties":{"unsorted":false,"formattedCitation":"\\super 23,24\\nosupersub{}","plainCitation":"23,24","noteIndex":0},"citationItems":[{"id":3795,"uris":["http://zotero.org/users/17607594/items/XL4ZC45W"],"itemData":{"id":3795,"type":"article-journal","abstract":"We develop fast algorithms for estimation of generalized linear models with convex penalties. The models include linear regression, two-class logistic regression, and multi- nomial regression problems while the penalties include ℓ1 (the lasso), ℓ2 (ridge regression) and mixtures of the two (the elastic net). The algorithms use cyclical coordinate descent, computed along a regularization path. The methods can handle large problems and can also deal efficiently with sparse features. In comparative timings we find that the new algorithms are considerably faster than competing methods.","citation-key":"friedmanRegularizationPathsGeneralized2010","container-title":"Journal of Statistical Software","DOI":"10.18637/jss.v033.i01","ISSN":"1548-7660","language":"en","license":"Copyright (c) 2009 Jerome H. Friedman, Trevor Hastie, Rob Tibshirani","page":"1-22","source":"www.jstatsoft.org","title":"Regularization paths for generalized linear models via coordinate descent","URL":"https://doi.org/10.18637/jss.v033.i01","volume":"33","author":[{"family":"Friedman","given":"Jerome H."},{"family":"Hastie","given":"Trevor"},{"family":"Tibshirani","given":"Rob"}],"accessed":{"date-parts":[["2026",6,8]]},"issued":{"date-parts":[["2010",2,2]]}}},{"id":3789,"uris":["http://zotero.org/users/17607594/items/YAXES47J"],"itemData":{"id":3789,"type":"article-journal","abstract":"The lasso and elastic net are popular regularized regression models for supervised learning. Friedman, Hastie, and Tibshirani (2010) introduced a computationally efficient algorithm for computing the elastic net regularization path for ordinary least squares regression, logistic regression and multinomial logistic regression, while Simon, Friedman, Hastie, and Tibshirani (2011) extended this work to Cox models for right-censored data. We further extend the reach of the elastic net-regularized regression to all generalized linear model families, Cox models with (start, stop] data and strata, and a simplified version of the relaxed lasso. We also discuss convenient utility functions for measuring the performance of these fitted models.","citation-key":"tayElasticNetRegularization2023","container-title":"Journal of Statistical Software","DOI":"10.18637/jss.v106.i01","ISSN":"1548-7660","language":"en","license":"Copyright (c) 2023 J. Kenneth Tay, Balasubramanian Narasimhan, Trevor Hastie","page":"1-31","source":"www.jstatsoft.org","title":"Elastic net regularization paths for all generalized linear models","URL":"https://doi.org/10.18637/jss.v106.i01","volume":"106","author":[{"family":"Tay","given":"J. Kenneth"},{"family":"Narasimhan","given":"Balasubramanian"},{"family":"Hastie","given":"Trevor"}],"accessed":{"date-parts":[["2026",6,8]]},"issued":{"date-parts":[["2023",3,23]]}}}],"schema":"https://github.com/citation-style-language/schema/raw/master/csl-citation.json"} </w:instrText>
      </w:r>
      <w:r w:rsidR="00706259">
        <w:rPr>
          <w:rStyle w:val="CodeChar"/>
        </w:rPr>
        <w:fldChar w:fldCharType="separate"/>
      </w:r>
      <w:r w:rsidR="00BD6E8D" w:rsidRPr="00BD6E8D">
        <w:rPr>
          <w:rFonts w:ascii="Courier New" w:hAnsi="Courier New" w:cs="Courier New"/>
          <w:vertAlign w:val="superscript"/>
        </w:rPr>
        <w:t>23,24</w:t>
      </w:r>
      <w:r w:rsidR="00706259">
        <w:rPr>
          <w:rStyle w:val="CodeChar"/>
        </w:rPr>
        <w:fldChar w:fldCharType="end"/>
      </w:r>
      <w:r w:rsidRPr="00150AFE">
        <w:t xml:space="preserve">, </w:t>
      </w:r>
      <w:r w:rsidR="00C11FF7" w:rsidRPr="00C11FF7">
        <w:rPr>
          <w:rStyle w:val="CodeChar"/>
        </w:rPr>
        <w:t>broom</w:t>
      </w:r>
      <w:r w:rsidR="00706259">
        <w:fldChar w:fldCharType="begin"/>
      </w:r>
      <w:r w:rsidR="00BD6E8D">
        <w:instrText xml:space="preserve"> ADDIN ZOTERO_ITEM CSL_CITATION {"citationID":"kO78cskc","properties":{"unsorted":false,"formattedCitation":"\\super 25\\nosupersub{}","plainCitation":"25","noteIndex":0},"citationItems":[{"id":3794,"uris":["http://zotero.org/users/17607594/items/F5BHTVVL"],"itemData":{"id":3794,"type":"software","abstract":"Summarizes key information about statistical objects in tidy tibbles. This makes it easy to report results, create plots and consistently work with large numbers of models at once. Broom provides three verbs that each provide different types of information about a model. tidy() summarizes information about model components such as coefficients of a regression. glance() reports information about an entire model, such as goodness of fit measures like AIC and BIC. augment() adds information about individual observations to a dataset, such as fitted values or influence measures.","citation-key":"robinsonBroomConvertStatistical2026","collection-title":"R package version 1.0.13","DOI":"10.32614/CRAN.package.broom","license":"MIT + file LICENSE","source":"R-Packages","title":"broom: Convert Statistical Objects into Tidy Tibbles","title-short":"broom","URL":"https://cran.r-project.org/web/packages/broom/index.html","version":"R package version 1.0.13","author":[{"family":"Robinson","given":"David"},{"family":"Hayes","given":"Alex"},{"family":"Couch","given":"Simon"},{"family":"Hvitfeldt","given":"Emil"},{"literal":"Posit Software PBC"},{"family":"Patil","given":"Indrajeet"},{"family":"Chiu","given":"Derek"},{"family":"Gomez","given":"Matthieu"},{"family":"Demeshev","given":"Boris"},{"family":"Menne","given":"Dieter"},{"family":"Nutter","given":"Benjamin"},{"family":"Johnston","given":"Luke"},{"family":"Bolker","given":"Ben"},{"family":"Briatte","given":"Francois"},{"family":"Arnold","given":"Jeffrey"},{"family":"Gabry","given":"Jonah"},{"family":"Selzer","given":"Luciano"},{"family":"Simpson","given":"Gavin"},{"family":"Preussner","given":"Jens"},{"family":"Hesselberth","given":"Jay"},{"family":"Wickham","given":"Hadley"},{"family":"Lincoln","given":"Matthew"},{"family":"Gasparini","given":"Alessandro"},{"family":"Komsta","given":"Lukasz"},{"family":"Novometsky","given":"Frederick"},{"family":"Freitas","given":"Wilson"},{"family":"Evans","given":"Michelle"},{"family":"Brunson","given":"Jason Cory"},{"family":"Jackson","given":"Simon"},{"family":"Whalley","given":"Ben"},{"family":"Whiting","given":"Karissa"},{"family":"Rosseel","given":"Yves"},{"family":"Kuehn","given":"Michael"},{"family":"Cimentada","given":"Jorge"},{"family":"Holgersen","given":"Erle"},{"family":"Werner","given":"Karl Dunkle"},{"family":"Christensen","given":"Ethan"},{"family":"Pav","given":"Steven"},{"family":"PJ","given":"Paul"},{"family":"Schneider","given":"Ben"},{"family":"Kennedy","given":"Patrick"},{"family":"Medina","given":"Lily"},{"family":"Fannin","given":"Brian"},{"family":"Muhlenkamp","given":"Jason"},{"family":"Lehman","given":"Matt"},{"family":"Denney","given":"Bill"},{"family":"Crane","given":"Nic"},{"family":"Bates","given":"Andrew"},{"family":"Arel-Bundock","given":"Vincent"},{"family":"Hayashi","given":"Hideaki"},{"family":"Tobalina","given":"Luis"},{"family":"Wang","given":"Annie"},{"family":"Tham","given":"Wei Yang"},{"family":"Wang","given":"Clara"},{"family":"Smith","given":"Abby"},{"family":"Cooper","given":"Jasper"},{"family":"Krauska","given":"E. Auden"},{"family":"Wang","given":"Alex"},{"family":"Barrett","given":"Malcolm"},{"family":"Gray","given":"Charles"},{"family":"Wilber","given":"Jared"},{"family":"Gegzna","given":"Vilmantas"},{"family":"Szoecs","given":"Eduard"},{"family":"Aust","given":"Frederik"},{"family":"Moore","given":"Angus"},{"family":"Williams","given":"Nick"},{"family":"Barth","given":"Marius"},{"family":"Wundervald","given":"Bruna"},{"family":"Cahoon","given":"Joyce"},{"family":"McDermott","given":"Grant"},{"family":"Zarca","given":"Kevin"},{"family":"Kuriwaki","given":"Shiro"},{"family":"Wallrich","given":"Lukas"},{"family":"Martherus","given":"James"},{"family":"Xiao","given":"Chuliang"},{"family":"Larmarange","given":"Joseph"},{"family":"Kuhn","given":"Max"},{"family":"Bojanowski","given":"Michal"},{"family":"Malmedal","given":"Hakon"},{"family":"Wang","given":"Clara"},{"family":"Oller","given":"Sergio"},{"family":"Sonnet","given":"Luke"},{"family":"Hester","given":"Jim"},{"family":"Schneider","given":"Ben"},{"family":"Gray","given":"Bernie"},{"family":"Averick","given":"Mara"},{"family":"Jacobs","given":"Aaron"},{"family":"Bender","given":"Andreas"},{"family":"Templer","given":"Sven"},{"family":"Buerkner","given":"Paul-Christian"},{"family":"Kay","given":"Matthew"},{"family":"Pennec","given":"Erwan Le"},{"family":"Junkka","given":"Johan"},{"family":"Zhu","given":"Hao"},{"family":"Soltoff","given":"Benjamin"},{"family":"Saldana","given":"Zoe Wilkinson"},{"family":"Littlefield","given":"Tyler"},{"family":"Gray","given":"Charles T."},{"family":"Banks","given":"Shabbh E."},{"family":"Robinson","given":"Serina"},{"family":"Bivand","given":"Roger"},{"family":"Ots","given":"Riinu"},{"family":"Williams","given":"Nicholas"},{"family":"Jakobsen","given":"Nina"},{"family":"Weylandt","given":"Michael"},{"family":"Lendway","given":"Lisa"},{"family":"Hailperin","given":"Karl"},{"family":"Rodriguez","given":"Josue"},{"family":"Bryan","given":"Jenny"},{"family":"Jarvis","given":"Chris"},{"family":"Macfarlane","given":"Greg"},{"family":"Mannakee","given":"Brian"},{"family":"Tyre","given":"Drew"},{"family":"Singh","given":"Shreyas"},{"family":"Geffert","given":"Laurens"},{"family":"Ooi","given":"Hong"},{"family":"Bengtsson","given":"Henrik"},{"family":"Szocs","given":"Eduard"},{"family":"Hugh-Jones","given":"David"},{"family":"Stigler","given":"Matthieu"},{"family":"Tavares","given":"Hugo"},{"family":"Vervoort","given":"R. Willem"},{"family":"Wiernik","given":"Brenton M."},{"family":"Yamamoto","given":"Josh"},{"family":"Lee","given":"Jasme"},{"family":"Sanders","given":"Taren"},{"family":"Prosdocimi","given":"Ilaria"},{"family":"Sjoberg","given":"Daniel D."},{"family":"Reinhart","given":"Alex"}],"accessed":{"date-parts":[["2026",6,8]]},"issued":{"date-parts":[["2026",5,14]]}}}],"schema":"https://github.com/citation-style-language/schema/raw/master/csl-citation.json"} </w:instrText>
      </w:r>
      <w:r w:rsidR="00706259">
        <w:fldChar w:fldCharType="separate"/>
      </w:r>
      <w:r w:rsidR="00BD6E8D" w:rsidRPr="00BD6E8D">
        <w:rPr>
          <w:vertAlign w:val="superscript"/>
        </w:rPr>
        <w:t>25</w:t>
      </w:r>
      <w:r w:rsidR="00706259">
        <w:fldChar w:fldCharType="end"/>
      </w:r>
      <w:r w:rsidRPr="00150AFE">
        <w:t xml:space="preserve">, and </w:t>
      </w:r>
      <w:r w:rsidR="00C11FF7" w:rsidRPr="00C11FF7">
        <w:rPr>
          <w:rStyle w:val="CodeChar"/>
        </w:rPr>
        <w:t>msigdbr</w:t>
      </w:r>
      <w:r w:rsidR="00C11FF7">
        <w:fldChar w:fldCharType="begin"/>
      </w:r>
      <w:r w:rsidR="00BD6E8D">
        <w:instrText xml:space="preserve"> ADDIN ZOTERO_ITEM CSL_CITATION {"citationID":"YDvtsCx6","properties":{"unsorted":false,"formattedCitation":"\\super 26\\nosupersub{}","plainCitation":"26","noteIndex":0},"citationItems":[{"id":3792,"uris":["http://zotero.org/users/17607594/items/FPKG2TQY"],"itemData":{"id":3792,"type":"software","abstract":"Provides the 'Molecular Signatures Database' (MSigDB) gene sets typically used with the 'Gene Set Enrichment Analysis' (GSEA) software (Subramanian et al. 2005 &lt;doi:10.1073/pnas.0506580102&gt;, Liberzon et al. 2015 &lt;doi:10.1016/j.cels.2015.12.004&gt;, Castanza et al. 2023 &lt;doi:10.1038/s41592-023-02014-7&gt;) as an R data frame. The package includes the human genes as listed in MSigDB as well as the corresponding symbols and IDs for frequently studied model organisms such as mouse, rat, pig, fly, and yeast.","citation-key":"dolgalevMsigdbrMSigDBGene2026","collection-title":"R package version 26.1.0","DOI":"10.32614/CRAN.package.msigdbr","license":"MIT + file LICENSE","source":"R-Packages","title":"msigdbr: MSigDB gene sets for multiple organisms in a tidy data format","title-short":"msigdbr","URL":"https://cran.r-project.org/web/packages/msigdbr/index.html","version":"R package version 26.1.0","author":[{"family":"Dolgalev","given":"Igor"}],"accessed":{"date-parts":[["2026",6,8]]},"issued":{"date-parts":[["2026",3,12]]}}}],"schema":"https://github.com/citation-style-language/schema/raw/master/csl-citation.json"} </w:instrText>
      </w:r>
      <w:r w:rsidR="00C11FF7">
        <w:fldChar w:fldCharType="separate"/>
      </w:r>
      <w:r w:rsidR="00BD6E8D" w:rsidRPr="00BD6E8D">
        <w:rPr>
          <w:vertAlign w:val="superscript"/>
        </w:rPr>
        <w:t>26</w:t>
      </w:r>
      <w:r w:rsidR="00C11FF7">
        <w:fldChar w:fldCharType="end"/>
      </w:r>
      <w:r w:rsidRPr="00150AFE">
        <w:t>. A global random seed of 42 was set prior to all stochastic steps. The pipeline is orchestrated by a single entry-point script (</w:t>
      </w:r>
      <w:proofErr w:type="spellStart"/>
      <w:r w:rsidRPr="00D27C42">
        <w:rPr>
          <w:rFonts w:ascii="Courier New" w:hAnsi="Courier New" w:cs="Courier New"/>
          <w:b/>
          <w:bCs/>
        </w:rPr>
        <w:t>run_</w:t>
      </w:r>
      <w:proofErr w:type="gramStart"/>
      <w:r w:rsidRPr="00D27C42">
        <w:rPr>
          <w:rFonts w:ascii="Courier New" w:hAnsi="Courier New" w:cs="Courier New"/>
          <w:b/>
          <w:bCs/>
        </w:rPr>
        <w:t>analysis.R</w:t>
      </w:r>
      <w:proofErr w:type="spellEnd"/>
      <w:proofErr w:type="gramEnd"/>
      <w:r w:rsidRPr="00150AFE">
        <w:t xml:space="preserve">) that sources fourteen modular scripts in a defined sequence, with centralised logging, timing, and error handling. </w:t>
      </w:r>
    </w:p>
    <w:p w14:paraId="401BE115" w14:textId="77777777" w:rsidR="00872381" w:rsidRDefault="00872381" w:rsidP="00872381">
      <w:pPr>
        <w:pStyle w:val="Heading3"/>
      </w:pPr>
      <w:r>
        <w:t>3.1 Data Acquisition and Integration</w:t>
      </w:r>
    </w:p>
    <w:p w14:paraId="1FC3804D" w14:textId="3BFFAEF3" w:rsidR="00872381" w:rsidRDefault="00872381" w:rsidP="00872381">
      <w:r>
        <w:t xml:space="preserve">Multi-omics and clinical data were obtained from the TCGA Kidney Renal Clear Cell Carcinoma (TCGA-KIRC) </w:t>
      </w:r>
      <w:proofErr w:type="spellStart"/>
      <w:r>
        <w:t>PanCancer</w:t>
      </w:r>
      <w:proofErr w:type="spellEnd"/>
      <w:r>
        <w:t xml:space="preserve"> Atlas cohort through </w:t>
      </w:r>
      <w:proofErr w:type="spellStart"/>
      <w:r>
        <w:t>cBioPortal</w:t>
      </w:r>
      <w:proofErr w:type="spellEnd"/>
      <w:r>
        <w:t>. Four data modalities were analysed: clinical metadata, reverse-phase protein array (RPPA) proteomics, RNA sequencing (RNA-</w:t>
      </w:r>
      <w:proofErr w:type="spellStart"/>
      <w:r>
        <w:t>seq</w:t>
      </w:r>
      <w:proofErr w:type="spellEnd"/>
      <w:r>
        <w:t>) expression, and somatic copy number alteration (CNA) data.</w:t>
      </w:r>
    </w:p>
    <w:p w14:paraId="2A1DCC49" w14:textId="77777777" w:rsidR="00872381" w:rsidRDefault="00872381" w:rsidP="00872381">
      <w:r>
        <w:t>Clinical patient-level and sample-level datasets were merged and standardised using TCGA sample identifiers. RPPA and RNA-</w:t>
      </w:r>
      <w:proofErr w:type="spellStart"/>
      <w:r>
        <w:t>seq</w:t>
      </w:r>
      <w:proofErr w:type="spellEnd"/>
      <w:r>
        <w:t xml:space="preserve"> data were reshaped into sample-by-feature matrices, while CNA data were restricted to a curated panel of biologically relevant </w:t>
      </w:r>
      <w:proofErr w:type="spellStart"/>
      <w:r>
        <w:t>ccRCC</w:t>
      </w:r>
      <w:proofErr w:type="spellEnd"/>
      <w:r>
        <w:t xml:space="preserve"> driver genes. Data layers were integrated by sample matching to generate a unified analysis cohort containing complete multi-omics profiles and survival outcomes.</w:t>
      </w:r>
    </w:p>
    <w:p w14:paraId="4928AD18" w14:textId="3E4F1985" w:rsidR="00872381" w:rsidRDefault="00872381" w:rsidP="00872381">
      <w:r>
        <w:t xml:space="preserve">Overall survival was defined using TCGA overall survival status and follow-up time variables. Patients recorded as deceased were treated as events, while all others were considered </w:t>
      </w:r>
      <w:proofErr w:type="gramStart"/>
      <w:r>
        <w:t>right-censored</w:t>
      </w:r>
      <w:proofErr w:type="gramEnd"/>
      <w:r>
        <w:t>.</w:t>
      </w:r>
    </w:p>
    <w:p w14:paraId="58445160" w14:textId="77777777" w:rsidR="00872381" w:rsidRPr="00872381" w:rsidRDefault="00872381" w:rsidP="00872381">
      <w:pPr>
        <w:pStyle w:val="Heading3"/>
      </w:pPr>
      <w:r w:rsidRPr="00872381">
        <w:t>3.2 Clinical Feature Selection</w:t>
      </w:r>
    </w:p>
    <w:p w14:paraId="4FF2ABBD" w14:textId="77777777" w:rsidR="00872381" w:rsidRPr="00872381" w:rsidRDefault="00872381" w:rsidP="00872381">
      <w:r w:rsidRPr="00872381">
        <w:t>An initial set of candidate clinical variables was assembled from the TCGA clinical metadata. Administrative identifiers, procedural variables, post-baseline outcome variables, and variables exhibiting no meaningful variation within the cohort were excluded prior to analysis.</w:t>
      </w:r>
    </w:p>
    <w:p w14:paraId="2BB33FA9" w14:textId="77777777" w:rsidR="00872381" w:rsidRPr="00872381" w:rsidRDefault="00872381" w:rsidP="00872381">
      <w:r w:rsidRPr="00872381">
        <w:t xml:space="preserve">Remaining candidate predictors were evaluated using univariable Cox proportional hazards regression. For categorical variables, overall likelihood-ratio test statistics were used to generate a single p-value per variable. Multiple testing correction was performed using the </w:t>
      </w:r>
      <w:r w:rsidRPr="00872381">
        <w:lastRenderedPageBreak/>
        <w:t>Benjamini-Hochberg false discovery rate procedure, and variables with adjusted p-values below 0.05 were retained.</w:t>
      </w:r>
    </w:p>
    <w:p w14:paraId="169E139C" w14:textId="77777777" w:rsidR="00872381" w:rsidRPr="00872381" w:rsidRDefault="00872381" w:rsidP="00872381">
      <w:r w:rsidRPr="00872381">
        <w:t>Because the individual TNM staging variables are highly correlated with composite AJCC pathological stage, a predefined collinearity rule retained the composite stage variable when both representations were significant. The resulting set of selected clinical predictors formed the baseline model used throughout all downstream analyses.</w:t>
      </w:r>
    </w:p>
    <w:p w14:paraId="69DF00BD" w14:textId="77777777" w:rsidR="00872381" w:rsidRPr="00872381" w:rsidRDefault="00872381" w:rsidP="00872381">
      <w:pPr>
        <w:pStyle w:val="Heading3"/>
      </w:pPr>
      <w:r w:rsidRPr="00872381">
        <w:t>3.3 RPPA Proteomic Feature Selection</w:t>
      </w:r>
    </w:p>
    <w:p w14:paraId="2B2C4048" w14:textId="77777777" w:rsidR="00872381" w:rsidRPr="00872381" w:rsidRDefault="00872381" w:rsidP="00872381">
      <w:r w:rsidRPr="00872381">
        <w:t>RPPA data comprised 198 quantified protein features. Each protein was screened independently using univariable Cox regression to identify associations with overall survival.</w:t>
      </w:r>
    </w:p>
    <w:p w14:paraId="5BAADA07" w14:textId="77777777" w:rsidR="00872381" w:rsidRPr="00872381" w:rsidRDefault="00872381" w:rsidP="00872381">
      <w:r w:rsidRPr="00872381">
        <w:t>To derive a parsimonious multivariable protein signature, the 30 strongest proteins from the univariable screen were entered into a cross-validated least absolute shrinkage and selection operator (</w:t>
      </w:r>
      <w:r w:rsidRPr="00872381">
        <w:rPr>
          <w:i/>
          <w:iCs/>
        </w:rPr>
        <w:t>LASSO</w:t>
      </w:r>
      <w:r w:rsidRPr="00872381">
        <w:t>) Cox regression model. Clinical variables were intentionally excluded from the regularisation procedure to prevent dominant clinical predictors such as stage and grade from suppressing molecular feature selection.</w:t>
      </w:r>
    </w:p>
    <w:p w14:paraId="447B3082" w14:textId="77777777" w:rsidR="00872381" w:rsidRDefault="00872381" w:rsidP="00872381">
      <w:r w:rsidRPr="00872381">
        <w:t xml:space="preserve">The </w:t>
      </w:r>
      <w:r w:rsidRPr="00872381">
        <w:rPr>
          <w:i/>
          <w:iCs/>
        </w:rPr>
        <w:t>LASSO</w:t>
      </w:r>
      <w:r w:rsidRPr="00872381">
        <w:t xml:space="preserve"> model was fitted using 10-fold cross-validation. Features with non-zero coefficients at the selected penalty parameter were retained for subsequent survival modelling. A maximum of ten proteins was imposed to maintain an acceptable events-per-variable ratio and reduce overfitting risk.</w:t>
      </w:r>
    </w:p>
    <w:p w14:paraId="28A3E58B" w14:textId="77777777" w:rsidR="00872381" w:rsidRDefault="00872381" w:rsidP="00872381">
      <w:pPr>
        <w:pStyle w:val="Heading3"/>
      </w:pPr>
      <w:r>
        <w:t>3.4 Transcriptomic Feature Construction</w:t>
      </w:r>
    </w:p>
    <w:p w14:paraId="36158404" w14:textId="67FFC101" w:rsidR="00872381" w:rsidRDefault="00872381" w:rsidP="00872381">
      <w:r>
        <w:t>RNA-</w:t>
      </w:r>
      <w:proofErr w:type="spellStart"/>
      <w:r>
        <w:t>seq</w:t>
      </w:r>
      <w:proofErr w:type="spellEnd"/>
      <w:r>
        <w:t xml:space="preserve"> data were processed using a hybrid knowledge-driven and data-driven strategy. </w:t>
      </w:r>
    </w:p>
    <w:p w14:paraId="4134F323" w14:textId="394004AA" w:rsidR="00872381" w:rsidRDefault="00872381" w:rsidP="00872381">
      <w:r>
        <w:t xml:space="preserve">For the knowledge-driven analysis, eight biological pathway signatures were retrieved from the </w:t>
      </w:r>
      <w:proofErr w:type="spellStart"/>
      <w:r>
        <w:t>MSigDB</w:t>
      </w:r>
      <w:proofErr w:type="spellEnd"/>
      <w:r>
        <w:t xml:space="preserve">. These pathways represented two biological themes relevant to </w:t>
      </w:r>
      <w:proofErr w:type="spellStart"/>
      <w:r>
        <w:t>ccRCC</w:t>
      </w:r>
      <w:proofErr w:type="spellEnd"/>
      <w:r>
        <w:t xml:space="preserve"> progression: inflammatory invasion (including neutrophil activation, neutrophil degranulation, inflammatory response, extracellular matrix remodelling, and metalloprotease activity) and kinase signalling.</w:t>
      </w:r>
    </w:p>
    <w:p w14:paraId="03440952" w14:textId="77777777" w:rsidR="00E4404C" w:rsidRDefault="00872381" w:rsidP="00872381">
      <w:r>
        <w:t xml:space="preserve">Genes absent from the expression matrix were discarded, duplicate mappings were resolved, and quality-control filtering removed zero-variance genes and genes with more than 20% </w:t>
      </w:r>
      <w:r>
        <w:lastRenderedPageBreak/>
        <w:t>missing data. Expression values were log-transformed prior to analysis. For each pathway, principal component analysis (PCA) was applied to the corresponding gene set, and the first principal component (PC1) was retained as a pathway activity score. These scores provided a single quantitative summary of coordinated pathway expression for each sample.</w:t>
      </w:r>
    </w:p>
    <w:p w14:paraId="3CABA148" w14:textId="75240E43" w:rsidR="00872381" w:rsidRPr="00872381" w:rsidRDefault="00872381" w:rsidP="00872381">
      <w:r>
        <w:t>In parallel, a data-driven transcriptomic screen was conducted across all retained genes using univariable Cox regression. The twenty genes most strongly associated with survival were identified, and a joint PC1 score was calculated to generate an alternative transcriptomic feature representing the dominant survival-associated expression pattern.</w:t>
      </w:r>
    </w:p>
    <w:p w14:paraId="33ACF466" w14:textId="77777777" w:rsidR="00E4404C" w:rsidRDefault="00E4404C" w:rsidP="00E4404C">
      <w:pPr>
        <w:pStyle w:val="Heading3"/>
      </w:pPr>
      <w:r>
        <w:t>3.5 Copy Number Alteration Features</w:t>
      </w:r>
    </w:p>
    <w:p w14:paraId="6D359576" w14:textId="77777777" w:rsidR="00E4404C" w:rsidRDefault="00E4404C" w:rsidP="00E4404C">
      <w:r>
        <w:t xml:space="preserve">CNA analysis focused on a curated panel of established </w:t>
      </w:r>
      <w:proofErr w:type="spellStart"/>
      <w:r>
        <w:t>ccRCC</w:t>
      </w:r>
      <w:proofErr w:type="spellEnd"/>
      <w:r>
        <w:t xml:space="preserve"> driver genes: VHL, PBRM1, BAP1, SETD2, KDM5C, MTOR, PTEN, TSC1, and TSC2.</w:t>
      </w:r>
    </w:p>
    <w:p w14:paraId="4F07C58B" w14:textId="78BE5CD6" w:rsidR="00872381" w:rsidRDefault="00E4404C" w:rsidP="00E4404C">
      <w:r>
        <w:t>Only high-impact focal events were considered, defined as deep deletions or high-level amplifications according to GISTIC classifications. To avoid instability arising from extremely rare alterations, prevalence filtering was applied, with progressive threshold relaxation where necessary to retain informative features. Retained CNA events were encoded as binary predictors for survival modelling.</w:t>
      </w:r>
    </w:p>
    <w:p w14:paraId="37CFC635" w14:textId="301AF7D4" w:rsidR="00E4404C" w:rsidRDefault="00E4404C" w:rsidP="00E4404C">
      <w:pPr>
        <w:pStyle w:val="Heading3"/>
      </w:pPr>
      <w:r>
        <w:t>3.6 Survival Modelling and Cross-Validation</w:t>
      </w:r>
    </w:p>
    <w:p w14:paraId="79559C49" w14:textId="6B90E12A" w:rsidR="00E4404C" w:rsidRDefault="00E4404C" w:rsidP="00E4404C">
      <w:r>
        <w:t>Six Cox proportional hazards model configurations were evaluated:</w:t>
      </w:r>
    </w:p>
    <w:p w14:paraId="64598617" w14:textId="77777777" w:rsidR="00E4404C" w:rsidRDefault="00E4404C" w:rsidP="00E4404C">
      <w:pPr>
        <w:pStyle w:val="ListParagraph"/>
        <w:numPr>
          <w:ilvl w:val="0"/>
          <w:numId w:val="2"/>
        </w:numPr>
      </w:pPr>
      <w:r>
        <w:t>Clinical baseline model.</w:t>
      </w:r>
    </w:p>
    <w:p w14:paraId="597A1E02" w14:textId="77777777" w:rsidR="00E4404C" w:rsidRDefault="00E4404C" w:rsidP="00E4404C">
      <w:pPr>
        <w:pStyle w:val="ListParagraph"/>
        <w:numPr>
          <w:ilvl w:val="0"/>
          <w:numId w:val="2"/>
        </w:numPr>
      </w:pPr>
      <w:r>
        <w:t>Clinical plus RPPA proteomics.</w:t>
      </w:r>
    </w:p>
    <w:p w14:paraId="3CDE2405" w14:textId="77777777" w:rsidR="00E4404C" w:rsidRDefault="00E4404C" w:rsidP="00E4404C">
      <w:pPr>
        <w:pStyle w:val="ListParagraph"/>
        <w:numPr>
          <w:ilvl w:val="0"/>
          <w:numId w:val="2"/>
        </w:numPr>
      </w:pPr>
      <w:r>
        <w:t>Clinical plus curated RNA pathway scores.</w:t>
      </w:r>
    </w:p>
    <w:p w14:paraId="31189FDF" w14:textId="77777777" w:rsidR="00E4404C" w:rsidRDefault="00E4404C" w:rsidP="00E4404C">
      <w:pPr>
        <w:pStyle w:val="ListParagraph"/>
        <w:numPr>
          <w:ilvl w:val="0"/>
          <w:numId w:val="2"/>
        </w:numPr>
      </w:pPr>
      <w:r>
        <w:t>Clinical plus CNA features.</w:t>
      </w:r>
    </w:p>
    <w:p w14:paraId="18B9EF80" w14:textId="77777777" w:rsidR="00E4404C" w:rsidRDefault="00E4404C" w:rsidP="00E4404C">
      <w:pPr>
        <w:pStyle w:val="ListParagraph"/>
        <w:numPr>
          <w:ilvl w:val="0"/>
          <w:numId w:val="2"/>
        </w:numPr>
      </w:pPr>
      <w:r>
        <w:t>Clinical plus data-driven RNA score.</w:t>
      </w:r>
    </w:p>
    <w:p w14:paraId="35F23A93" w14:textId="23270557" w:rsidR="00E4404C" w:rsidRDefault="00E4404C" w:rsidP="00E4404C">
      <w:pPr>
        <w:pStyle w:val="ListParagraph"/>
        <w:numPr>
          <w:ilvl w:val="0"/>
          <w:numId w:val="2"/>
        </w:numPr>
      </w:pPr>
      <w:r>
        <w:t>Integrated multi-omics model.</w:t>
      </w:r>
    </w:p>
    <w:p w14:paraId="176C02C1" w14:textId="238E3F81" w:rsidR="00E4404C" w:rsidRDefault="00E4404C" w:rsidP="00E4404C">
      <w:r>
        <w:t>Model performance was assessed using stratified five-fold cross-validation. Folds were stratified by event status to preserve similar proportions of deaths across training and testing partitions. For each fold, models were trained on the training subset and evaluated on held-out samples.</w:t>
      </w:r>
    </w:p>
    <w:p w14:paraId="4748FA56" w14:textId="1FD7596C" w:rsidR="00E4404C" w:rsidRDefault="00E4404C" w:rsidP="00E4404C">
      <w:r>
        <w:lastRenderedPageBreak/>
        <w:t>Predictive discrimination was quantified using Harrell’s concordance index (C-index), calculated from out-of-fold predictions. Mean cross-validated C-indices and corresponding confidence intervals were used to compare model performance and estimate the incremental value contributed by each molecular data layer relative to the clinical baseline.</w:t>
      </w:r>
    </w:p>
    <w:p w14:paraId="2483E83C" w14:textId="7E94719C" w:rsidR="00E4404C" w:rsidRDefault="00E4404C" w:rsidP="00E4404C">
      <w:r>
        <w:t>Following model comparison, the final integrated model was fitted to the complete-case cohort to estimate hazard ratios and generate biological interpretations of the retained predictors.</w:t>
      </w:r>
    </w:p>
    <w:p w14:paraId="51A47241" w14:textId="424F13C5" w:rsidR="00E4404C" w:rsidRDefault="00E4404C" w:rsidP="00E4404C">
      <w:pPr>
        <w:pStyle w:val="Heading3"/>
      </w:pPr>
      <w:r>
        <w:t>3.7 Survival Assumption Testing</w:t>
      </w:r>
    </w:p>
    <w:p w14:paraId="39A52CB1" w14:textId="5DF605F3" w:rsidR="00C5345B" w:rsidRDefault="00E4404C" w:rsidP="00417F53">
      <w:pPr>
        <w:rPr>
          <w:rFonts w:eastAsiaTheme="majorEastAsia"/>
          <w:b/>
          <w:bCs/>
          <w:sz w:val="32"/>
          <w:szCs w:val="32"/>
        </w:rPr>
      </w:pPr>
      <w:r>
        <w:t>The proportional hazards assumption was assessed using Schoenfeld residual tests applied to the clinical baseline model. Any detected violations were reported and considered during interpretation of model coefficients and survival estimates.</w:t>
      </w:r>
      <w:r w:rsidR="00C5345B">
        <w:br w:type="page"/>
      </w:r>
    </w:p>
    <w:p w14:paraId="5A7CC705" w14:textId="5788E424" w:rsidR="00D27C42" w:rsidRPr="00BD6E8D" w:rsidRDefault="00D27C42" w:rsidP="00BD6E8D">
      <w:pPr>
        <w:pStyle w:val="Heading2"/>
        <w:spacing w:after="120" w:line="240" w:lineRule="auto"/>
        <w:rPr>
          <w:sz w:val="20"/>
          <w:szCs w:val="20"/>
        </w:rPr>
      </w:pPr>
      <w:r>
        <w:lastRenderedPageBreak/>
        <w:t>4. References</w:t>
      </w:r>
    </w:p>
    <w:p w14:paraId="58104292" w14:textId="77777777" w:rsidR="00BD6E8D" w:rsidRPr="00BD6E8D" w:rsidRDefault="00D27C42" w:rsidP="00BD6E8D">
      <w:pPr>
        <w:pStyle w:val="Bibliography"/>
      </w:pPr>
      <w:r w:rsidRPr="00BD6E8D">
        <w:rPr>
          <w:szCs w:val="20"/>
        </w:rPr>
        <w:fldChar w:fldCharType="begin"/>
      </w:r>
      <w:r w:rsidR="00BD6E8D" w:rsidRPr="00BD6E8D">
        <w:rPr>
          <w:szCs w:val="20"/>
        </w:rPr>
        <w:instrText xml:space="preserve"> ADDIN ZOTERO_BIBL {"uncited":[],"omitted":[],"custom":[]} CSL_BIBLIOGRAPHY </w:instrText>
      </w:r>
      <w:r w:rsidRPr="00BD6E8D">
        <w:rPr>
          <w:szCs w:val="20"/>
        </w:rPr>
        <w:fldChar w:fldCharType="separate"/>
      </w:r>
      <w:r w:rsidR="00BD6E8D" w:rsidRPr="00BD6E8D">
        <w:t xml:space="preserve">1. </w:t>
      </w:r>
      <w:r w:rsidR="00BD6E8D" w:rsidRPr="00BD6E8D">
        <w:tab/>
        <w:t xml:space="preserve">Motzer RJ, </w:t>
      </w:r>
      <w:proofErr w:type="spellStart"/>
      <w:r w:rsidR="00BD6E8D" w:rsidRPr="00BD6E8D">
        <w:t>Jonasch</w:t>
      </w:r>
      <w:proofErr w:type="spellEnd"/>
      <w:r w:rsidR="00BD6E8D" w:rsidRPr="00BD6E8D">
        <w:t xml:space="preserve"> E, Agarwal N, Alva A, Baine M, Beckermann K, et al. Kidney Cancer, Version 3.2022, NCCN Clinical Practice Guidelines in Oncology. J Natl </w:t>
      </w:r>
      <w:proofErr w:type="spellStart"/>
      <w:r w:rsidR="00BD6E8D" w:rsidRPr="00BD6E8D">
        <w:t>Compr</w:t>
      </w:r>
      <w:proofErr w:type="spellEnd"/>
      <w:r w:rsidR="00BD6E8D" w:rsidRPr="00BD6E8D">
        <w:t xml:space="preserve"> </w:t>
      </w:r>
      <w:proofErr w:type="spellStart"/>
      <w:r w:rsidR="00BD6E8D" w:rsidRPr="00BD6E8D">
        <w:t>Canc</w:t>
      </w:r>
      <w:proofErr w:type="spellEnd"/>
      <w:r w:rsidR="00BD6E8D" w:rsidRPr="00BD6E8D">
        <w:t xml:space="preserve"> </w:t>
      </w:r>
      <w:proofErr w:type="spellStart"/>
      <w:r w:rsidR="00BD6E8D" w:rsidRPr="00BD6E8D">
        <w:t>Netw</w:t>
      </w:r>
      <w:proofErr w:type="spellEnd"/>
      <w:r w:rsidR="00BD6E8D" w:rsidRPr="00BD6E8D">
        <w:t xml:space="preserve"> [Internet]. 2022 Jan 1 [cited 2026 June 8];20(1):71–90. Available from: https://doi.org/10.6004/jnccn.2022.0001</w:t>
      </w:r>
    </w:p>
    <w:p w14:paraId="02D6C78A" w14:textId="77777777" w:rsidR="00BD6E8D" w:rsidRPr="00BD6E8D" w:rsidRDefault="00BD6E8D" w:rsidP="00BD6E8D">
      <w:pPr>
        <w:pStyle w:val="Bibliography"/>
      </w:pPr>
      <w:r w:rsidRPr="00BD6E8D">
        <w:t xml:space="preserve">2. </w:t>
      </w:r>
      <w:r w:rsidRPr="00BD6E8D">
        <w:tab/>
      </w:r>
      <w:proofErr w:type="spellStart"/>
      <w:r w:rsidRPr="00BD6E8D">
        <w:t>Chifu</w:t>
      </w:r>
      <w:proofErr w:type="spellEnd"/>
      <w:r w:rsidRPr="00BD6E8D">
        <w:t xml:space="preserve"> MB, </w:t>
      </w:r>
      <w:proofErr w:type="spellStart"/>
      <w:r w:rsidRPr="00BD6E8D">
        <w:t>Giușcă</w:t>
      </w:r>
      <w:proofErr w:type="spellEnd"/>
      <w:r w:rsidRPr="00BD6E8D">
        <w:t xml:space="preserve"> SE, Timofte AD, Costin CA, Rusu A, </w:t>
      </w:r>
      <w:proofErr w:type="spellStart"/>
      <w:r w:rsidRPr="00BD6E8D">
        <w:t>Ipatov</w:t>
      </w:r>
      <w:proofErr w:type="spellEnd"/>
      <w:r w:rsidRPr="00BD6E8D">
        <w:t xml:space="preserve"> AM, et al. Refining prognostic stratification in clear cell renal cell carcinoma: genomic, tissue-based, circulating biomarkers and integrated models. Cancers [Internet]. 2026 Apr 25;18(9):1371. Available from: https://doi.org/10.3390/cancers18091371</w:t>
      </w:r>
    </w:p>
    <w:p w14:paraId="04B1AD36" w14:textId="77777777" w:rsidR="00BD6E8D" w:rsidRPr="00BD6E8D" w:rsidRDefault="00BD6E8D" w:rsidP="00BD6E8D">
      <w:pPr>
        <w:pStyle w:val="Bibliography"/>
      </w:pPr>
      <w:r w:rsidRPr="00BD6E8D">
        <w:t xml:space="preserve">3. </w:t>
      </w:r>
      <w:r w:rsidRPr="00BD6E8D">
        <w:tab/>
      </w:r>
      <w:proofErr w:type="spellStart"/>
      <w:r w:rsidRPr="00BD6E8D">
        <w:t>Gnarra</w:t>
      </w:r>
      <w:proofErr w:type="spellEnd"/>
      <w:r w:rsidRPr="00BD6E8D">
        <w:t xml:space="preserve"> JR, Tory K, Weng Y, Schmidt L, Wei MH, Li H, et al. Mutations of the VHL tumour suppressor gene in renal carcinoma. Nat Genet [Internet]. 1994 May;7(1):85–90. Available from: https://doi.org/10.1038/ng0594-85</w:t>
      </w:r>
    </w:p>
    <w:p w14:paraId="2F4EAD50" w14:textId="77777777" w:rsidR="00BD6E8D" w:rsidRPr="00BD6E8D" w:rsidRDefault="00BD6E8D" w:rsidP="00BD6E8D">
      <w:pPr>
        <w:pStyle w:val="Bibliography"/>
      </w:pPr>
      <w:r w:rsidRPr="00BD6E8D">
        <w:t xml:space="preserve">4. </w:t>
      </w:r>
      <w:r w:rsidRPr="00BD6E8D">
        <w:tab/>
        <w:t>Cancer Genome Atlas Research Network. Comprehensive molecular characterization of clear cell renal cell carcinoma. Nature [Internet]. 2013 July 4;499(7456):43–9. Available from: https://doi.org/10.1038/nature12222</w:t>
      </w:r>
    </w:p>
    <w:p w14:paraId="785BA579" w14:textId="77777777" w:rsidR="00BD6E8D" w:rsidRPr="00BD6E8D" w:rsidRDefault="00BD6E8D" w:rsidP="00BD6E8D">
      <w:pPr>
        <w:pStyle w:val="Bibliography"/>
      </w:pPr>
      <w:r w:rsidRPr="00BD6E8D">
        <w:t xml:space="preserve">5. </w:t>
      </w:r>
      <w:r w:rsidRPr="00BD6E8D">
        <w:tab/>
        <w:t xml:space="preserve">Németh T, Sperandio M, </w:t>
      </w:r>
      <w:proofErr w:type="spellStart"/>
      <w:r w:rsidRPr="00BD6E8D">
        <w:t>Mócsai</w:t>
      </w:r>
      <w:proofErr w:type="spellEnd"/>
      <w:r w:rsidRPr="00BD6E8D">
        <w:t xml:space="preserve"> A. Neutrophils as emerging therapeutic targets. Nat Rev Drug </w:t>
      </w:r>
      <w:proofErr w:type="spellStart"/>
      <w:r w:rsidRPr="00BD6E8D">
        <w:t>Discov</w:t>
      </w:r>
      <w:proofErr w:type="spellEnd"/>
      <w:r w:rsidRPr="00BD6E8D">
        <w:t xml:space="preserve"> [Internet]. 2020 Apr;19(4):253–75. Available from: https://doi.org/10.1038/s41573-019-0054-z</w:t>
      </w:r>
    </w:p>
    <w:p w14:paraId="6EE81897" w14:textId="77777777" w:rsidR="00BD6E8D" w:rsidRPr="00BD6E8D" w:rsidRDefault="00BD6E8D" w:rsidP="00BD6E8D">
      <w:pPr>
        <w:pStyle w:val="Bibliography"/>
      </w:pPr>
      <w:r w:rsidRPr="00BD6E8D">
        <w:t xml:space="preserve">6. </w:t>
      </w:r>
      <w:r w:rsidRPr="00BD6E8D">
        <w:tab/>
        <w:t>Hakimi AA, Reznik E, Lee CH, Creighton CJ, Brannon AR, Luna A, et al. An integrated metabolic atlas of clear cell renal cell carcinoma. Cancer Cell [Internet]. 2016 Jan 11;29(1):104–16. Available from: https://doi.org/10.1016/j.ccell.2015.12.004</w:t>
      </w:r>
    </w:p>
    <w:p w14:paraId="5904443A" w14:textId="77777777" w:rsidR="00BD6E8D" w:rsidRPr="00BD6E8D" w:rsidRDefault="00BD6E8D" w:rsidP="00BD6E8D">
      <w:pPr>
        <w:pStyle w:val="Bibliography"/>
      </w:pPr>
      <w:r w:rsidRPr="00BD6E8D">
        <w:t xml:space="preserve">7. </w:t>
      </w:r>
      <w:r w:rsidRPr="00BD6E8D">
        <w:tab/>
        <w:t xml:space="preserve">Cerami E, Gao J, </w:t>
      </w:r>
      <w:proofErr w:type="spellStart"/>
      <w:r w:rsidRPr="00BD6E8D">
        <w:t>Dogrusoz</w:t>
      </w:r>
      <w:proofErr w:type="spellEnd"/>
      <w:r w:rsidRPr="00BD6E8D">
        <w:t xml:space="preserve"> U, Gross BE, Sumer SO, Aksoy BA, et al. The </w:t>
      </w:r>
      <w:proofErr w:type="spellStart"/>
      <w:r w:rsidRPr="00BD6E8D">
        <w:t>cBio</w:t>
      </w:r>
      <w:proofErr w:type="spellEnd"/>
      <w:r w:rsidRPr="00BD6E8D">
        <w:t xml:space="preserve"> cancer genomics portal: an open platform for exploring multidimensional cancer genomics data. Cancer </w:t>
      </w:r>
      <w:proofErr w:type="spellStart"/>
      <w:r w:rsidRPr="00BD6E8D">
        <w:t>Discov</w:t>
      </w:r>
      <w:proofErr w:type="spellEnd"/>
      <w:r w:rsidRPr="00BD6E8D">
        <w:t xml:space="preserve"> [Internet]. 2012 May 9;2(5):401–4. Available from: https://doi.org/10.1158/2159-8290.CD-12-0095</w:t>
      </w:r>
    </w:p>
    <w:p w14:paraId="13BA4A27" w14:textId="77777777" w:rsidR="00BD6E8D" w:rsidRPr="00BD6E8D" w:rsidRDefault="00BD6E8D" w:rsidP="00BD6E8D">
      <w:pPr>
        <w:pStyle w:val="Bibliography"/>
      </w:pPr>
      <w:r w:rsidRPr="00BD6E8D">
        <w:t xml:space="preserve">8. </w:t>
      </w:r>
      <w:r w:rsidRPr="00BD6E8D">
        <w:tab/>
        <w:t xml:space="preserve">Gao J, Aksoy BA, </w:t>
      </w:r>
      <w:proofErr w:type="spellStart"/>
      <w:r w:rsidRPr="00BD6E8D">
        <w:t>Dogrusoz</w:t>
      </w:r>
      <w:proofErr w:type="spellEnd"/>
      <w:r w:rsidRPr="00BD6E8D">
        <w:t xml:space="preserve"> U, Dresdner G, Gross B, Sumer SO, et al. Integrative analysis of complex cancer genomics and clinical profiles using the </w:t>
      </w:r>
      <w:proofErr w:type="spellStart"/>
      <w:r w:rsidRPr="00BD6E8D">
        <w:t>cBioPortal</w:t>
      </w:r>
      <w:proofErr w:type="spellEnd"/>
      <w:r w:rsidRPr="00BD6E8D">
        <w:t>. Sci Signal [Internet]. 2013 Apr 2;6(269):pl1. Available from: https://doi.org/10.1126/scisignal.2004088</w:t>
      </w:r>
    </w:p>
    <w:p w14:paraId="6CBB6EEA" w14:textId="77777777" w:rsidR="00BD6E8D" w:rsidRPr="00BD6E8D" w:rsidRDefault="00BD6E8D" w:rsidP="00BD6E8D">
      <w:pPr>
        <w:pStyle w:val="Bibliography"/>
      </w:pPr>
      <w:r w:rsidRPr="00BD6E8D">
        <w:t xml:space="preserve">9. </w:t>
      </w:r>
      <w:r w:rsidRPr="00BD6E8D">
        <w:tab/>
        <w:t xml:space="preserve">de Bruijn I, Kundra R, Mastrogiacomo B, Tran TN, Sikina L, Mazor T, et al. Analysis and visualization of longitudinal genomic and clinical data from the AACR project GENIE biopharma collaborative in </w:t>
      </w:r>
      <w:proofErr w:type="spellStart"/>
      <w:r w:rsidRPr="00BD6E8D">
        <w:t>cBioPortal</w:t>
      </w:r>
      <w:proofErr w:type="spellEnd"/>
      <w:r w:rsidRPr="00BD6E8D">
        <w:t>. Cancer Res [Internet]. 2023 Dec 1;83(23):3861–7. Available from: https://doi.org/10.1158/0008-5472.CAN-23-0816</w:t>
      </w:r>
    </w:p>
    <w:p w14:paraId="6D9B026A" w14:textId="77777777" w:rsidR="00BD6E8D" w:rsidRPr="00BD6E8D" w:rsidRDefault="00BD6E8D" w:rsidP="00BD6E8D">
      <w:pPr>
        <w:pStyle w:val="Bibliography"/>
      </w:pPr>
      <w:r w:rsidRPr="00BD6E8D">
        <w:t xml:space="preserve">10. </w:t>
      </w:r>
      <w:r w:rsidRPr="00BD6E8D">
        <w:tab/>
        <w:t xml:space="preserve">Royston P, Altman DG. External validation of a Cox prognostic model: principles and methods. BMC Med Res </w:t>
      </w:r>
      <w:proofErr w:type="spellStart"/>
      <w:r w:rsidRPr="00BD6E8D">
        <w:t>Methodol</w:t>
      </w:r>
      <w:proofErr w:type="spellEnd"/>
      <w:r w:rsidRPr="00BD6E8D">
        <w:t xml:space="preserve"> [Internet]. 2013 Mar 6;13(1):33. Available from: https://doi.org/10.1186/1471-2288-13-33</w:t>
      </w:r>
    </w:p>
    <w:p w14:paraId="6EB87CA3" w14:textId="77777777" w:rsidR="00BD6E8D" w:rsidRPr="00BD6E8D" w:rsidRDefault="00BD6E8D" w:rsidP="00BD6E8D">
      <w:pPr>
        <w:pStyle w:val="Bibliography"/>
      </w:pPr>
      <w:r w:rsidRPr="00BD6E8D">
        <w:t xml:space="preserve">11. </w:t>
      </w:r>
      <w:r w:rsidRPr="00BD6E8D">
        <w:tab/>
        <w:t xml:space="preserve">Koca D, </w:t>
      </w:r>
      <w:proofErr w:type="spellStart"/>
      <w:r w:rsidRPr="00BD6E8D">
        <w:t>Séraudie</w:t>
      </w:r>
      <w:proofErr w:type="spellEnd"/>
      <w:r w:rsidRPr="00BD6E8D">
        <w:t xml:space="preserve"> I, </w:t>
      </w:r>
      <w:proofErr w:type="spellStart"/>
      <w:r w:rsidRPr="00BD6E8D">
        <w:t>Jardillier</w:t>
      </w:r>
      <w:proofErr w:type="spellEnd"/>
      <w:r w:rsidRPr="00BD6E8D">
        <w:t xml:space="preserve"> R, Cochet C, </w:t>
      </w:r>
      <w:proofErr w:type="spellStart"/>
      <w:r w:rsidRPr="00BD6E8D">
        <w:t>Filhol</w:t>
      </w:r>
      <w:proofErr w:type="spellEnd"/>
      <w:r w:rsidRPr="00BD6E8D">
        <w:t xml:space="preserve"> O, Guyon L. COL7A1 expression improves prognosis prediction for patients with clear cell renal cell carcinoma atop of stage. Cancers [Internet]. 2023 May 10;15(10):2701. Available from: https://doi.org/10.3390/cancers15102701</w:t>
      </w:r>
    </w:p>
    <w:p w14:paraId="36927B37" w14:textId="77777777" w:rsidR="00BD6E8D" w:rsidRPr="00BD6E8D" w:rsidRDefault="00BD6E8D" w:rsidP="00BD6E8D">
      <w:pPr>
        <w:pStyle w:val="Bibliography"/>
      </w:pPr>
      <w:r w:rsidRPr="00BD6E8D">
        <w:lastRenderedPageBreak/>
        <w:t xml:space="preserve">12. </w:t>
      </w:r>
      <w:r w:rsidRPr="00BD6E8D">
        <w:tab/>
      </w:r>
      <w:proofErr w:type="spellStart"/>
      <w:r w:rsidRPr="00BD6E8D">
        <w:t>Lv</w:t>
      </w:r>
      <w:proofErr w:type="spellEnd"/>
      <w:r w:rsidRPr="00BD6E8D">
        <w:t xml:space="preserve"> Z, Wang M, Hou H, Tang G, Xu H, Wang X, et al. FOXM1-regulated ZIC2 promotes the malignant phenotype of renal clear cell carcinoma by activating UBE2C/mTOR </w:t>
      </w:r>
      <w:proofErr w:type="spellStart"/>
      <w:r w:rsidRPr="00BD6E8D">
        <w:t>signaling</w:t>
      </w:r>
      <w:proofErr w:type="spellEnd"/>
      <w:r w:rsidRPr="00BD6E8D">
        <w:t xml:space="preserve"> pathway. Int J </w:t>
      </w:r>
      <w:proofErr w:type="spellStart"/>
      <w:r w:rsidRPr="00BD6E8D">
        <w:t>Biol</w:t>
      </w:r>
      <w:proofErr w:type="spellEnd"/>
      <w:r w:rsidRPr="00BD6E8D">
        <w:t xml:space="preserve"> Sci [Internet]. 2023 June 26;19(11):3293–306. Available from: https://doi.org/10.7150/ijbs.84067</w:t>
      </w:r>
    </w:p>
    <w:p w14:paraId="2C8DCC84" w14:textId="77777777" w:rsidR="00BD6E8D" w:rsidRPr="00BD6E8D" w:rsidRDefault="00BD6E8D" w:rsidP="00BD6E8D">
      <w:pPr>
        <w:pStyle w:val="Bibliography"/>
      </w:pPr>
      <w:r w:rsidRPr="00BD6E8D">
        <w:t xml:space="preserve">13. </w:t>
      </w:r>
      <w:r w:rsidRPr="00BD6E8D">
        <w:tab/>
        <w:t xml:space="preserve">Herrmann M, Probst P, Hornung R, </w:t>
      </w:r>
      <w:proofErr w:type="spellStart"/>
      <w:r w:rsidRPr="00BD6E8D">
        <w:t>Jurinovic</w:t>
      </w:r>
      <w:proofErr w:type="spellEnd"/>
      <w:r w:rsidRPr="00BD6E8D">
        <w:t xml:space="preserve"> V, Boulesteix AL. Large-scale benchmark study of survival prediction methods using multi-omics data. Brief </w:t>
      </w:r>
      <w:proofErr w:type="spellStart"/>
      <w:r w:rsidRPr="00BD6E8D">
        <w:t>Bioinform</w:t>
      </w:r>
      <w:proofErr w:type="spellEnd"/>
      <w:r w:rsidRPr="00BD6E8D">
        <w:t xml:space="preserve"> [Internet]. 2021 May 20;22(3</w:t>
      </w:r>
      <w:proofErr w:type="gramStart"/>
      <w:r w:rsidRPr="00BD6E8D">
        <w:t>):bbaa</w:t>
      </w:r>
      <w:proofErr w:type="gramEnd"/>
      <w:r w:rsidRPr="00BD6E8D">
        <w:t>167. Available from: https://doi.org/10.1093/bib/bbaa167</w:t>
      </w:r>
    </w:p>
    <w:p w14:paraId="56EBAE22" w14:textId="77777777" w:rsidR="00BD6E8D" w:rsidRPr="00BD6E8D" w:rsidRDefault="00BD6E8D" w:rsidP="00BD6E8D">
      <w:pPr>
        <w:pStyle w:val="Bibliography"/>
      </w:pPr>
      <w:r w:rsidRPr="00BD6E8D">
        <w:t xml:space="preserve">14. </w:t>
      </w:r>
      <w:r w:rsidRPr="00BD6E8D">
        <w:tab/>
        <w:t xml:space="preserve">Li Y, Herold T, Mansmann U, Hornung R. Does combining numerous data types in multi-omics data improve or hinder performance in survival prediction? Insights from a large-scale benchmark study. BMC Med Inform </w:t>
      </w:r>
      <w:proofErr w:type="spellStart"/>
      <w:r w:rsidRPr="00BD6E8D">
        <w:t>Decis</w:t>
      </w:r>
      <w:proofErr w:type="spellEnd"/>
      <w:r w:rsidRPr="00BD6E8D">
        <w:t xml:space="preserve"> Mak [Internet]. 2024 Sept 2;24(1):244. Available from: https://doi.org/10.1186/s12911-024-02642-9</w:t>
      </w:r>
    </w:p>
    <w:p w14:paraId="2A842173" w14:textId="77777777" w:rsidR="00BD6E8D" w:rsidRPr="00BD6E8D" w:rsidRDefault="00BD6E8D" w:rsidP="00BD6E8D">
      <w:pPr>
        <w:pStyle w:val="Bibliography"/>
      </w:pPr>
      <w:r w:rsidRPr="00BD6E8D">
        <w:t xml:space="preserve">15. </w:t>
      </w:r>
      <w:r w:rsidRPr="00BD6E8D">
        <w:tab/>
        <w:t xml:space="preserve">Chu G, Xu T, Zhu G, Liu S, Niu H, Zhang M. Identification of a Novel Protein-Based Signature to Improve Prognosis Prediction in Renal Clear Cell Carcinoma. Front Mol </w:t>
      </w:r>
      <w:proofErr w:type="spellStart"/>
      <w:r w:rsidRPr="00BD6E8D">
        <w:t>Biosci</w:t>
      </w:r>
      <w:proofErr w:type="spellEnd"/>
      <w:r w:rsidRPr="00BD6E8D">
        <w:t xml:space="preserve"> [Internet]. </w:t>
      </w:r>
      <w:proofErr w:type="gramStart"/>
      <w:r w:rsidRPr="00BD6E8D">
        <w:t>2021;8:623120</w:t>
      </w:r>
      <w:proofErr w:type="gramEnd"/>
      <w:r w:rsidRPr="00BD6E8D">
        <w:t>. Available from: https://doi.org/10.3389/fmolb.2021.623120</w:t>
      </w:r>
    </w:p>
    <w:p w14:paraId="2A03FD1D" w14:textId="77777777" w:rsidR="00BD6E8D" w:rsidRPr="00BD6E8D" w:rsidRDefault="00BD6E8D" w:rsidP="00BD6E8D">
      <w:pPr>
        <w:pStyle w:val="Bibliography"/>
      </w:pPr>
      <w:r w:rsidRPr="00BD6E8D">
        <w:t xml:space="preserve">16. </w:t>
      </w:r>
      <w:r w:rsidRPr="00BD6E8D">
        <w:tab/>
        <w:t>Xu D, Li C. Gene 33/Mig6/ERRFI1, an Adapter Protein with Complex Functions in Cell Biology and Human Diseases. Cells [Internet]. 2021 June 22;10(7):1574. Available from: https://doi.org/10.3390/cells10071574</w:t>
      </w:r>
    </w:p>
    <w:p w14:paraId="76120E2F" w14:textId="77777777" w:rsidR="00BD6E8D" w:rsidRPr="00BD6E8D" w:rsidRDefault="00BD6E8D" w:rsidP="00BD6E8D">
      <w:pPr>
        <w:pStyle w:val="Bibliography"/>
      </w:pPr>
      <w:r w:rsidRPr="00BD6E8D">
        <w:t xml:space="preserve">17. </w:t>
      </w:r>
      <w:r w:rsidRPr="00BD6E8D">
        <w:tab/>
        <w:t xml:space="preserve">Nakai Y, Miyake M, </w:t>
      </w:r>
      <w:proofErr w:type="spellStart"/>
      <w:r w:rsidRPr="00BD6E8D">
        <w:t>Morizawa</w:t>
      </w:r>
      <w:proofErr w:type="spellEnd"/>
      <w:r w:rsidRPr="00BD6E8D">
        <w:t xml:space="preserve"> Y, Hori S, Tatsumi Y, Anai S, et al. Potential biomarkers for the therapeutic efficacy of sorafenib, sunitinib and everolimus. Oncol Rep [Internet]. 2017 Jan;37(1):227–34. Available from: https://doi.org/10.3892/or.2016.5232</w:t>
      </w:r>
    </w:p>
    <w:p w14:paraId="2DB71A4F" w14:textId="77777777" w:rsidR="00BD6E8D" w:rsidRPr="00BD6E8D" w:rsidRDefault="00BD6E8D" w:rsidP="00BD6E8D">
      <w:pPr>
        <w:pStyle w:val="Bibliography"/>
      </w:pPr>
      <w:r w:rsidRPr="00BD6E8D">
        <w:t xml:space="preserve">18. </w:t>
      </w:r>
      <w:r w:rsidRPr="00BD6E8D">
        <w:tab/>
        <w:t>R Core Team. R: A language and environment for statistical computing [Internet]. Vienna, Austria: R Foundation for Statistical Computing; 2019 [cited 2026 June 8]. Available from: https://www.r-project.org/</w:t>
      </w:r>
    </w:p>
    <w:p w14:paraId="64791EA4" w14:textId="77777777" w:rsidR="00BD6E8D" w:rsidRPr="00BD6E8D" w:rsidRDefault="00BD6E8D" w:rsidP="00BD6E8D">
      <w:pPr>
        <w:pStyle w:val="Bibliography"/>
      </w:pPr>
      <w:r w:rsidRPr="00BD6E8D">
        <w:t xml:space="preserve">19. </w:t>
      </w:r>
      <w:r w:rsidRPr="00BD6E8D">
        <w:tab/>
        <w:t xml:space="preserve">Wickham H, Averick M, Bryan J, Chang W, McGowan LD, François R, et al. Welcome to the </w:t>
      </w:r>
      <w:proofErr w:type="spellStart"/>
      <w:r w:rsidRPr="00BD6E8D">
        <w:t>Tidyverse</w:t>
      </w:r>
      <w:proofErr w:type="spellEnd"/>
      <w:r w:rsidRPr="00BD6E8D">
        <w:t xml:space="preserve">. J Open Source </w:t>
      </w:r>
      <w:proofErr w:type="spellStart"/>
      <w:r w:rsidRPr="00BD6E8D">
        <w:t>Softw</w:t>
      </w:r>
      <w:proofErr w:type="spellEnd"/>
      <w:r w:rsidRPr="00BD6E8D">
        <w:t xml:space="preserve"> [Internet]. 2019 Nov 21 [cited 2026 June 8];4(43):1686. Available from: https://doi.org/10.21105/joss.01686</w:t>
      </w:r>
    </w:p>
    <w:p w14:paraId="15996088" w14:textId="77777777" w:rsidR="00BD6E8D" w:rsidRPr="00BD6E8D" w:rsidRDefault="00BD6E8D" w:rsidP="00BD6E8D">
      <w:pPr>
        <w:pStyle w:val="Bibliography"/>
      </w:pPr>
      <w:r w:rsidRPr="00BD6E8D">
        <w:t xml:space="preserve">20. </w:t>
      </w:r>
      <w:r w:rsidRPr="00BD6E8D">
        <w:tab/>
      </w:r>
      <w:proofErr w:type="spellStart"/>
      <w:r w:rsidRPr="00BD6E8D">
        <w:t>Therneau</w:t>
      </w:r>
      <w:proofErr w:type="spellEnd"/>
      <w:r w:rsidRPr="00BD6E8D">
        <w:t xml:space="preserve"> T. A Package for Survival Analysis in R [Internet]. 2026. (R package version 3.8-6). Available from: https://CRAN.R-project.org/package=survival</w:t>
      </w:r>
    </w:p>
    <w:p w14:paraId="38190AE9" w14:textId="77777777" w:rsidR="00BD6E8D" w:rsidRPr="00BD6E8D" w:rsidRDefault="00BD6E8D" w:rsidP="00BD6E8D">
      <w:pPr>
        <w:pStyle w:val="Bibliography"/>
      </w:pPr>
      <w:r w:rsidRPr="00BD6E8D">
        <w:t xml:space="preserve">21. </w:t>
      </w:r>
      <w:r w:rsidRPr="00BD6E8D">
        <w:tab/>
      </w:r>
      <w:proofErr w:type="spellStart"/>
      <w:r w:rsidRPr="00BD6E8D">
        <w:t>Therneau</w:t>
      </w:r>
      <w:proofErr w:type="spellEnd"/>
      <w:r w:rsidRPr="00BD6E8D">
        <w:t xml:space="preserve"> TM, </w:t>
      </w:r>
      <w:proofErr w:type="spellStart"/>
      <w:r w:rsidRPr="00BD6E8D">
        <w:t>Grambsch</w:t>
      </w:r>
      <w:proofErr w:type="spellEnd"/>
      <w:r w:rsidRPr="00BD6E8D">
        <w:t xml:space="preserve"> PM. </w:t>
      </w:r>
      <w:proofErr w:type="spellStart"/>
      <w:r w:rsidRPr="00BD6E8D">
        <w:t>Modeling</w:t>
      </w:r>
      <w:proofErr w:type="spellEnd"/>
      <w:r w:rsidRPr="00BD6E8D">
        <w:t xml:space="preserve"> Survival Data: Extending the Cox Model. New York: Springer; 2000. </w:t>
      </w:r>
    </w:p>
    <w:p w14:paraId="33C46DC1" w14:textId="77777777" w:rsidR="00BD6E8D" w:rsidRPr="00BD6E8D" w:rsidRDefault="00BD6E8D" w:rsidP="00BD6E8D">
      <w:pPr>
        <w:pStyle w:val="Bibliography"/>
      </w:pPr>
      <w:r w:rsidRPr="00BD6E8D">
        <w:t xml:space="preserve">22. </w:t>
      </w:r>
      <w:r w:rsidRPr="00BD6E8D">
        <w:tab/>
      </w:r>
      <w:proofErr w:type="spellStart"/>
      <w:r w:rsidRPr="00BD6E8D">
        <w:t>Kassambara</w:t>
      </w:r>
      <w:proofErr w:type="spellEnd"/>
      <w:r w:rsidRPr="00BD6E8D">
        <w:t xml:space="preserve"> A, Kosinski M, </w:t>
      </w:r>
      <w:proofErr w:type="spellStart"/>
      <w:r w:rsidRPr="00BD6E8D">
        <w:t>Biecek</w:t>
      </w:r>
      <w:proofErr w:type="spellEnd"/>
      <w:r w:rsidRPr="00BD6E8D">
        <w:t xml:space="preserve"> P. </w:t>
      </w:r>
      <w:proofErr w:type="spellStart"/>
      <w:r w:rsidRPr="00BD6E8D">
        <w:t>survminer</w:t>
      </w:r>
      <w:proofErr w:type="spellEnd"/>
      <w:r w:rsidRPr="00BD6E8D">
        <w:t>: Drawing Survival Curves using ‘ggplot2’ [Internet]. 2026 [cited 2026 June 8]. (R package version 0.5.2). Available from: https://doi.org/10.32614/CRAN.package.survminer</w:t>
      </w:r>
    </w:p>
    <w:p w14:paraId="11B3482D" w14:textId="77777777" w:rsidR="00BD6E8D" w:rsidRPr="00BD6E8D" w:rsidRDefault="00BD6E8D" w:rsidP="00BD6E8D">
      <w:pPr>
        <w:pStyle w:val="Bibliography"/>
      </w:pPr>
      <w:r w:rsidRPr="00BD6E8D">
        <w:t xml:space="preserve">23. </w:t>
      </w:r>
      <w:r w:rsidRPr="00BD6E8D">
        <w:tab/>
        <w:t xml:space="preserve">Friedman JH, Hastie T, </w:t>
      </w:r>
      <w:proofErr w:type="spellStart"/>
      <w:r w:rsidRPr="00BD6E8D">
        <w:t>Tibshirani</w:t>
      </w:r>
      <w:proofErr w:type="spellEnd"/>
      <w:r w:rsidRPr="00BD6E8D">
        <w:t xml:space="preserve"> R. Regularization paths for generalized linear models via coordinate descent. J Stat </w:t>
      </w:r>
      <w:proofErr w:type="spellStart"/>
      <w:r w:rsidRPr="00BD6E8D">
        <w:t>Softw</w:t>
      </w:r>
      <w:proofErr w:type="spellEnd"/>
      <w:r w:rsidRPr="00BD6E8D">
        <w:t xml:space="preserve"> [Internet]. 2010 Feb 2 [cited 2026 June 8</w:t>
      </w:r>
      <w:proofErr w:type="gramStart"/>
      <w:r w:rsidRPr="00BD6E8D">
        <w:t>];33:1</w:t>
      </w:r>
      <w:proofErr w:type="gramEnd"/>
      <w:r w:rsidRPr="00BD6E8D">
        <w:t>–22. Available from: https://doi.org/10.18637/jss.v033.i01</w:t>
      </w:r>
    </w:p>
    <w:p w14:paraId="25E4AFA1" w14:textId="77777777" w:rsidR="00BD6E8D" w:rsidRPr="00BD6E8D" w:rsidRDefault="00BD6E8D" w:rsidP="00BD6E8D">
      <w:pPr>
        <w:pStyle w:val="Bibliography"/>
      </w:pPr>
      <w:r w:rsidRPr="00BD6E8D">
        <w:lastRenderedPageBreak/>
        <w:t xml:space="preserve">24. </w:t>
      </w:r>
      <w:r w:rsidRPr="00BD6E8D">
        <w:tab/>
        <w:t xml:space="preserve">Tay JK, Narasimhan B, Hastie T. Elastic net regularization paths for all generalized linear models. J Stat </w:t>
      </w:r>
      <w:proofErr w:type="spellStart"/>
      <w:r w:rsidRPr="00BD6E8D">
        <w:t>Softw</w:t>
      </w:r>
      <w:proofErr w:type="spellEnd"/>
      <w:r w:rsidRPr="00BD6E8D">
        <w:t xml:space="preserve"> [Internet]. 2023 Mar 23 [cited 2026 June 8</w:t>
      </w:r>
      <w:proofErr w:type="gramStart"/>
      <w:r w:rsidRPr="00BD6E8D">
        <w:t>];106:1</w:t>
      </w:r>
      <w:proofErr w:type="gramEnd"/>
      <w:r w:rsidRPr="00BD6E8D">
        <w:t>–31. Available from: https://doi.org/10.18637/jss.v106.i01</w:t>
      </w:r>
    </w:p>
    <w:p w14:paraId="51327FB1" w14:textId="77777777" w:rsidR="00BD6E8D" w:rsidRPr="00BD6E8D" w:rsidRDefault="00BD6E8D" w:rsidP="00BD6E8D">
      <w:pPr>
        <w:pStyle w:val="Bibliography"/>
      </w:pPr>
      <w:r w:rsidRPr="00BD6E8D">
        <w:t xml:space="preserve">25. </w:t>
      </w:r>
      <w:r w:rsidRPr="00BD6E8D">
        <w:tab/>
        <w:t xml:space="preserve">Robinson D, Hayes A, Couch S, </w:t>
      </w:r>
      <w:proofErr w:type="spellStart"/>
      <w:r w:rsidRPr="00BD6E8D">
        <w:t>Hvitfeldt</w:t>
      </w:r>
      <w:proofErr w:type="spellEnd"/>
      <w:r w:rsidRPr="00BD6E8D">
        <w:t xml:space="preserve"> E, Posit Software PBC, Patil I, et al. broom: Convert Statistical Objects into Tidy Tibbles [Internet]. 2026 [cited 2026 June 8]. (R package version 1.0.13). Available from: https://doi.org/10.32614/CRAN.package.broom</w:t>
      </w:r>
    </w:p>
    <w:p w14:paraId="195978BA" w14:textId="77777777" w:rsidR="00BD6E8D" w:rsidRPr="00BD6E8D" w:rsidRDefault="00BD6E8D" w:rsidP="00BD6E8D">
      <w:pPr>
        <w:pStyle w:val="Bibliography"/>
      </w:pPr>
      <w:r w:rsidRPr="00BD6E8D">
        <w:t xml:space="preserve">26. </w:t>
      </w:r>
      <w:r w:rsidRPr="00BD6E8D">
        <w:tab/>
      </w:r>
      <w:proofErr w:type="spellStart"/>
      <w:r w:rsidRPr="00BD6E8D">
        <w:t>Dolgalev</w:t>
      </w:r>
      <w:proofErr w:type="spellEnd"/>
      <w:r w:rsidRPr="00BD6E8D">
        <w:t xml:space="preserve"> I. </w:t>
      </w:r>
      <w:proofErr w:type="spellStart"/>
      <w:r w:rsidRPr="00BD6E8D">
        <w:t>msigdbr</w:t>
      </w:r>
      <w:proofErr w:type="spellEnd"/>
      <w:r w:rsidRPr="00BD6E8D">
        <w:t xml:space="preserve">: </w:t>
      </w:r>
      <w:proofErr w:type="spellStart"/>
      <w:r w:rsidRPr="00BD6E8D">
        <w:t>MSigDB</w:t>
      </w:r>
      <w:proofErr w:type="spellEnd"/>
      <w:r w:rsidRPr="00BD6E8D">
        <w:t xml:space="preserve"> gene sets for multiple organisms in a tidy data format [Internet]. 2026 [cited 2026 June 8]. (R package version 26.1.0). Available from: https://doi.org/10.32614/CRAN.package.msigdbr</w:t>
      </w:r>
    </w:p>
    <w:p w14:paraId="7AFB2578" w14:textId="3F9D5F1E" w:rsidR="00D27C42" w:rsidRPr="00BD6E8D" w:rsidRDefault="00D27C42" w:rsidP="00BD6E8D">
      <w:pPr>
        <w:spacing w:after="120" w:line="240" w:lineRule="auto"/>
        <w:rPr>
          <w:sz w:val="20"/>
          <w:szCs w:val="20"/>
        </w:rPr>
      </w:pPr>
      <w:r w:rsidRPr="00BD6E8D">
        <w:rPr>
          <w:sz w:val="20"/>
          <w:szCs w:val="20"/>
        </w:rPr>
        <w:fldChar w:fldCharType="end"/>
      </w:r>
    </w:p>
    <w:sectPr w:rsidR="00D27C42" w:rsidRPr="00BD6E8D" w:rsidSect="00A94471">
      <w:pgSz w:w="11906" w:h="16838"/>
      <w:pgMar w:top="1134"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25654" w14:textId="77777777" w:rsidR="00267125" w:rsidRDefault="00267125" w:rsidP="00B82FDC">
      <w:r>
        <w:separator/>
      </w:r>
    </w:p>
  </w:endnote>
  <w:endnote w:type="continuationSeparator" w:id="0">
    <w:p w14:paraId="31B5B0D4" w14:textId="77777777" w:rsidR="00267125" w:rsidRDefault="00267125" w:rsidP="00B82F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0EB23" w14:textId="7F17FA6F" w:rsidR="00B82FDC" w:rsidRPr="00706259" w:rsidRDefault="00B82FDC" w:rsidP="00B82FDC">
    <w:pPr>
      <w:pStyle w:val="Footer"/>
      <w:rPr>
        <w:sz w:val="18"/>
        <w:szCs w:val="18"/>
      </w:rPr>
    </w:pPr>
    <w:r w:rsidRPr="00706259">
      <w:rPr>
        <w:sz w:val="18"/>
        <w:szCs w:val="18"/>
      </w:rPr>
      <w:t>TCGA-KIRC machine learning project. Amanda Dominy 25271694</w:t>
    </w:r>
    <w:r w:rsidRPr="00706259">
      <w:rPr>
        <w:sz w:val="18"/>
        <w:szCs w:val="18"/>
      </w:rPr>
      <w:ptab w:relativeTo="margin" w:alignment="right" w:leader="none"/>
    </w:r>
    <w:r w:rsidRPr="00706259">
      <w:rPr>
        <w:sz w:val="18"/>
        <w:szCs w:val="18"/>
      </w:rPr>
      <w:fldChar w:fldCharType="begin"/>
    </w:r>
    <w:r w:rsidRPr="00706259">
      <w:rPr>
        <w:sz w:val="18"/>
        <w:szCs w:val="18"/>
      </w:rPr>
      <w:instrText>PAGE   \* MERGEFORMAT</w:instrText>
    </w:r>
    <w:r w:rsidRPr="00706259">
      <w:rPr>
        <w:sz w:val="18"/>
        <w:szCs w:val="18"/>
      </w:rPr>
      <w:fldChar w:fldCharType="separate"/>
    </w:r>
    <w:r w:rsidRPr="00706259">
      <w:rPr>
        <w:sz w:val="18"/>
        <w:szCs w:val="18"/>
      </w:rPr>
      <w:t>1</w:t>
    </w:r>
    <w:r w:rsidRPr="00706259">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A184E" w14:textId="77777777" w:rsidR="00267125" w:rsidRDefault="00267125" w:rsidP="00B82FDC">
      <w:r>
        <w:separator/>
      </w:r>
    </w:p>
  </w:footnote>
  <w:footnote w:type="continuationSeparator" w:id="0">
    <w:p w14:paraId="19244E17" w14:textId="77777777" w:rsidR="00267125" w:rsidRDefault="00267125" w:rsidP="00B82F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03067"/>
    <w:multiLevelType w:val="multilevel"/>
    <w:tmpl w:val="355E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F81573"/>
    <w:multiLevelType w:val="hybridMultilevel"/>
    <w:tmpl w:val="12269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04396205">
    <w:abstractNumId w:val="0"/>
  </w:num>
  <w:num w:numId="2" w16cid:durableId="1928345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FDC"/>
    <w:rsid w:val="00012549"/>
    <w:rsid w:val="000972D6"/>
    <w:rsid w:val="000B7451"/>
    <w:rsid w:val="00150AFE"/>
    <w:rsid w:val="00164DE6"/>
    <w:rsid w:val="0022059B"/>
    <w:rsid w:val="00244BD3"/>
    <w:rsid w:val="00245AA3"/>
    <w:rsid w:val="00267125"/>
    <w:rsid w:val="002C44B4"/>
    <w:rsid w:val="002F0C49"/>
    <w:rsid w:val="003A7A9B"/>
    <w:rsid w:val="003F394E"/>
    <w:rsid w:val="0041114D"/>
    <w:rsid w:val="00417F53"/>
    <w:rsid w:val="00481902"/>
    <w:rsid w:val="00486244"/>
    <w:rsid w:val="00651523"/>
    <w:rsid w:val="0066351B"/>
    <w:rsid w:val="0068182D"/>
    <w:rsid w:val="006D7B80"/>
    <w:rsid w:val="00706259"/>
    <w:rsid w:val="008176B8"/>
    <w:rsid w:val="00821B82"/>
    <w:rsid w:val="00861B1F"/>
    <w:rsid w:val="00872381"/>
    <w:rsid w:val="008A35C5"/>
    <w:rsid w:val="00946805"/>
    <w:rsid w:val="00977CDB"/>
    <w:rsid w:val="00A14AAB"/>
    <w:rsid w:val="00A74AF8"/>
    <w:rsid w:val="00A94471"/>
    <w:rsid w:val="00B82FDC"/>
    <w:rsid w:val="00BD6E8D"/>
    <w:rsid w:val="00C11FF7"/>
    <w:rsid w:val="00C416FC"/>
    <w:rsid w:val="00C5345B"/>
    <w:rsid w:val="00C71C3E"/>
    <w:rsid w:val="00C734A8"/>
    <w:rsid w:val="00D27C42"/>
    <w:rsid w:val="00D607C0"/>
    <w:rsid w:val="00DC67B9"/>
    <w:rsid w:val="00E4404C"/>
    <w:rsid w:val="00F35C6E"/>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2EFFA"/>
  <w15:chartTrackingRefBased/>
  <w15:docId w15:val="{A6F527B9-EFB5-4BE9-976E-273EC768D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FDC"/>
    <w:pPr>
      <w:spacing w:after="240" w:line="360" w:lineRule="auto"/>
    </w:pPr>
    <w:rPr>
      <w:rFonts w:ascii="Open Sans" w:hAnsi="Open Sans" w:cs="Open Sans"/>
    </w:rPr>
  </w:style>
  <w:style w:type="paragraph" w:styleId="Heading1">
    <w:name w:val="heading 1"/>
    <w:basedOn w:val="Normal"/>
    <w:next w:val="Normal"/>
    <w:link w:val="Heading1Char"/>
    <w:uiPriority w:val="9"/>
    <w:qFormat/>
    <w:rsid w:val="00150AFE"/>
    <w:pPr>
      <w:keepNext/>
      <w:keepLines/>
      <w:spacing w:before="360" w:after="80"/>
      <w:jc w:val="center"/>
      <w:outlineLvl w:val="0"/>
    </w:pPr>
    <w:rPr>
      <w:rFonts w:eastAsiaTheme="majorEastAsia"/>
      <w:sz w:val="40"/>
      <w:szCs w:val="40"/>
    </w:rPr>
  </w:style>
  <w:style w:type="paragraph" w:styleId="Heading2">
    <w:name w:val="heading 2"/>
    <w:basedOn w:val="Normal"/>
    <w:next w:val="Normal"/>
    <w:link w:val="Heading2Char"/>
    <w:uiPriority w:val="9"/>
    <w:unhideWhenUsed/>
    <w:qFormat/>
    <w:rsid w:val="000972D6"/>
    <w:pPr>
      <w:keepNext/>
      <w:keepLines/>
      <w:spacing w:after="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D27C42"/>
    <w:pPr>
      <w:keepNext/>
      <w:keepLines/>
      <w:spacing w:before="360" w:after="80"/>
      <w:outlineLvl w:val="2"/>
    </w:pPr>
    <w:rPr>
      <w:rFonts w:eastAsiaTheme="majorEastAsia" w:cstheme="majorBidi"/>
      <w:b/>
      <w:bCs/>
      <w:sz w:val="24"/>
      <w:szCs w:val="24"/>
    </w:rPr>
  </w:style>
  <w:style w:type="paragraph" w:styleId="Heading4">
    <w:name w:val="heading 4"/>
    <w:basedOn w:val="Normal"/>
    <w:next w:val="Normal"/>
    <w:link w:val="Heading4Char"/>
    <w:uiPriority w:val="9"/>
    <w:semiHidden/>
    <w:unhideWhenUsed/>
    <w:qFormat/>
    <w:rsid w:val="00B82F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F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AFE"/>
    <w:rPr>
      <w:rFonts w:ascii="Open Sans" w:eastAsiaTheme="majorEastAsia" w:hAnsi="Open Sans" w:cs="Open Sans"/>
      <w:sz w:val="40"/>
      <w:szCs w:val="40"/>
    </w:rPr>
  </w:style>
  <w:style w:type="character" w:customStyle="1" w:styleId="Heading2Char">
    <w:name w:val="Heading 2 Char"/>
    <w:basedOn w:val="DefaultParagraphFont"/>
    <w:link w:val="Heading2"/>
    <w:uiPriority w:val="9"/>
    <w:rsid w:val="000972D6"/>
    <w:rPr>
      <w:rFonts w:ascii="Open Sans" w:eastAsiaTheme="majorEastAsia" w:hAnsi="Open Sans" w:cs="Open Sans"/>
      <w:b/>
      <w:bCs/>
      <w:sz w:val="32"/>
      <w:szCs w:val="32"/>
    </w:rPr>
  </w:style>
  <w:style w:type="character" w:customStyle="1" w:styleId="Heading3Char">
    <w:name w:val="Heading 3 Char"/>
    <w:basedOn w:val="DefaultParagraphFont"/>
    <w:link w:val="Heading3"/>
    <w:uiPriority w:val="9"/>
    <w:rsid w:val="00D27C42"/>
    <w:rPr>
      <w:rFonts w:ascii="Open Sans" w:eastAsiaTheme="majorEastAsia" w:hAnsi="Open Sans" w:cstheme="majorBidi"/>
      <w:b/>
      <w:bCs/>
      <w:sz w:val="24"/>
      <w:szCs w:val="24"/>
    </w:rPr>
  </w:style>
  <w:style w:type="character" w:customStyle="1" w:styleId="Heading4Char">
    <w:name w:val="Heading 4 Char"/>
    <w:basedOn w:val="DefaultParagraphFont"/>
    <w:link w:val="Heading4"/>
    <w:uiPriority w:val="9"/>
    <w:semiHidden/>
    <w:rsid w:val="00B82F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F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FDC"/>
    <w:rPr>
      <w:rFonts w:eastAsiaTheme="majorEastAsia" w:cstheme="majorBidi"/>
      <w:color w:val="272727" w:themeColor="text1" w:themeTint="D8"/>
    </w:rPr>
  </w:style>
  <w:style w:type="paragraph" w:styleId="Title">
    <w:name w:val="Title"/>
    <w:basedOn w:val="Normal"/>
    <w:next w:val="Normal"/>
    <w:link w:val="TitleChar"/>
    <w:uiPriority w:val="10"/>
    <w:qFormat/>
    <w:rsid w:val="00B82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FDC"/>
    <w:pPr>
      <w:spacing w:before="160"/>
      <w:jc w:val="center"/>
    </w:pPr>
    <w:rPr>
      <w:i/>
      <w:iCs/>
      <w:color w:val="404040" w:themeColor="text1" w:themeTint="BF"/>
    </w:rPr>
  </w:style>
  <w:style w:type="character" w:customStyle="1" w:styleId="QuoteChar">
    <w:name w:val="Quote Char"/>
    <w:basedOn w:val="DefaultParagraphFont"/>
    <w:link w:val="Quote"/>
    <w:uiPriority w:val="29"/>
    <w:rsid w:val="00B82FDC"/>
    <w:rPr>
      <w:i/>
      <w:iCs/>
      <w:color w:val="404040" w:themeColor="text1" w:themeTint="BF"/>
    </w:rPr>
  </w:style>
  <w:style w:type="paragraph" w:styleId="ListParagraph">
    <w:name w:val="List Paragraph"/>
    <w:basedOn w:val="Normal"/>
    <w:uiPriority w:val="34"/>
    <w:qFormat/>
    <w:rsid w:val="00B82FDC"/>
    <w:pPr>
      <w:ind w:left="720"/>
      <w:contextualSpacing/>
    </w:pPr>
  </w:style>
  <w:style w:type="character" w:styleId="IntenseEmphasis">
    <w:name w:val="Intense Emphasis"/>
    <w:basedOn w:val="DefaultParagraphFont"/>
    <w:uiPriority w:val="21"/>
    <w:qFormat/>
    <w:rsid w:val="00B82FDC"/>
    <w:rPr>
      <w:i/>
      <w:iCs/>
      <w:color w:val="0F4761" w:themeColor="accent1" w:themeShade="BF"/>
    </w:rPr>
  </w:style>
  <w:style w:type="paragraph" w:styleId="IntenseQuote">
    <w:name w:val="Intense Quote"/>
    <w:basedOn w:val="Normal"/>
    <w:next w:val="Normal"/>
    <w:link w:val="IntenseQuoteChar"/>
    <w:uiPriority w:val="30"/>
    <w:qFormat/>
    <w:rsid w:val="00B82F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FDC"/>
    <w:rPr>
      <w:i/>
      <w:iCs/>
      <w:color w:val="0F4761" w:themeColor="accent1" w:themeShade="BF"/>
    </w:rPr>
  </w:style>
  <w:style w:type="character" w:styleId="IntenseReference">
    <w:name w:val="Intense Reference"/>
    <w:basedOn w:val="DefaultParagraphFont"/>
    <w:uiPriority w:val="32"/>
    <w:qFormat/>
    <w:rsid w:val="00B82FDC"/>
    <w:rPr>
      <w:b/>
      <w:bCs/>
      <w:smallCaps/>
      <w:color w:val="0F4761" w:themeColor="accent1" w:themeShade="BF"/>
      <w:spacing w:val="5"/>
    </w:rPr>
  </w:style>
  <w:style w:type="paragraph" w:styleId="Header">
    <w:name w:val="header"/>
    <w:basedOn w:val="Normal"/>
    <w:link w:val="HeaderChar"/>
    <w:uiPriority w:val="99"/>
    <w:unhideWhenUsed/>
    <w:rsid w:val="00B82F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FDC"/>
  </w:style>
  <w:style w:type="paragraph" w:styleId="Footer">
    <w:name w:val="footer"/>
    <w:basedOn w:val="Normal"/>
    <w:link w:val="FooterChar"/>
    <w:uiPriority w:val="99"/>
    <w:unhideWhenUsed/>
    <w:rsid w:val="00B82F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2FDC"/>
  </w:style>
  <w:style w:type="paragraph" w:styleId="Caption">
    <w:name w:val="caption"/>
    <w:basedOn w:val="Normal"/>
    <w:next w:val="Normal"/>
    <w:uiPriority w:val="35"/>
    <w:unhideWhenUsed/>
    <w:qFormat/>
    <w:rsid w:val="00861B1F"/>
    <w:pPr>
      <w:keepLines/>
      <w:spacing w:before="120" w:after="480" w:line="240" w:lineRule="auto"/>
      <w:jc w:val="center"/>
    </w:pPr>
    <w:rPr>
      <w:i/>
      <w:iCs/>
      <w:sz w:val="20"/>
      <w:szCs w:val="20"/>
    </w:rPr>
  </w:style>
  <w:style w:type="paragraph" w:styleId="Bibliography">
    <w:name w:val="Bibliography"/>
    <w:basedOn w:val="Normal"/>
    <w:next w:val="Normal"/>
    <w:uiPriority w:val="37"/>
    <w:unhideWhenUsed/>
    <w:rsid w:val="00D27C42"/>
    <w:pPr>
      <w:tabs>
        <w:tab w:val="left" w:pos="504"/>
      </w:tabs>
      <w:spacing w:line="240" w:lineRule="auto"/>
      <w:ind w:left="504" w:hanging="504"/>
    </w:pPr>
  </w:style>
  <w:style w:type="character" w:styleId="Hyperlink">
    <w:name w:val="Hyperlink"/>
    <w:basedOn w:val="DefaultParagraphFont"/>
    <w:uiPriority w:val="99"/>
    <w:unhideWhenUsed/>
    <w:rsid w:val="00D27C42"/>
    <w:rPr>
      <w:color w:val="467886" w:themeColor="hyperlink"/>
      <w:u w:val="single"/>
    </w:rPr>
  </w:style>
  <w:style w:type="character" w:styleId="UnresolvedMention">
    <w:name w:val="Unresolved Mention"/>
    <w:basedOn w:val="DefaultParagraphFont"/>
    <w:uiPriority w:val="99"/>
    <w:semiHidden/>
    <w:unhideWhenUsed/>
    <w:rsid w:val="00D27C42"/>
    <w:rPr>
      <w:color w:val="605E5C"/>
      <w:shd w:val="clear" w:color="auto" w:fill="E1DFDD"/>
    </w:rPr>
  </w:style>
  <w:style w:type="character" w:styleId="Strong">
    <w:name w:val="Strong"/>
    <w:basedOn w:val="DefaultParagraphFont"/>
    <w:uiPriority w:val="22"/>
    <w:qFormat/>
    <w:rsid w:val="00C11FF7"/>
    <w:rPr>
      <w:b/>
      <w:bCs/>
    </w:rPr>
  </w:style>
  <w:style w:type="paragraph" w:customStyle="1" w:styleId="Code">
    <w:name w:val="Code"/>
    <w:basedOn w:val="Normal"/>
    <w:link w:val="CodeChar"/>
    <w:qFormat/>
    <w:rsid w:val="00C11FF7"/>
    <w:rPr>
      <w:rFonts w:ascii="Courier New" w:hAnsi="Courier New"/>
      <w:b/>
    </w:rPr>
  </w:style>
  <w:style w:type="character" w:customStyle="1" w:styleId="CodeChar">
    <w:name w:val="Code Char"/>
    <w:basedOn w:val="DefaultParagraphFont"/>
    <w:link w:val="Code"/>
    <w:rsid w:val="00C11FF7"/>
    <w:rPr>
      <w:rFonts w:ascii="Courier New" w:hAnsi="Courier New" w:cs="Open Sans"/>
      <w:b/>
    </w:rPr>
  </w:style>
  <w:style w:type="table" w:styleId="TableGrid">
    <w:name w:val="Table Grid"/>
    <w:basedOn w:val="TableNormal"/>
    <w:uiPriority w:val="39"/>
    <w:rsid w:val="00706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A35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gillespieza/tcga-kirc-survival-omi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21</Pages>
  <Words>17569</Words>
  <Characters>100144</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Dominy</dc:creator>
  <cp:keywords/>
  <dc:description/>
  <cp:lastModifiedBy>Amanda Dominy</cp:lastModifiedBy>
  <cp:revision>18</cp:revision>
  <dcterms:created xsi:type="dcterms:W3CDTF">2026-06-08T14:15:00Z</dcterms:created>
  <dcterms:modified xsi:type="dcterms:W3CDTF">2026-06-09T10:11:00Z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id="Tk75fJeC"/&gt;&lt;style id="http://www.zotero.org/styles/vancouver-superscript" locale="en-GB"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