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123DB" w14:textId="2669476D" w:rsidR="00B82FDC" w:rsidRPr="00150AFE" w:rsidRDefault="00B82FDC" w:rsidP="00150AFE">
      <w:pPr>
        <w:pStyle w:val="Heading1"/>
      </w:pPr>
      <w:r w:rsidRPr="00150AFE">
        <w:t>MEIN40330: Machine Learning Mini Project</w:t>
      </w:r>
    </w:p>
    <w:p w14:paraId="08D7EEC0" w14:textId="77777777" w:rsidR="00B82FDC" w:rsidRPr="00150AFE" w:rsidRDefault="00B82FDC" w:rsidP="00417F53">
      <w:pPr>
        <w:pStyle w:val="Heading1"/>
      </w:pPr>
      <w:r w:rsidRPr="00150AFE">
        <w:t>Multi-Omics Survival Analysis of Kidney Renal Clear Cell Carcinoma (TCGA-KIRC)</w:t>
      </w:r>
      <w:r w:rsidRPr="00150AFE">
        <w:br/>
      </w:r>
    </w:p>
    <w:p w14:paraId="010DBD93" w14:textId="5653AC4E" w:rsidR="00B82FDC" w:rsidRPr="00150AFE" w:rsidRDefault="00B82FDC" w:rsidP="000972D6">
      <w:pPr>
        <w:pStyle w:val="Heading2"/>
        <w:jc w:val="center"/>
      </w:pPr>
      <w:r w:rsidRPr="00150AFE">
        <w:t>Amanda Dominy</w:t>
      </w:r>
      <w:r w:rsidRPr="00150AFE">
        <w:br/>
        <w:t>25271694</w:t>
      </w:r>
      <w:r w:rsidRPr="00150AFE">
        <w:br/>
        <w:t>8 June 2026</w:t>
      </w:r>
    </w:p>
    <w:p w14:paraId="32C89D6F" w14:textId="77777777" w:rsidR="00B82FDC" w:rsidRPr="00150AFE" w:rsidRDefault="00B82FDC" w:rsidP="00B82FDC">
      <w:pPr>
        <w:sectPr w:rsidR="00B82FDC" w:rsidRPr="00150AFE" w:rsidSect="00A94471">
          <w:footerReference w:type="default" r:id="rId7"/>
          <w:pgSz w:w="11906" w:h="16838"/>
          <w:pgMar w:top="1440" w:right="1134" w:bottom="1440" w:left="1134" w:header="709" w:footer="709" w:gutter="0"/>
          <w:cols w:space="708"/>
          <w:vAlign w:val="center"/>
          <w:docGrid w:linePitch="360"/>
        </w:sectPr>
      </w:pPr>
    </w:p>
    <w:p w14:paraId="179E18BA" w14:textId="4DB8DAEA" w:rsidR="00B82FDC" w:rsidRPr="00150AFE" w:rsidRDefault="00B82FDC" w:rsidP="000972D6">
      <w:pPr>
        <w:pStyle w:val="Heading2"/>
      </w:pPr>
      <w:r w:rsidRPr="00150AFE">
        <w:lastRenderedPageBreak/>
        <w:t xml:space="preserve">1. </w:t>
      </w:r>
      <w:r w:rsidRPr="000972D6">
        <w:t>Background</w:t>
      </w:r>
    </w:p>
    <w:p w14:paraId="27275D98" w14:textId="42FDA4C7" w:rsidR="00B82FDC" w:rsidRPr="00150AFE" w:rsidRDefault="00B82FDC" w:rsidP="00B82FDC">
      <w:r w:rsidRPr="00150AFE">
        <w:t>Kidney renal clear cell carcinoma (ccRCC) is the most prevalent subtype of renal cell carcinoma (RCC), accounting for approximately 70% of RCC cases</w:t>
      </w:r>
      <w:r w:rsidRPr="00150AFE">
        <w:rPr>
          <w:vertAlign w:val="superscript"/>
        </w:rPr>
        <w:fldChar w:fldCharType="begin"/>
      </w:r>
      <w:r w:rsidRPr="00150AFE">
        <w:rPr>
          <w:vertAlign w:val="superscript"/>
        </w:rPr>
        <w:instrText xml:space="preserve"> ADDIN ZOTERO_ITEM CSL_CITATION {"citationID":"QgRhtEN3","properties":{"unsorted":false,"formattedCitation":"\\super 1\\nosupersub{}","plainCitation":"1","noteIndex":0},"citationItems":[{"id":6185,"uris":["http://zotero.org/users/17607594/items/GBB2ARXY"],"itemData":{"id":6185,"type":"article-journal","abstract":"The NCCN Guidelines for Kidney Cancer focus on the screening, diagnosis, staging, treatment, and management of renal cell carcinoma (RCC). Patients with relapsed or stage IV RCC typically undergo surgery and/or receive systemic therapy. Tumor histology and risk stratification of patients is important in therapy selection. The NCCN Guidelines for Kidney Cancer stratify treatment recommendations by histology; recommendations for first-line treatment of ccRCC are also stratified by risk group. To further guide management of advanced RCC, the NCCN Kidney Cancer Panel has categorized all systemic kidney cancer therapy regimens as “Preferred,” “Other Recommended Regimens,” or “Useful in Certain Circumstances.” This categorization provides guidance on treatment selection by considering the efficacy, safety, evidence, and other factors that play a role in treatment selection. These factors include pre-existing comorbidities, nature of the disease, and in some cases consideration of access to agents. This article summarizes surgical and systemic therapy recommendations for patients with relapsed or stage IV RCC.","citation-key":"motzerKidneyCancerVersion2022","container-title":"Journal of the National Comprehensive Cancer Network","DOI":"10.6004/jnccn.2022.0001","ISSN":"1540-1405, 1540-1413","issue":"1","journalAbbreviation":"J Natl Compr Canc Netw","language":"eng","page":"71-90","PMID":"34991070","PMCID":"PMC10191161","publisher":"National Comprehensive Cancer Network","section":"Journal of the National Comprehensive Cancer Network","source":"PubMed","title":"Kidney Cancer, Version 3.2022, NCCN Clinical Practice Guidelines in Oncology","volume":"20","author":[{"family":"Motzer","given":"Robert J."},{"family":"Jonasch","given":"Eric"},{"family":"Agarwal","given":"Neeraj"},{"family":"Alva","given":"Ajjai"},{"family":"Baine","given":"Michael"},{"family":"Beckermann","given":"Kathryn"},{"family":"Carlo","given":"Maria I."},{"family":"Choueiri","given":"Toni K."},{"family":"Costello","given":"Brian A."},{"family":"Derweesh","given":"Ithaar H."},{"family":"Desai","given":"Arpita"},{"family":"Ged","given":"Yasser"},{"family":"George","given":"Saby"},{"family":"Gore","given":"John L."},{"family":"Haas","given":"Naomi"},{"family":"Hancock","given":"Steven L."},{"family":"Kapur","given":"Payal"},{"family":"Kyriakopoulos","given":"Christos"},{"family":"Lam","given":"Elaine T."},{"family":"Lara","given":"Primo N."},{"family":"Lau","given":"Clayton"},{"family":"Lewis","given":"Bryan"},{"family":"Madoff","given":"David C."},{"family":"Manley","given":"Brandon"},{"family":"Michaelson","given":"M. Dror"},{"family":"Mortazavi","given":"Amir"},{"family":"Nandagopal","given":"Lakshminarayanan"},{"family":"Plimack","given":"Elizabeth R."},{"family":"Ponsky","given":"Lee"},{"family":"Ramalingam","given":"Sundhar"},{"family":"Shuch","given":"Brian"},{"family":"Smith","given":"Zachary L."},{"family":"Sosman","given":"Jeffrey"},{"family":"Dwyer","given":"Mary A."},{"family":"Gurski","given":"Lisa A."},{"family":"Motter","given":"Angela"}],"issued":{"date-parts":[["2022",1,1]]}}}],"schema":"https://github.com/citation-style-language/schema/raw/master/csl-citation.json"} </w:instrText>
      </w:r>
      <w:r w:rsidRPr="00150AFE">
        <w:rPr>
          <w:vertAlign w:val="superscript"/>
        </w:rPr>
        <w:fldChar w:fldCharType="separate"/>
      </w:r>
      <w:r w:rsidR="00C5345B" w:rsidRPr="00C5345B">
        <w:rPr>
          <w:vertAlign w:val="superscript"/>
        </w:rPr>
        <w:t>1</w:t>
      </w:r>
      <w:r w:rsidRPr="00150AFE">
        <w:rPr>
          <w:vertAlign w:val="superscript"/>
        </w:rPr>
        <w:fldChar w:fldCharType="end"/>
      </w:r>
      <w:r w:rsidRPr="00150AFE">
        <w:t>, and is characterised by a marked stage-dependent survival gradient, with five-year survival exceeding 90% in localised (stage I) disease but falling below 12% in metastatic (stage IV) disease</w:t>
      </w:r>
      <w:r w:rsidRPr="00150AFE">
        <w:rPr>
          <w:vertAlign w:val="superscript"/>
        </w:rPr>
        <w:fldChar w:fldCharType="begin"/>
      </w:r>
      <w:r w:rsidRPr="00150AFE">
        <w:rPr>
          <w:vertAlign w:val="superscript"/>
        </w:rPr>
        <w:instrText xml:space="preserve"> ADDIN ZOTERO_ITEM CSL_CITATION {"citationID":"fCaEbPhW","properties":{"unsorted":false,"formattedCitation":"\\super 1\\nosupersub{}","plainCitation":"1","noteIndex":0},"citationItems":[{"id":6185,"uris":["http://zotero.org/users/17607594/items/GBB2ARXY"],"itemData":{"id":6185,"type":"article-journal","abstract":"The NCCN Guidelines for Kidney Cancer focus on the screening, diagnosis, staging, treatment, and management of renal cell carcinoma (RCC). Patients with relapsed or stage IV RCC typically undergo surgery and/or receive systemic therapy. Tumor histology and risk stratification of patients is important in therapy selection. The NCCN Guidelines for Kidney Cancer stratify treatment recommendations by histology; recommendations for first-line treatment of ccRCC are also stratified by risk group. To further guide management of advanced RCC, the NCCN Kidney Cancer Panel has categorized all systemic kidney cancer therapy regimens as “Preferred,” “Other Recommended Regimens,” or “Useful in Certain Circumstances.” This categorization provides guidance on treatment selection by considering the efficacy, safety, evidence, and other factors that play a role in treatment selection. These factors include pre-existing comorbidities, nature of the disease, and in some cases consideration of access to agents. This article summarizes surgical and systemic therapy recommendations for patients with relapsed or stage IV RCC.","citation-key":"motzerKidneyCancerVersion2022","container-title":"Journal of the National Comprehensive Cancer Network","DOI":"10.6004/jnccn.2022.0001","ISSN":"1540-1405, 1540-1413","issue":"1","journalAbbreviation":"J Natl Compr Canc Netw","language":"eng","page":"71-90","PMID":"34991070","PMCID":"PMC10191161","publisher":"National Comprehensive Cancer Network","section":"Journal of the National Comprehensive Cancer Network","source":"PubMed","title":"Kidney Cancer, Version 3.2022, NCCN Clinical Practice Guidelines in Oncology","volume":"20","author":[{"family":"Motzer","given":"Robert J."},{"family":"Jonasch","given":"Eric"},{"family":"Agarwal","given":"Neeraj"},{"family":"Alva","given":"Ajjai"},{"family":"Baine","given":"Michael"},{"family":"Beckermann","given":"Kathryn"},{"family":"Carlo","given":"Maria I."},{"family":"Choueiri","given":"Toni K."},{"family":"Costello","given":"Brian A."},{"family":"Derweesh","given":"Ithaar H."},{"family":"Desai","given":"Arpita"},{"family":"Ged","given":"Yasser"},{"family":"George","given":"Saby"},{"family":"Gore","given":"John L."},{"family":"Haas","given":"Naomi"},{"family":"Hancock","given":"Steven L."},{"family":"Kapur","given":"Payal"},{"family":"Kyriakopoulos","given":"Christos"},{"family":"Lam","given":"Elaine T."},{"family":"Lara","given":"Primo N."},{"family":"Lau","given":"Clayton"},{"family":"Lewis","given":"Bryan"},{"family":"Madoff","given":"David C."},{"family":"Manley","given":"Brandon"},{"family":"Michaelson","given":"M. Dror"},{"family":"Mortazavi","given":"Amir"},{"family":"Nandagopal","given":"Lakshminarayanan"},{"family":"Plimack","given":"Elizabeth R."},{"family":"Ponsky","given":"Lee"},{"family":"Ramalingam","given":"Sundhar"},{"family":"Shuch","given":"Brian"},{"family":"Smith","given":"Zachary L."},{"family":"Sosman","given":"Jeffrey"},{"family":"Dwyer","given":"Mary A."},{"family":"Gurski","given":"Lisa A."},{"family":"Motter","given":"Angela"}],"issued":{"date-parts":[["2022",1,1]]}}}],"schema":"https://github.com/citation-style-language/schema/raw/master/csl-citation.json"} </w:instrText>
      </w:r>
      <w:r w:rsidRPr="00150AFE">
        <w:rPr>
          <w:vertAlign w:val="superscript"/>
        </w:rPr>
        <w:fldChar w:fldCharType="separate"/>
      </w:r>
      <w:r w:rsidR="00C5345B" w:rsidRPr="00C5345B">
        <w:rPr>
          <w:vertAlign w:val="superscript"/>
        </w:rPr>
        <w:t>1</w:t>
      </w:r>
      <w:r w:rsidRPr="00150AFE">
        <w:rPr>
          <w:vertAlign w:val="superscript"/>
        </w:rPr>
        <w:fldChar w:fldCharType="end"/>
      </w:r>
      <w:r w:rsidRPr="00150AFE">
        <w:t>.</w:t>
      </w:r>
    </w:p>
    <w:p w14:paraId="27BE9D05" w14:textId="2084E3B8" w:rsidR="00B82FDC" w:rsidRPr="00150AFE" w:rsidRDefault="00164DE6" w:rsidP="00B82FDC">
      <w:r w:rsidRPr="00164DE6">
        <w:t>Prognosis is primarily determined by tumour stage, grade, nodal involvement, and metastatic disease at presentation</w:t>
      </w:r>
      <w:r w:rsidR="00B82FDC" w:rsidRPr="00150AFE">
        <w:fldChar w:fldCharType="begin"/>
      </w:r>
      <w:r w:rsidR="00B82FDC" w:rsidRPr="00150AFE">
        <w:instrText xml:space="preserve"> ADDIN ZOTERO_ITEM CSL_CITATION {"citationID":"WIPDVCYx","properties":{"unsorted":false,"formattedCitation":"\\super 1\\nosupersub{}","plainCitation":"1","noteIndex":0},"citationItems":[{"id":6185,"uris":["http://zotero.org/users/17607594/items/GBB2ARXY"],"itemData":{"id":6185,"type":"article-journal","abstract":"The NCCN Guidelines for Kidney Cancer focus on the screening, diagnosis, staging, treatment, and management of renal cell carcinoma (RCC). Patients with relapsed or stage IV RCC typically undergo surgery and/or receive systemic therapy. Tumor histology and risk stratification of patients is important in therapy selection. The NCCN Guidelines for Kidney Cancer stratify treatment recommendations by histology; recommendations for first-line treatment of ccRCC are also stratified by risk group. To further guide management of advanced RCC, the NCCN Kidney Cancer Panel has categorized all systemic kidney cancer therapy regimens as “Preferred,” “Other Recommended Regimens,” or “Useful in Certain Circumstances.” This categorization provides guidance on treatment selection by considering the efficacy, safety, evidence, and other factors that play a role in treatment selection. These factors include pre-existing comorbidities, nature of the disease, and in some cases consideration of access to agents. This article summarizes surgical and systemic therapy recommendations for patients with relapsed or stage IV RCC.","citation-key":"motzerKidneyCancerVersion2022","container-title":"Journal of the National Comprehensive Cancer Network","DOI":"10.6004/jnccn.2022.0001","ISSN":"1540-1405, 1540-1413","issue":"1","journalAbbreviation":"J Natl Compr Canc Netw","language":"eng","page":"71-90","PMID":"34991070","PMCID":"PMC10191161","publisher":"National Comprehensive Cancer Network","section":"Journal of the National Comprehensive Cancer Network","source":"PubMed","title":"Kidney Cancer, Version 3.2022, NCCN Clinical Practice Guidelines in Oncology","volume":"20","author":[{"family":"Motzer","given":"Robert J."},{"family":"Jonasch","given":"Eric"},{"family":"Agarwal","given":"Neeraj"},{"family":"Alva","given":"Ajjai"},{"family":"Baine","given":"Michael"},{"family":"Beckermann","given":"Kathryn"},{"family":"Carlo","given":"Maria I."},{"family":"Choueiri","given":"Toni K."},{"family":"Costello","given":"Brian A."},{"family":"Derweesh","given":"Ithaar H."},{"family":"Desai","given":"Arpita"},{"family":"Ged","given":"Yasser"},{"family":"George","given":"Saby"},{"family":"Gore","given":"John L."},{"family":"Haas","given":"Naomi"},{"family":"Hancock","given":"Steven L."},{"family":"Kapur","given":"Payal"},{"family":"Kyriakopoulos","given":"Christos"},{"family":"Lam","given":"Elaine T."},{"family":"Lara","given":"Primo N."},{"family":"Lau","given":"Clayton"},{"family":"Lewis","given":"Bryan"},{"family":"Madoff","given":"David C."},{"family":"Manley","given":"Brandon"},{"family":"Michaelson","given":"M. Dror"},{"family":"Mortazavi","given":"Amir"},{"family":"Nandagopal","given":"Lakshminarayanan"},{"family":"Plimack","given":"Elizabeth R."},{"family":"Ponsky","given":"Lee"},{"family":"Ramalingam","given":"Sundhar"},{"family":"Shuch","given":"Brian"},{"family":"Smith","given":"Zachary L."},{"family":"Sosman","given":"Jeffrey"},{"family":"Dwyer","given":"Mary A."},{"family":"Gurski","given":"Lisa A."},{"family":"Motter","given":"Angela"}],"issued":{"date-parts":[["2022",1,1]]}}}],"schema":"https://github.com/citation-style-language/schema/raw/master/csl-citation.json"} </w:instrText>
      </w:r>
      <w:r w:rsidR="00B82FDC" w:rsidRPr="00150AFE">
        <w:fldChar w:fldCharType="separate"/>
      </w:r>
      <w:r w:rsidR="00C5345B" w:rsidRPr="00C5345B">
        <w:rPr>
          <w:vertAlign w:val="superscript"/>
        </w:rPr>
        <w:t>1</w:t>
      </w:r>
      <w:r w:rsidR="00B82FDC" w:rsidRPr="00150AFE">
        <w:fldChar w:fldCharType="end"/>
      </w:r>
      <w:r w:rsidR="00B82FDC" w:rsidRPr="00150AFE">
        <w:t>.</w:t>
      </w:r>
      <w:r w:rsidR="00B82FDC" w:rsidRPr="00150AFE">
        <w:t xml:space="preserve"> </w:t>
      </w:r>
      <w:r w:rsidRPr="00164DE6">
        <w:t>Existing clinical risk models perform less well in intermediate-risk patients and were largely developed in historical metastatic cohorts</w:t>
      </w:r>
      <w:r w:rsidR="00B82FDC" w:rsidRPr="00150AFE">
        <w:fldChar w:fldCharType="begin"/>
      </w:r>
      <w:r w:rsidR="00B82FDC" w:rsidRPr="00150AFE">
        <w:instrText xml:space="preserve"> ADDIN ZOTERO_ITEM CSL_CITATION {"citationID":"THvV51qj","properties":{"unsorted":false,"formattedCitation":"\\super 2\\nosupersub{}","plainCitation":"2","noteIndex":0},"citationItems":[{"id":6194,"uris":["http://zotero.org/users/17607594/items/P8B7NIIV"],"itemData":{"id":6194,"type":"article-journal","abstract":"Clear cell renal cell carcinoma (ccRCC) is characterized by marked biological heterogeneity, which limits the prognostic accuracy of conventional clinicopathological models. Increasing attention has therefore focused on identification of biomarkers that can enhance risk stratification throughout all stages of the disease. Starting from the current state of the art, this narrative review summarizes and critically appraises the evidence published over the past decade regarding prognostic biomarkers in ccRCC. The analysis is structured into four overarching domains: (i) genomic biomarkers, covering somatic alterations and transcriptomic signatures; (ii) tissue-based biomarkers, including immunohistochemical surrogates and immune microenvironment features; (iii) circulating biomarkers, such as systemic inflammation parameters and indices; and (iv) integrated predictive models, represented by emerging multi-omic approaches. Going through the broad framework of potential prognostic biomarkers, emphasis is placed on their individual and integrative value in relation to classic clinical-pathological factors and survival parameters. At the tissue level, chromosome 3p-related alterations constitute a central molecular feature of ccRCC. Among these, BAP1 loss has emerged as one of the most consistently validated indicators of aggressive tumor behavior. Disruption of the SETD2/H3K36me3 axis and immune-related biomarkers, including PD-L1 expression, have demonstrated prognostic associations in selected settings, although with variable and context-dependent performance. In the circulating compartment, plasma KIM-1 has shown prognostic relevance following nephrectomy, while postoperative detection of circulating tumor DNA (ctDNA) may identify patients at increased risk of recurrence. However, limited analytical sensitivity and methodological heterogeneity currently restrict the broader clinical applicability of ctDNA-based strategies. Systemic inflammatory indices, such as the neutrophil-to-lymphocyte ratio, show reproducible associations with outcomes but largely reflect host inflammatory status rather than tumor-specific biology. However, no single biomarker currently supports routine prognostic implementation in ccRCC. Future progress will likely depend on integrative models combining genomic, tissue-based, immune, and circulating parameters with established clinical variables. Prospective validation and clear demonstration of incremental clinical utility will be essential before such strategies can meaningfully inform therapeutic decision-making.","citation-key":"chifuRefiningPrognosticStratification2026","container-title":"Cancers","DOI":"10.3390/cancers18091371","ISSN":"2072-6694","issue":"9","journalAbbreviation":"Cancers (Basel)","language":"eng","license":"http://creativecommons.org/licenses/by/3.0/","page":"1371","PMID":"42122167","PMCID":"PMC13162819","publisher":"Multidisciplinary Digital Publishing Institute","source":"PubMed","title":"Refining prognostic stratification in clear cell renal cell carcinoma: genomic, tissue-based, circulating biomarkers and integrated models","title-short":"Refining prognostic stratification in clear cell renal cell carcinoma","volume":"18","author":[{"family":"Chifu","given":"Mariana Bianca"},{"family":"Giușcă","given":"Simona Eliza"},{"family":"Timofte","given":"Andrei Daniel"},{"family":"Costin","given":"Constantin Aleodor"},{"family":"Rusu","given":"Andreea"},{"family":"Ipatov","given":"Ana-Maria"},{"family":"Căruntu","given":"Irina Draga"}],"issued":{"date-parts":[["2026",4,25]]}}}],"schema":"https://github.com/citation-style-language/schema/raw/master/csl-citation.json"} </w:instrText>
      </w:r>
      <w:r w:rsidR="00B82FDC" w:rsidRPr="00150AFE">
        <w:fldChar w:fldCharType="separate"/>
      </w:r>
      <w:r w:rsidR="00C5345B" w:rsidRPr="00C5345B">
        <w:rPr>
          <w:vertAlign w:val="superscript"/>
        </w:rPr>
        <w:t>2</w:t>
      </w:r>
      <w:r w:rsidR="00B82FDC" w:rsidRPr="00150AFE">
        <w:fldChar w:fldCharType="end"/>
      </w:r>
      <w:r w:rsidR="00B82FDC" w:rsidRPr="00150AFE">
        <w:t xml:space="preserve">. </w:t>
      </w:r>
    </w:p>
    <w:p w14:paraId="569A9F5C" w14:textId="1ED05B5B" w:rsidR="00B82FDC" w:rsidRPr="00150AFE" w:rsidRDefault="00B82FDC" w:rsidP="00B82FDC">
      <w:r w:rsidRPr="00150AFE">
        <w:t>For advanced and relapsed disease, several prognostic scoring systems have been developed, including the Memorial Sloan Kettering Cancer Centre (MSKCC) model and the International Metastatic RCC Database Consortium (IMDC, or Heng) model</w:t>
      </w:r>
      <w:r w:rsidRPr="00150AFE">
        <w:fldChar w:fldCharType="begin"/>
      </w:r>
      <w:r w:rsidRPr="00150AFE">
        <w:instrText xml:space="preserve"> ADDIN ZOTERO_ITEM CSL_CITATION {"citationID":"zuuTIg28","properties":{"unsorted":false,"formattedCitation":"\\super 1\\nosupersub{}","plainCitation":"1","noteIndex":0},"citationItems":[{"id":6185,"uris":["http://zotero.org/users/17607594/items/GBB2ARXY"],"itemData":{"id":6185,"type":"article-journal","abstract":"The NCCN Guidelines for Kidney Cancer focus on the screening, diagnosis, staging, treatment, and management of renal cell carcinoma (RCC). Patients with relapsed or stage IV RCC typically undergo surgery and/or receive systemic therapy. Tumor histology and risk stratification of patients is important in therapy selection. The NCCN Guidelines for Kidney Cancer stratify treatment recommendations by histology; recommendations for first-line treatment of ccRCC are also stratified by risk group. To further guide management of advanced RCC, the NCCN Kidney Cancer Panel has categorized all systemic kidney cancer therapy regimens as “Preferred,” “Other Recommended Regimens,” or “Useful in Certain Circumstances.” This categorization provides guidance on treatment selection by considering the efficacy, safety, evidence, and other factors that play a role in treatment selection. These factors include pre-existing comorbidities, nature of the disease, and in some cases consideration of access to agents. This article summarizes surgical and systemic therapy recommendations for patients with relapsed or stage IV RCC.","citation-key":"motzerKidneyCancerVersion2022","container-title":"Journal of the National Comprehensive Cancer Network","DOI":"10.6004/jnccn.2022.0001","ISSN":"1540-1405, 1540-1413","issue":"1","journalAbbreviation":"J Natl Compr Canc Netw","language":"eng","page":"71-90","PMID":"34991070","PMCID":"PMC10191161","publisher":"National Comprehensive Cancer Network","section":"Journal of the National Comprehensive Cancer Network","source":"PubMed","title":"Kidney Cancer, Version 3.2022, NCCN Clinical Practice Guidelines in Oncology","volume":"20","author":[{"family":"Motzer","given":"Robert J."},{"family":"Jonasch","given":"Eric"},{"family":"Agarwal","given":"Neeraj"},{"family":"Alva","given":"Ajjai"},{"family":"Baine","given":"Michael"},{"family":"Beckermann","given":"Kathryn"},{"family":"Carlo","given":"Maria I."},{"family":"Choueiri","given":"Toni K."},{"family":"Costello","given":"Brian A."},{"family":"Derweesh","given":"Ithaar H."},{"family":"Desai","given":"Arpita"},{"family":"Ged","given":"Yasser"},{"family":"George","given":"Saby"},{"family":"Gore","given":"John L."},{"family":"Haas","given":"Naomi"},{"family":"Hancock","given":"Steven L."},{"family":"Kapur","given":"Payal"},{"family":"Kyriakopoulos","given":"Christos"},{"family":"Lam","given":"Elaine T."},{"family":"Lara","given":"Primo N."},{"family":"Lau","given":"Clayton"},{"family":"Lewis","given":"Bryan"},{"family":"Madoff","given":"David C."},{"family":"Manley","given":"Brandon"},{"family":"Michaelson","given":"M. Dror"},{"family":"Mortazavi","given":"Amir"},{"family":"Nandagopal","given":"Lakshminarayanan"},{"family":"Plimack","given":"Elizabeth R."},{"family":"Ponsky","given":"Lee"},{"family":"Ramalingam","given":"Sundhar"},{"family":"Shuch","given":"Brian"},{"family":"Smith","given":"Zachary L."},{"family":"Sosman","given":"Jeffrey"},{"family":"Dwyer","given":"Mary A."},{"family":"Gurski","given":"Lisa A."},{"family":"Motter","given":"Angela"}],"issued":{"date-parts":[["2022",1,1]]}}}],"schema":"https://github.com/citation-style-language/schema/raw/master/csl-citation.json"} </w:instrText>
      </w:r>
      <w:r w:rsidRPr="00150AFE">
        <w:fldChar w:fldCharType="separate"/>
      </w:r>
      <w:r w:rsidR="00C5345B" w:rsidRPr="00C5345B">
        <w:rPr>
          <w:vertAlign w:val="superscript"/>
        </w:rPr>
        <w:t>1</w:t>
      </w:r>
      <w:r w:rsidRPr="00150AFE">
        <w:fldChar w:fldCharType="end"/>
      </w:r>
      <w:r w:rsidRPr="00150AFE">
        <w:t xml:space="preserve">. </w:t>
      </w:r>
      <w:r w:rsidRPr="00150AFE">
        <w:t>These incorporate clinical and laboratory variables such as absolute neutrophil count, haemoglobin, lactate dehydrogenase, and corrected serum calcium. However, these models were derived from specific metastatic cohorts treated with older systemic therapies such as interferon, sunitinib, sorafenib, or bevacizumab-based regimens, limiting their generalisability to contemporary treatment settings and broader disease stages</w:t>
      </w:r>
      <w:r w:rsidRPr="00150AFE">
        <w:fldChar w:fldCharType="begin"/>
      </w:r>
      <w:r w:rsidR="00150AFE" w:rsidRPr="00150AFE">
        <w:instrText xml:space="preserve"> ADDIN ZOTERO_ITEM CSL_CITATION {"citationID":"zYSUxBDt","properties":{"unsorted":false,"formattedCitation":"\\super 1\\nosupersub{}","plainCitation":"1","noteIndex":0},"citationItems":[{"id":6185,"uris":["http://zotero.org/users/17607594/items/GBB2ARXY"],"itemData":{"id":6185,"type":"article-journal","abstract":"The NCCN Guidelines for Kidney Cancer focus on the screening, diagnosis, staging, treatment, and management of renal cell carcinoma (RCC). Patients with relapsed or stage IV RCC typically undergo surgery and/or receive systemic therapy. Tumor histology and risk stratification of patients is important in therapy selection. The NCCN Guidelines for Kidney Cancer stratify treatment recommendations by histology; recommendations for first-line treatment of ccRCC are also stratified by risk group. To further guide management of advanced RCC, the NCCN Kidney Cancer Panel has categorized all systemic kidney cancer therapy regimens as “Preferred,” “Other Recommended Regimens,” or “Useful in Certain Circumstances.” This categorization provides guidance on treatment selection by considering the efficacy, safety, evidence, and other factors that play a role in treatment selection. These factors include pre-existing comorbidities, nature of the disease, and in some cases consideration of access to agents. This article summarizes surgical and systemic therapy recommendations for patients with relapsed or stage IV RCC.","citation-key":"motzerKidneyCancerVersion2022","container-title":"Journal of the National Comprehensive Cancer Network","DOI":"10.6004/jnccn.2022.0001","ISSN":"1540-1405, 1540-1413","issue":"1","journalAbbreviation":"J Natl Compr Canc Netw","language":"eng","page":"71-90","PMID":"34991070","PMCID":"PMC10191161","publisher":"National Comprehensive Cancer Network","section":"Journal of the National Comprehensive Cancer Network","source":"PubMed","title":"Kidney Cancer, Version 3.2022, NCCN Clinical Practice Guidelines in Oncology","volume":"20","author":[{"family":"Motzer","given":"Robert J."},{"family":"Jonasch","given":"Eric"},{"family":"Agarwal","given":"Neeraj"},{"family":"Alva","given":"Ajjai"},{"family":"Baine","given":"Michael"},{"family":"Beckermann","given":"Kathryn"},{"family":"Carlo","given":"Maria I."},{"family":"Choueiri","given":"Toni K."},{"family":"Costello","given":"Brian A."},{"family":"Derweesh","given":"Ithaar H."},{"family":"Desai","given":"Arpita"},{"family":"Ged","given":"Yasser"},{"family":"George","given":"Saby"},{"family":"Gore","given":"John L."},{"family":"Haas","given":"Naomi"},{"family":"Hancock","given":"Steven L."},{"family":"Kapur","given":"Payal"},{"family":"Kyriakopoulos","given":"Christos"},{"family":"Lam","given":"Elaine T."},{"family":"Lara","given":"Primo N."},{"family":"Lau","given":"Clayton"},{"family":"Lewis","given":"Bryan"},{"family":"Madoff","given":"David C."},{"family":"Manley","given":"Brandon"},{"family":"Michaelson","given":"M. Dror"},{"family":"Mortazavi","given":"Amir"},{"family":"Nandagopal","given":"Lakshminarayanan"},{"family":"Plimack","given":"Elizabeth R."},{"family":"Ponsky","given":"Lee"},{"family":"Ramalingam","given":"Sundhar"},{"family":"Shuch","given":"Brian"},{"family":"Smith","given":"Zachary L."},{"family":"Sosman","given":"Jeffrey"},{"family":"Dwyer","given":"Mary A."},{"family":"Gurski","given":"Lisa A."},{"family":"Motter","given":"Angela"}],"issued":{"date-parts":[["2022",1,1]]}}}],"schema":"https://github.com/citation-style-language/schema/raw/master/csl-citation.json"} </w:instrText>
      </w:r>
      <w:r w:rsidRPr="00150AFE">
        <w:fldChar w:fldCharType="separate"/>
      </w:r>
      <w:r w:rsidR="00C5345B" w:rsidRPr="00C5345B">
        <w:rPr>
          <w:vertAlign w:val="superscript"/>
        </w:rPr>
        <w:t>1</w:t>
      </w:r>
      <w:r w:rsidRPr="00150AFE">
        <w:fldChar w:fldCharType="end"/>
      </w:r>
      <w:r w:rsidRPr="00150AFE">
        <w:t>.</w:t>
      </w:r>
    </w:p>
    <w:p w14:paraId="2E921798" w14:textId="28E53FB0" w:rsidR="00B82FDC" w:rsidRDefault="00B82FDC" w:rsidP="00B82FDC">
      <w:r w:rsidRPr="00150AFE">
        <w:t xml:space="preserve">ccRCC is </w:t>
      </w:r>
      <w:r w:rsidR="00164DE6">
        <w:t xml:space="preserve">characterised by </w:t>
      </w:r>
      <w:r w:rsidRPr="00150AFE">
        <w:t xml:space="preserve">inactivation of the von Hippel–Lindau (VHL) tumour suppressor gene, leading to hypoxia-inducible factor (HIF) </w:t>
      </w:r>
      <w:r w:rsidR="00164DE6">
        <w:t xml:space="preserve">activation, </w:t>
      </w:r>
      <w:r w:rsidR="00164DE6" w:rsidRPr="00164DE6">
        <w:t>angiogenesis, immune infiltration</w:t>
      </w:r>
      <w:r w:rsidR="00164DE6">
        <w:t xml:space="preserve"> (particularly by neutrophils)</w:t>
      </w:r>
      <w:r w:rsidR="00164DE6" w:rsidRPr="00164DE6">
        <w:t>, and extracellular matrix</w:t>
      </w:r>
      <w:r w:rsidR="00164DE6">
        <w:t xml:space="preserve"> (ECM)</w:t>
      </w:r>
      <w:r w:rsidR="00164DE6" w:rsidRPr="00164DE6">
        <w:t xml:space="preserve"> remodelling</w:t>
      </w:r>
      <w:r w:rsidR="00150AFE" w:rsidRPr="00150AFE">
        <w:fldChar w:fldCharType="begin"/>
      </w:r>
      <w:r w:rsidR="00164DE6">
        <w:instrText xml:space="preserve"> ADDIN ZOTERO_ITEM CSL_CITATION {"citationID":"LgwZzFU4","properties":{"unsorted":false,"formattedCitation":"\\super 3\\uc0\\u8211{}5\\nosupersub{}","plainCitation":"3–5","noteIndex":0},"citationItems":[{"id":6198,"uris":["http://zotero.org/users/17607594/items/SSADDVVR"],"itemData":{"id":6198,"type":"article-journal","abstract":"Multiple, bilateral renal carcinomas are a frequent occurrence in von Hippel-Lindau (VHL) disease. To elucidate the aetiological role of the VHL gene in human kidney tumorigenesis, localized and advanced tumours from 110 patients with sporadic renal carcinoma were analysed for VHL mutations and loss of heterozygosity (LOH). VHL mutations were identified in 57% of clear cell renal carcinomas analysed and LOH was observed in 98% of those samples. Moreover, VHL was mutated and lost in a renal tumour from a patient with familial renal carcinoma carrying the constitutional translocation, t(3;8)(p14;q24). The identification of VHL mutations in a majority of localized and advanced sporadic renal carcinomas and in a second form of hereditary renal carcinoma indicates that the VHL gene plays a critical part in the origin of this malignancy.","citation-key":"gnarraMutationsVHLTumour1994","container-title":"Nature Genetics","DOI":"10.1038/ng0594-85","ISSN":"1061-4036","issue":"1","journalAbbreviation":"Nat Genet","language":"eng","page":"85-90","PMID":"7915601","source":"PubMed","title":"Mutations of the VHL tumour suppressor gene in renal carcinoma","volume":"7","author":[{"family":"Gnarra","given":"J. R."},{"family":"Tory","given":"K."},{"family":"Weng","given":"Y."},{"family":"Schmidt","given":"L."},{"family":"Wei","given":"M. H."},{"family":"Li","given":"H."},{"family":"Latif","given":"F."},{"family":"Liu","given":"S."},{"family":"Chen","given":"F."},{"family":"Duh","given":"F. M."}],"issued":{"date-parts":[["1994",5]]}}},{"id":6200,"uris":["http://zotero.org/users/17607594/items/4PPBL9W2"],"itemData":{"id":6200,"type":"article-journal","abstract":"Genetic changes underlying clear cell renal cell carcinoma (ccRCC) include alterations in genes controlling cellular oxygen sensing (for example, VHL) and the maintenance of chromatin states (for example, PBRM1). We surveyed more than 400 tumours using different genomic platforms and identified 19 significantly mutated genes. The PI(3)K/AKT pathway was recurrently mutated, suggesting this pathway as a potential therapeutic target. Widespread DNA hypomethylation was associated with mutation of the H3K36 methyltransferase SETD2, and integrative analysis suggested that mutations involving the SWI/SNF chromatin remodelling complex (PBRM1, ARID1A, SMARCA4) could have far-reaching effects on other pathways. Aggressive cancers demonstrated evidence of a metabolic shift, involving downregulation of genes involved in the TCA cycle, decreased AMPK and PTEN protein levels, upregulation of the pentose phosphate pathway and the glutamine transporter genes, increased acetyl-CoA carboxylase protein, and altered promoter methylation of miR-21 (also known as MIR21) and GRB10. Remodelling cellular metabolism thus constitutes a recurrent pattern in ccRCC that correlates with tumour stage and severity and offers new views on the opportunities for disease treatment.","citation-key":"cancergenomeatlasresearchnetworkComprehensiveMolecularCharacterization2013","container-title":"Nature","DOI":"10.1038/nature12222","ISSN":"1476-4687","issue":"7456","journalAbbreviation":"Nature","language":"eng","license":"2013 The Author(s)","page":"43-49","PMID":"23792563","PMCID":"PMC3771322","publisher":"Nature Publishing Group","source":"PubMed","title":"Comprehensive molecular characterization of clear cell renal cell carcinoma","volume":"499","author":[{"literal":"Cancer Genome Atlas Research Network"}],"issued":{"date-parts":[["2013",7,4]]}}},{"id":6205,"uris":["http://zotero.org/users/17607594/items/JQHQTJZP"],"itemData":{"id":6205,"type":"article-journal","abstract":"Neutrophils are the most abundant circulating leukocytes, being the first line of defence against bacterial and fungal infections. However, neutrophils also contribute to tissue damage during various autoimmune and inflammatory diseases, and play important roles in cancer progression. The intimate but complex involvement of neutrophils in various diseases makes them exciting targets for therapeutic intervention but also necessitates differentiation of beneficial responses from potentially detrimental side effects. A variety of approaches to therapeutically target neutrophils have emerged, including strategies to enhance, inhibit or restore neutrophil function, with several agents entering clinical trials. However, challenges and controversies in the field remain.","citation-key":"nemethNeutrophilsEmergingTherapeutic2020","container-title":"Nature Reviews Drug Discovery","DOI":"10.1038/s41573-019-0054-z","ISSN":"1474-1784","issue":"4","journalAbbreviation":"Nat Rev Drug Discov","language":"eng","license":"2020 Springer Nature Limited","page":"253-275","PMID":"31969717","publisher":"Nature Publishing Group","source":"PubMed","title":"Neutrophils as emerging therapeutic targets","volume":"19","author":[{"family":"Németh","given":"Tamás"},{"family":"Sperandio","given":"Markus"},{"family":"Mócsai","given":"Attila"}],"issued":{"date-parts":[["2020",4]]}}}],"schema":"https://github.com/citation-style-language/schema/raw/master/csl-citation.json"} </w:instrText>
      </w:r>
      <w:r w:rsidR="00150AFE" w:rsidRPr="00150AFE">
        <w:fldChar w:fldCharType="separate"/>
      </w:r>
      <w:r w:rsidR="00164DE6" w:rsidRPr="00164DE6">
        <w:rPr>
          <w:vertAlign w:val="superscript"/>
        </w:rPr>
        <w:t>3–5</w:t>
      </w:r>
      <w:r w:rsidR="00150AFE" w:rsidRPr="00150AFE">
        <w:fldChar w:fldCharType="end"/>
      </w:r>
      <w:r w:rsidR="00164DE6">
        <w:t xml:space="preserve">. </w:t>
      </w:r>
      <w:r w:rsidR="00164DE6" w:rsidRPr="00164DE6">
        <w:t>These processes underpin current targeted and immunotherapeutic approaches</w:t>
      </w:r>
      <w:r w:rsidR="00150AFE" w:rsidRPr="00150AFE">
        <w:rPr>
          <w:vertAlign w:val="superscript"/>
        </w:rPr>
        <w:fldChar w:fldCharType="begin"/>
      </w:r>
      <w:r w:rsidR="00150AFE" w:rsidRPr="00150AFE">
        <w:rPr>
          <w:vertAlign w:val="superscript"/>
        </w:rPr>
        <w:instrText xml:space="preserve"> ADDIN ZOTERO_ITEM CSL_CITATION {"citationID":"EV8g6lEY","properties":{"unsorted":false,"formattedCitation":"\\super 1\\nosupersub{}","plainCitation":"1","noteIndex":0},"citationItems":[{"id":6185,"uris":["http://zotero.org/users/17607594/items/GBB2ARXY"],"itemData":{"id":6185,"type":"article-journal","abstract":"The NCCN Guidelines for Kidney Cancer focus on the screening, diagnosis, staging, treatment, and management of renal cell carcinoma (RCC). Patients with relapsed or stage IV RCC typically undergo surgery and/or receive systemic therapy. Tumor histology and risk stratification of patients is important in therapy selection. The NCCN Guidelines for Kidney Cancer stratify treatment recommendations by histology; recommendations for first-line treatment of ccRCC are also stratified by risk group. To further guide management of advanced RCC, the NCCN Kidney Cancer Panel has categorized all systemic kidney cancer therapy regimens as “Preferred,” “Other Recommended Regimens,” or “Useful in Certain Circumstances.” This categorization provides guidance on treatment selection by considering the efficacy, safety, evidence, and other factors that play a role in treatment selection. These factors include pre-existing comorbidities, nature of the disease, and in some cases consideration of access to agents. This article summarizes surgical and systemic therapy recommendations for patients with relapsed or stage IV RCC.","citation-key":"motzerKidneyCancerVersion2022","container-title":"Journal of the National Comprehensive Cancer Network","DOI":"10.6004/jnccn.2022.0001","ISSN":"1540-1405, 1540-1413","issue":"1","journalAbbreviation":"J Natl Compr Canc Netw","language":"eng","page":"71-90","PMID":"34991070","PMCID":"PMC10191161","publisher":"National Comprehensive Cancer Network","section":"Journal of the National Comprehensive Cancer Network","source":"PubMed","title":"Kidney Cancer, Version 3.2022, NCCN Clinical Practice Guidelines in Oncology","volume":"20","author":[{"family":"Motzer","given":"Robert J."},{"family":"Jonasch","given":"Eric"},{"family":"Agarwal","given":"Neeraj"},{"family":"Alva","given":"Ajjai"},{"family":"Baine","given":"Michael"},{"family":"Beckermann","given":"Kathryn"},{"family":"Carlo","given":"Maria I."},{"family":"Choueiri","given":"Toni K."},{"family":"Costello","given":"Brian A."},{"family":"Derweesh","given":"Ithaar H."},{"family":"Desai","given":"Arpita"},{"family":"Ged","given":"Yasser"},{"family":"George","given":"Saby"},{"family":"Gore","given":"John L."},{"family":"Haas","given":"Naomi"},{"family":"Hancock","given":"Steven L."},{"family":"Kapur","given":"Payal"},{"family":"Kyriakopoulos","given":"Christos"},{"family":"Lam","given":"Elaine T."},{"family":"Lara","given":"Primo N."},{"family":"Lau","given":"Clayton"},{"family":"Lewis","given":"Bryan"},{"family":"Madoff","given":"David C."},{"family":"Manley","given":"Brandon"},{"family":"Michaelson","given":"M. Dror"},{"family":"Mortazavi","given":"Amir"},{"family":"Nandagopal","given":"Lakshminarayanan"},{"family":"Plimack","given":"Elizabeth R."},{"family":"Ponsky","given":"Lee"},{"family":"Ramalingam","given":"Sundhar"},{"family":"Shuch","given":"Brian"},{"family":"Smith","given":"Zachary L."},{"family":"Sosman","given":"Jeffrey"},{"family":"Dwyer","given":"Mary A."},{"family":"Gurski","given":"Lisa A."},{"family":"Motter","given":"Angela"}],"issued":{"date-parts":[["2022",1,1]]}}}],"schema":"https://github.com/citation-style-language/schema/raw/master/csl-citation.json"} </w:instrText>
      </w:r>
      <w:r w:rsidR="00150AFE" w:rsidRPr="00150AFE">
        <w:rPr>
          <w:vertAlign w:val="superscript"/>
        </w:rPr>
        <w:fldChar w:fldCharType="separate"/>
      </w:r>
      <w:r w:rsidR="00C5345B" w:rsidRPr="00C5345B">
        <w:rPr>
          <w:vertAlign w:val="superscript"/>
        </w:rPr>
        <w:t>1</w:t>
      </w:r>
      <w:r w:rsidR="00150AFE" w:rsidRPr="00150AFE">
        <w:rPr>
          <w:vertAlign w:val="superscript"/>
        </w:rPr>
        <w:fldChar w:fldCharType="end"/>
      </w:r>
      <w:r w:rsidRPr="00150AFE">
        <w:t>.</w:t>
      </w:r>
    </w:p>
    <w:p w14:paraId="3856E32D" w14:textId="7F35AD64" w:rsidR="00244BD3" w:rsidRPr="00150AFE" w:rsidRDefault="00244BD3" w:rsidP="00B82FDC">
      <w:r w:rsidRPr="00150AFE">
        <w:t>The</w:t>
      </w:r>
      <w:r>
        <w:t xml:space="preserve"> limitation of current clinical prognostic indicators </w:t>
      </w:r>
      <w:proofErr w:type="gramStart"/>
      <w:r w:rsidRPr="00150AFE">
        <w:t>motivate</w:t>
      </w:r>
      <w:proofErr w:type="gramEnd"/>
      <w:r w:rsidRPr="00150AFE">
        <w:t xml:space="preserve"> the integration of molecular data to improve individualised risk prediction. </w:t>
      </w:r>
      <w:r w:rsidR="00977CDB">
        <w:t>The aim of p</w:t>
      </w:r>
      <w:r w:rsidRPr="00244BD3">
        <w:t>ersonali</w:t>
      </w:r>
      <w:r w:rsidR="00C71C3E">
        <w:t>s</w:t>
      </w:r>
      <w:r w:rsidRPr="00244BD3">
        <w:t xml:space="preserve">ed medicine </w:t>
      </w:r>
      <w:r w:rsidR="00977CDB">
        <w:t xml:space="preserve">is to </w:t>
      </w:r>
      <w:r w:rsidRPr="00244BD3">
        <w:t>improve patient diagnosis and treatment by making use of patient-specific genomic and molecular markers that are indicative of disease development</w:t>
      </w:r>
      <w:r>
        <w:t>.</w:t>
      </w:r>
    </w:p>
    <w:p w14:paraId="515FAD9E" w14:textId="62135DEA" w:rsidR="00B82FDC" w:rsidRPr="00150AFE" w:rsidRDefault="00B82FDC" w:rsidP="00B82FDC">
      <w:r w:rsidRPr="00150AFE">
        <w:t xml:space="preserve">This analysis addresses the following research question: </w:t>
      </w:r>
      <w:r w:rsidRPr="00150AFE">
        <w:rPr>
          <w:b/>
          <w:bCs/>
          <w:i/>
          <w:iCs/>
        </w:rPr>
        <w:t>can the integration of proteomic signalling data and transcriptomic pathway scores with standard clinical variables improve overall survival prediction in ccRCC, and does the inflammatory invasion axis contribute independent prognostic information beyond clinical staging?</w:t>
      </w:r>
    </w:p>
    <w:p w14:paraId="7ECC63DA" w14:textId="771C6A87" w:rsidR="00B82FDC" w:rsidRPr="00150AFE" w:rsidRDefault="00B82FDC" w:rsidP="00B82FDC">
      <w:r w:rsidRPr="00150AFE">
        <w:lastRenderedPageBreak/>
        <w:t xml:space="preserve">To address this question, multi-omics data from the TCGA Kidney Renal Clear Cell Carcinoma </w:t>
      </w:r>
      <w:proofErr w:type="spellStart"/>
      <w:r w:rsidRPr="00150AFE">
        <w:t>PanCancer</w:t>
      </w:r>
      <w:proofErr w:type="spellEnd"/>
      <w:r w:rsidRPr="00150AFE">
        <w:t xml:space="preserve"> Atlas cohort (TCGA-KIRC) were obtained from cBioPortal</w:t>
      </w:r>
      <w:r w:rsidR="00150AFE" w:rsidRPr="00150AFE">
        <w:fldChar w:fldCharType="begin"/>
      </w:r>
      <w:r w:rsidR="00164DE6">
        <w:instrText xml:space="preserve"> ADDIN ZOTERO_ITEM CSL_CITATION {"citationID":"iIKXVsun","properties":{"unsorted":false,"formattedCitation":"\\super 6\\uc0\\u8211{}8\\nosupersub{}","plainCitation":"6–8","noteIndex":0},"citationItems":[{"id":6152,"uris":["http://zotero.org/users/17607594/items/BI8MW38A"],"itemData":{"id":6152,"type":"article-journal","abstract":"The cBio Cancer Genomics Portal (http://cbioportal.org) is an open-access resource for interactive exploration of multidimensional cancer genomics data sets, currently providing access to data from more than 5,000 tumor samples from 20 cancer studies. The cBio Cancer Genomics Portal significantly lowers the barriers between complex genomic data and cancer researchers who want rapid, intuitive, and high-quality access to molecular profiles and clinical attributes from large-scale cancer genomics projects and empowers researchers to translate these rich data sets into biologic insights and clinical applications.","citation-key":"ceramiCBioCancerGenomics2012a","container-title":"Cancer Discovery","DOI":"10.1158/2159-8290.CD-12-0095","ISSN":"2159-8290","issue":"5","journalAbbreviation":"Cancer Discov","language":"eng","page":"401-404","PMID":"22588877","PMCID":"PMC3956037","source":"PubMed","title":"The cBio cancer genomics portal: an open platform for exploring multidimensional cancer genomics data","title-short":"The cBio cancer genomics portal","volume":"2","author":[{"family":"Cerami","given":"Ethan"},{"family":"Gao","given":"Jianjiong"},{"family":"Dogrusoz","given":"Ugur"},{"family":"Gross","given":"Benjamin E."},{"family":"Sumer","given":"Selcuk Onur"},{"family":"Aksoy","given":"Bülent Arman"},{"family":"Jacobsen","given":"Anders"},{"family":"Byrne","given":"Caitlin J."},{"family":"Heuer","given":"Michael L."},{"family":"Larsson","given":"Erik"},{"family":"Antipin","given":"Yevgeniy"},{"family":"Reva","given":"Boris"},{"family":"Goldberg","given":"Arthur P."},{"family":"Sander","given":"Chris"},{"family":"Schultz","given":"Nikolaus"}],"issued":{"date-parts":[["2012",5,9]]}}},{"id":6154,"uris":["http://zotero.org/users/17607594/items/QU42USPW"],"itemData":{"id":6154,"type":"article-journal","abstract":"The cBioPortal for Cancer Genomics (http://cbioportal.org) provides a Web resource for exploring, visualizing, and analyzing multidimensional cancer genomics data. The portal reduces molecular profiling data from cancer tissues and cell lines into readily understandable genetic, epigenetic, gene expression, and proteomic events. The query interface combined with customized data storage enables researchers to interactively explore genetic alterations across samples, genes, and pathways and, when available in the underlying data, to link these to clinical outcomes. The portal provides graphical summaries of gene-level data from multiple platforms, network visualization and analysis, survival analysis, patient-centric queries, and software programmatic access. The intuitive Web interface of the portal makes complex cancer genomics profiles accessible to researchers and clinicians without requiring bioinformatics expertise, thus facilitating biological discoveries. Here, we provide a practical guide to the analysis and visualization features of the cBioPortal for Cancer Genomics.","citation-key":"gaoIntegrativeAnalysisComplex2013","container-title":"Science Signaling","DOI":"10.1126/scisignal.2004088","ISSN":"1937-9145","issue":"269","journalAbbreviation":"Sci Signal","language":"eng","page":"pl1","PMID":"23550210","PMCID":"PMC4160307","source":"PubMed","title":"Integrative analysis of complex cancer genomics and clinical profiles using the cBioPortal","volume":"6","author":[{"family":"Gao","given":"Jianjiong"},{"family":"Aksoy","given":"Bülent Arman"},{"family":"Dogrusoz","given":"Ugur"},{"family":"Dresdner","given":"Gideon"},{"family":"Gross","given":"Benjamin"},{"family":"Sumer","given":"S. Onur"},{"family":"Sun","given":"Yichao"},{"family":"Jacobsen","given":"Anders"},{"family":"Sinha","given":"Rileen"},{"family":"Larsson","given":"Erik"},{"family":"Cerami","given":"Ethan"},{"family":"Sander","given":"Chris"},{"family":"Schultz","given":"Nikolaus"}],"issued":{"date-parts":[["2013",4,2]]}}},{"id":6156,"uris":["http://zotero.org/users/17607594/items/JIYNY4VV"],"itemData":{"id":6156,"type":"article-journal","abstract":"International cancer registries make real-world genomic and clinical data available, but their joint analysis remains a challenge. AACR Project GENIE, an international cancer registry collecting data from 19 cancer centers, makes data from &gt;130,000 patients publicly available through the cBioPortal for Cancer Genomics (https://genie.cbioportal.org). For 25,000 patients, additional real-world longitudinal clinical data, including treatment and outcome data, are being collected by the AACR Project GENIE Biopharma Collaborative using the PRISSMM data curation model. Several thousand of these cases are now also available in cBioPortal. We have significantly enhanced the functionalities of cBioPortal to support the visualization and analysis of this rich clinico-genomic linked dataset, as well as datasets generated by other centers and consortia. Examples of these enhancements include (i) visualization of the longitudinal clinical and genomic data at the patient level, including timelines for diagnoses, treatments, and outcomes; (ii) the ability to select samples based on treatment status, facilitating a comparison of molecular and clinical attributes between samples before and after a specific treatment; and (iii) survival analysis estimates based on individual treatment regimens received. Together, these features provide cBioPortal users with a toolkit to interactively investigate complex clinico-genomic data to generate hypotheses and make discoveries about the impact of specific genomic variants on prognosis and therapeutic sensitivities in cancer.\nSIGNIFICANCE: Enhanced cBioPortal features allow clinicians and researchers to effectively investigate longitudinal clinico-genomic data from patients with cancer, which will improve exploration of data from the AACR Project GENIE Biopharma Collaborative and similar datasets.","citation-key":"debruijnAnalysisVisualizationLongitudinal2023","container-title":"Cancer Research","DOI":"10.1158/0008-5472.CAN-23-0816","ISSN":"1538-7445","issue":"23","journalAbbreviation":"Cancer Res","language":"eng","page":"3861-3867","PMID":"37668528","PMCID":"PMC10690089","source":"PubMed","title":"Analysis and visualization of longitudinal genomic and clinical data from the AACR project GENIE biopharma collaborative in cBioPortal","volume":"83","author":[{"family":"Bruijn","given":"Ino","non-dropping-particle":"de"},{"family":"Kundra","given":"Ritika"},{"family":"Mastrogiacomo","given":"Brooke"},{"family":"Tran","given":"Thinh Ngoc"},{"family":"Sikina","given":"Luke"},{"family":"Mazor","given":"Tali"},{"family":"Li","given":"Xiang"},{"family":"Ochoa","given":"Angelica"},{"family":"Zhao","given":"Gaofei"},{"family":"Lai","given":"Bryan"},{"family":"Abeshouse","given":"Adam"},{"family":"Baiceanu","given":"Diana"},{"family":"Ciftci","given":"Ersin"},{"family":"Dogrusoz","given":"Ugur"},{"family":"Dufilie","given":"Andrew"},{"family":"Erkoc","given":"Ziya"},{"family":"Garcia Lara","given":"Elena"},{"family":"Fu","given":"Zhaoyuan"},{"family":"Gross","given":"Benjamin"},{"family":"Haynes","given":"Charles"},{"family":"Heath","given":"Allison"},{"family":"Higgins","given":"David"},{"family":"Jagannathan","given":"Prasanna"},{"family":"Kalletla","given":"Karthik"},{"family":"Kumari","given":"Priti"},{"family":"Lindsay","given":"James"},{"family":"Lisman","given":"Aaron"},{"family":"Leenknegt","given":"Bas"},{"family":"Lukasse","given":"Pieter"},{"family":"Madela","given":"Divya"},{"family":"Madupuri","given":"Ramyasree"},{"family":"Nierop","given":"Pim","non-dropping-particle":"van"},{"family":"Plantalech","given":"Oleguer"},{"family":"Quach","given":"Joyce"},{"family":"Resnick","given":"Adam C."},{"family":"Rodenburg","given":"Sander Y. A."},{"family":"Satravada","given":"Baby A."},{"family":"Schaeffer","given":"Fedde"},{"family":"Sheridan","given":"Robert"},{"family":"Singh","given":"Jessica"},{"family":"Sirohi","given":"Rajat"},{"family":"Sumer","given":"Selcuk Onur"},{"family":"Hagen","given":"Sjoerd","non-dropping-particle":"van"},{"family":"Wang","given":"Avery"},{"family":"Wilson","given":"Manda"},{"family":"Zhang","given":"Hongxin"},{"family":"Zhu","given":"Kelsey"},{"family":"Rusk","given":"Nicole"},{"family":"Brown","given":"Samantha"},{"family":"Lavery","given":"Jessica A."},{"family":"Panageas","given":"Katherine S."},{"family":"Rudolph","given":"Julia E."},{"family":"LeNoue-Newton","given":"Michele L."},{"family":"Warner","given":"Jeremy L."},{"family":"Guo","given":"Xindi"},{"family":"Hunter-Zinck","given":"Haley"},{"family":"Yu","given":"Thomas V."},{"family":"Pilai","given":"Shirin"},{"family":"Nichols","given":"Chelsea"},{"family":"Gardos","given":"Stuart M."},{"family":"Philip","given":"John"},{"literal":"AACR Project GENIE BPC Core Team, AACR Project GENIE Consortium"},{"family":"Kehl","given":"Kenneth L."},{"family":"Riely","given":"Gregory J."},{"family":"Schrag","given":"Deborah"},{"family":"Lee","given":"Jocelyn"},{"family":"Fiandalo","given":"Michael V."},{"family":"Sweeney","given":"Shawn M."},{"family":"Pugh","given":"Trevor J."},{"family":"Sander","given":"Chris"},{"family":"Cerami","given":"Ethan"},{"family":"Gao","given":"Jianjiong"},{"family":"Schultz","given":"Nikolaus"}],"issued":{"date-parts":[["2023",12,1]]}}}],"schema":"https://github.com/citation-style-language/schema/raw/master/csl-citation.json"} </w:instrText>
      </w:r>
      <w:r w:rsidR="00150AFE" w:rsidRPr="00150AFE">
        <w:fldChar w:fldCharType="separate"/>
      </w:r>
      <w:r w:rsidR="00164DE6" w:rsidRPr="00164DE6">
        <w:rPr>
          <w:vertAlign w:val="superscript"/>
        </w:rPr>
        <w:t>6–8</w:t>
      </w:r>
      <w:r w:rsidR="00150AFE" w:rsidRPr="00150AFE">
        <w:fldChar w:fldCharType="end"/>
      </w:r>
      <w:r w:rsidRPr="00150AFE">
        <w:t>. Three molecular data layers were integrated alongside clinical survival data: reverse-phase protein array (RPPA) proteomics, RNA sequencing (RNA-</w:t>
      </w:r>
      <w:proofErr w:type="spellStart"/>
      <w:r w:rsidRPr="00150AFE">
        <w:t>seq</w:t>
      </w:r>
      <w:proofErr w:type="spellEnd"/>
      <w:r w:rsidRPr="00150AFE">
        <w:t>) expression, and somatic copy number alteration (CNA) data. Feature selection, cross-validated model comparison, and biological interpretation were performed using a reproducible R analysis pipeline, described fully in Section 3.</w:t>
      </w:r>
    </w:p>
    <w:p w14:paraId="2116796F" w14:textId="77777777" w:rsidR="00A94471" w:rsidRDefault="00A94471">
      <w:pPr>
        <w:spacing w:after="160" w:line="259" w:lineRule="auto"/>
        <w:rPr>
          <w:rFonts w:eastAsiaTheme="majorEastAsia"/>
          <w:b/>
          <w:bCs/>
          <w:sz w:val="32"/>
          <w:szCs w:val="32"/>
        </w:rPr>
      </w:pPr>
      <w:r>
        <w:br w:type="page"/>
      </w:r>
    </w:p>
    <w:p w14:paraId="12F950FB" w14:textId="4A43AB7B" w:rsidR="00B82FDC" w:rsidRPr="00150AFE" w:rsidRDefault="00B82FDC" w:rsidP="000972D6">
      <w:pPr>
        <w:pStyle w:val="Heading2"/>
        <w:spacing w:before="480"/>
      </w:pPr>
      <w:r w:rsidRPr="00150AFE">
        <w:lastRenderedPageBreak/>
        <w:t>2. Results</w:t>
      </w:r>
    </w:p>
    <w:p w14:paraId="1962447A" w14:textId="107607D1" w:rsidR="00B82FDC" w:rsidRDefault="00B82FDC" w:rsidP="000972D6">
      <w:pPr>
        <w:pStyle w:val="Heading3"/>
        <w:spacing w:before="0"/>
        <w:contextualSpacing/>
      </w:pPr>
      <w:r w:rsidRPr="00150AFE">
        <w:t>2</w:t>
      </w:r>
      <w:r w:rsidR="00C416FC" w:rsidRPr="00C416FC">
        <w:t>.1 Baseline Cohort Integration &amp; Clinical Calibration</w:t>
      </w:r>
    </w:p>
    <w:p w14:paraId="4942D1A8" w14:textId="03D5ECC8" w:rsidR="00B82FDC" w:rsidRDefault="00C416FC" w:rsidP="00C416FC">
      <w:r>
        <w:t>Merging</w:t>
      </w:r>
      <w:r w:rsidRPr="00C416FC">
        <w:t xml:space="preserve"> the multi-omics data layers yielded an overlap cohort of 454 samples with complete clinical, RPPA, and RNA-</w:t>
      </w:r>
      <w:proofErr w:type="spellStart"/>
      <w:r w:rsidRPr="00C416FC">
        <w:t>seq</w:t>
      </w:r>
      <w:proofErr w:type="spellEnd"/>
      <w:r w:rsidRPr="00C416FC">
        <w:t xml:space="preserve"> data. Of these, 158 patients (34.8%) experienced the primary endpoint of death (median follow-up: 38.7 months; median overall survival: 90.5 months), as visualized in Figure 1. </w:t>
      </w:r>
      <w:r w:rsidR="00244BD3" w:rsidRPr="00244BD3">
        <w:t xml:space="preserve">Twelve candidate clinical variables were screened, of which stage, grade, tumour break load </w:t>
      </w:r>
      <w:r w:rsidR="0066351B">
        <w:t xml:space="preserve">(TBL) </w:t>
      </w:r>
      <w:r w:rsidR="00244BD3" w:rsidRPr="00244BD3">
        <w:t>score and age remained significant after multiple-testing correction</w:t>
      </w:r>
      <w:r w:rsidR="00244BD3">
        <w:t xml:space="preserve"> </w:t>
      </w:r>
      <w:r w:rsidRPr="00C416FC">
        <w:t xml:space="preserve">(Figure 2, Table 1). </w:t>
      </w:r>
      <w:r w:rsidRPr="00150AFE">
        <w:t>Genomic instability markers (aneuploidy score, TMB, MSI scores) and sex did not reach significance after correction.</w:t>
      </w:r>
    </w:p>
    <w:p w14:paraId="29909EF4" w14:textId="77777777" w:rsidR="00A94471" w:rsidRDefault="00A94471" w:rsidP="00C416FC"/>
    <w:p w14:paraId="1F06984E" w14:textId="671631B4" w:rsidR="00150AFE" w:rsidRPr="00150AFE" w:rsidRDefault="00A94471" w:rsidP="00A94471">
      <w:pPr>
        <w:pStyle w:val="Caption"/>
      </w:pPr>
      <w:r>
        <w:rPr>
          <w:noProof/>
        </w:rPr>
        <w:drawing>
          <wp:anchor distT="0" distB="0" distL="114300" distR="114300" simplePos="0" relativeHeight="251658240" behindDoc="0" locked="0" layoutInCell="1" allowOverlap="1" wp14:anchorId="38963987" wp14:editId="32B8F5D9">
            <wp:simplePos x="0" y="0"/>
            <wp:positionH relativeFrom="column">
              <wp:posOffset>539750</wp:posOffset>
            </wp:positionH>
            <wp:positionV relativeFrom="paragraph">
              <wp:posOffset>0</wp:posOffset>
            </wp:positionV>
            <wp:extent cx="5095875" cy="3397250"/>
            <wp:effectExtent l="0" t="0" r="9525" b="0"/>
            <wp:wrapTopAndBottom/>
            <wp:docPr id="178947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95875" cy="339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50AFE" w:rsidRPr="0068182D">
        <w:rPr>
          <w:b/>
          <w:bCs/>
        </w:rPr>
        <w:t xml:space="preserve">Figure </w:t>
      </w:r>
      <w:r w:rsidR="00150AFE" w:rsidRPr="0068182D">
        <w:rPr>
          <w:b/>
          <w:bCs/>
        </w:rPr>
        <w:fldChar w:fldCharType="begin"/>
      </w:r>
      <w:r w:rsidR="00150AFE" w:rsidRPr="0068182D">
        <w:rPr>
          <w:b/>
          <w:bCs/>
        </w:rPr>
        <w:instrText xml:space="preserve"> SEQ Figure \* ARABIC </w:instrText>
      </w:r>
      <w:r w:rsidR="00150AFE" w:rsidRPr="0068182D">
        <w:rPr>
          <w:b/>
          <w:bCs/>
        </w:rPr>
        <w:fldChar w:fldCharType="separate"/>
      </w:r>
      <w:r w:rsidR="00417F53" w:rsidRPr="0068182D">
        <w:rPr>
          <w:b/>
          <w:bCs/>
          <w:noProof/>
        </w:rPr>
        <w:t>1</w:t>
      </w:r>
      <w:r w:rsidR="00150AFE" w:rsidRPr="0068182D">
        <w:rPr>
          <w:b/>
          <w:bCs/>
        </w:rPr>
        <w:fldChar w:fldCharType="end"/>
      </w:r>
      <w:r w:rsidR="00150AFE" w:rsidRPr="0068182D">
        <w:rPr>
          <w:b/>
          <w:bCs/>
        </w:rPr>
        <w:t xml:space="preserve">. Kaplan–Meier </w:t>
      </w:r>
      <w:r w:rsidR="0068182D" w:rsidRPr="0068182D">
        <w:rPr>
          <w:b/>
          <w:bCs/>
        </w:rPr>
        <w:t>estimation of overall survival in the integrated TCGA-KIRC cohort</w:t>
      </w:r>
      <w:r w:rsidR="000972D6" w:rsidRPr="0068182D">
        <w:rPr>
          <w:b/>
          <w:bCs/>
        </w:rPr>
        <w:t>.</w:t>
      </w:r>
      <w:r w:rsidR="000972D6">
        <w:t xml:space="preserve"> </w:t>
      </w:r>
      <w:r w:rsidR="0068182D">
        <w:br/>
      </w:r>
      <w:r w:rsidR="0068182D" w:rsidRPr="0068182D">
        <w:t>Cumulative overall survival probability for the consolidated multi-omics cohort (N = 454) over a 150-month follow-up window. The dashed line marks the median overall survival threshold at 90.5 months. Shaded areas denote the 95% confidence intervals, and vertical tick marks represent right-censored individuals. The lower risk table details the absolute number of patients remaining at risk across longitudinal milestones</w:t>
      </w:r>
      <w:r w:rsidR="0068182D">
        <w:t>.</w:t>
      </w:r>
    </w:p>
    <w:p w14:paraId="0AF21C21" w14:textId="77777777" w:rsidR="00A14AAB" w:rsidRDefault="00A14AAB" w:rsidP="00A14AAB">
      <w:pPr>
        <w:keepNext/>
      </w:pPr>
      <w:r>
        <w:rPr>
          <w:noProof/>
        </w:rPr>
        <w:lastRenderedPageBreak/>
        <w:drawing>
          <wp:inline distT="0" distB="0" distL="0" distR="0" wp14:anchorId="039238F6" wp14:editId="68867BE2">
            <wp:extent cx="6105032" cy="4006850"/>
            <wp:effectExtent l="0" t="0" r="0" b="0"/>
            <wp:docPr id="2355864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b="1497"/>
                    <a:stretch>
                      <a:fillRect/>
                    </a:stretch>
                  </pic:blipFill>
                  <pic:spPr bwMode="auto">
                    <a:xfrm>
                      <a:off x="0" y="0"/>
                      <a:ext cx="6112259" cy="4011593"/>
                    </a:xfrm>
                    <a:prstGeom prst="rect">
                      <a:avLst/>
                    </a:prstGeom>
                    <a:noFill/>
                    <a:ln>
                      <a:noFill/>
                    </a:ln>
                    <a:extLst>
                      <a:ext uri="{53640926-AAD7-44D8-BBD7-CCE9431645EC}">
                        <a14:shadowObscured xmlns:a14="http://schemas.microsoft.com/office/drawing/2010/main"/>
                      </a:ext>
                    </a:extLst>
                  </pic:spPr>
                </pic:pic>
              </a:graphicData>
            </a:graphic>
          </wp:inline>
        </w:drawing>
      </w:r>
    </w:p>
    <w:p w14:paraId="29EAB0F3" w14:textId="12B1BFCE" w:rsidR="00706259" w:rsidRDefault="00A14AAB" w:rsidP="00244BD3">
      <w:pPr>
        <w:pStyle w:val="Caption"/>
      </w:pPr>
      <w:r w:rsidRPr="0068182D">
        <w:rPr>
          <w:b/>
          <w:bCs/>
        </w:rPr>
        <w:t xml:space="preserve">Figure </w:t>
      </w:r>
      <w:r w:rsidRPr="0068182D">
        <w:rPr>
          <w:b/>
          <w:bCs/>
        </w:rPr>
        <w:fldChar w:fldCharType="begin"/>
      </w:r>
      <w:r w:rsidRPr="0068182D">
        <w:rPr>
          <w:b/>
          <w:bCs/>
        </w:rPr>
        <w:instrText xml:space="preserve"> SEQ Figure \* ARABIC </w:instrText>
      </w:r>
      <w:r w:rsidRPr="0068182D">
        <w:rPr>
          <w:b/>
          <w:bCs/>
        </w:rPr>
        <w:fldChar w:fldCharType="separate"/>
      </w:r>
      <w:r w:rsidR="00417F53" w:rsidRPr="0068182D">
        <w:rPr>
          <w:b/>
          <w:bCs/>
          <w:noProof/>
        </w:rPr>
        <w:t>2</w:t>
      </w:r>
      <w:r w:rsidRPr="0068182D">
        <w:rPr>
          <w:b/>
          <w:bCs/>
        </w:rPr>
        <w:fldChar w:fldCharType="end"/>
      </w:r>
      <w:r w:rsidR="0068182D" w:rsidRPr="0068182D">
        <w:rPr>
          <w:b/>
          <w:bCs/>
        </w:rPr>
        <w:t xml:space="preserve">. </w:t>
      </w:r>
      <w:r w:rsidR="002C44B4" w:rsidRPr="002C44B4">
        <w:rPr>
          <w:b/>
          <w:bCs/>
        </w:rPr>
        <w:t>Clinical variable univariable Cox screening results</w:t>
      </w:r>
      <w:r w:rsidR="0068182D" w:rsidRPr="0068182D">
        <w:rPr>
          <w:b/>
          <w:bCs/>
        </w:rPr>
        <w:t>.</w:t>
      </w:r>
      <w:r w:rsidR="0068182D">
        <w:br/>
      </w:r>
      <w:r w:rsidR="002C44B4" w:rsidRPr="002C44B4">
        <w:t xml:space="preserve">Negative base-10 logarithmic plot of Benjamini-Hochberg adjusted p-values for 12 screened clinical and molecular markers (N = 512). The vertical dashed line denotes the </w:t>
      </w:r>
      <w:proofErr w:type="spellStart"/>
      <w:r w:rsidR="002C44B4" w:rsidRPr="002C44B4">
        <w:t>padj</w:t>
      </w:r>
      <w:proofErr w:type="spellEnd"/>
      <w:r w:rsidR="002C44B4" w:rsidRPr="002C44B4">
        <w:t xml:space="preserve"> = 0.05 threshold. Red data points isolate the seven features with significant univariable prognostic value</w:t>
      </w:r>
      <w:r w:rsidR="0068182D">
        <w:t>.</w:t>
      </w:r>
    </w:p>
    <w:p w14:paraId="0CEC385E" w14:textId="77777777" w:rsidR="006D7B80" w:rsidRPr="006D7B80" w:rsidRDefault="006D7B80" w:rsidP="006D7B8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Table 1. Clinical univariable Cox screening results (selected variables only)"/>
      </w:tblPr>
      <w:tblGrid>
        <w:gridCol w:w="1502"/>
        <w:gridCol w:w="1502"/>
        <w:gridCol w:w="1503"/>
        <w:gridCol w:w="1503"/>
        <w:gridCol w:w="1503"/>
        <w:gridCol w:w="1503"/>
      </w:tblGrid>
      <w:tr w:rsidR="00706259" w:rsidRPr="00861B1F" w14:paraId="5287CBDF" w14:textId="77777777" w:rsidTr="00861B1F">
        <w:tc>
          <w:tcPr>
            <w:tcW w:w="1502" w:type="dxa"/>
            <w:tcBorders>
              <w:bottom w:val="single" w:sz="4" w:space="0" w:color="auto"/>
            </w:tcBorders>
          </w:tcPr>
          <w:p w14:paraId="6035C598" w14:textId="38ED9BCB" w:rsidR="00706259" w:rsidRPr="00861B1F" w:rsidRDefault="00706259" w:rsidP="003F394E">
            <w:pPr>
              <w:keepNext/>
              <w:spacing w:after="0"/>
              <w:rPr>
                <w:b/>
                <w:bCs/>
              </w:rPr>
            </w:pPr>
            <w:r w:rsidRPr="00861B1F">
              <w:rPr>
                <w:b/>
                <w:bCs/>
              </w:rPr>
              <w:t>Variable</w:t>
            </w:r>
          </w:p>
        </w:tc>
        <w:tc>
          <w:tcPr>
            <w:tcW w:w="1502" w:type="dxa"/>
            <w:tcBorders>
              <w:bottom w:val="single" w:sz="4" w:space="0" w:color="auto"/>
            </w:tcBorders>
          </w:tcPr>
          <w:p w14:paraId="09EA3C67" w14:textId="0D82B2F5" w:rsidR="00706259" w:rsidRPr="00861B1F" w:rsidRDefault="00706259" w:rsidP="003F394E">
            <w:pPr>
              <w:keepNext/>
              <w:spacing w:after="0"/>
              <w:rPr>
                <w:b/>
                <w:bCs/>
              </w:rPr>
            </w:pPr>
            <w:r w:rsidRPr="00861B1F">
              <w:rPr>
                <w:b/>
                <w:bCs/>
              </w:rPr>
              <w:t>Type</w:t>
            </w:r>
          </w:p>
        </w:tc>
        <w:tc>
          <w:tcPr>
            <w:tcW w:w="1503" w:type="dxa"/>
            <w:tcBorders>
              <w:bottom w:val="single" w:sz="4" w:space="0" w:color="auto"/>
            </w:tcBorders>
          </w:tcPr>
          <w:p w14:paraId="7A1BE945" w14:textId="6A181C0C" w:rsidR="00706259" w:rsidRPr="00861B1F" w:rsidRDefault="00706259" w:rsidP="003F394E">
            <w:pPr>
              <w:keepNext/>
              <w:spacing w:after="0"/>
              <w:jc w:val="center"/>
              <w:rPr>
                <w:b/>
                <w:bCs/>
              </w:rPr>
            </w:pPr>
            <w:r w:rsidRPr="00861B1F">
              <w:rPr>
                <w:b/>
                <w:bCs/>
              </w:rPr>
              <w:t>N</w:t>
            </w:r>
          </w:p>
        </w:tc>
        <w:tc>
          <w:tcPr>
            <w:tcW w:w="1503" w:type="dxa"/>
            <w:tcBorders>
              <w:bottom w:val="single" w:sz="4" w:space="0" w:color="auto"/>
            </w:tcBorders>
          </w:tcPr>
          <w:p w14:paraId="1BD10291" w14:textId="4FE7C7DB" w:rsidR="00706259" w:rsidRPr="00861B1F" w:rsidRDefault="00706259" w:rsidP="003F394E">
            <w:pPr>
              <w:keepNext/>
              <w:spacing w:after="0"/>
              <w:jc w:val="center"/>
              <w:rPr>
                <w:b/>
                <w:bCs/>
              </w:rPr>
            </w:pPr>
            <w:r w:rsidRPr="00861B1F">
              <w:rPr>
                <w:b/>
                <w:bCs/>
              </w:rPr>
              <w:t>Events</w:t>
            </w:r>
          </w:p>
        </w:tc>
        <w:tc>
          <w:tcPr>
            <w:tcW w:w="1503" w:type="dxa"/>
            <w:tcBorders>
              <w:bottom w:val="single" w:sz="4" w:space="0" w:color="auto"/>
            </w:tcBorders>
          </w:tcPr>
          <w:p w14:paraId="3C5C29F3" w14:textId="5809205D" w:rsidR="00706259" w:rsidRPr="00861B1F" w:rsidRDefault="00706259" w:rsidP="003F394E">
            <w:pPr>
              <w:keepNext/>
              <w:spacing w:after="0"/>
              <w:jc w:val="center"/>
              <w:rPr>
                <w:b/>
                <w:bCs/>
              </w:rPr>
            </w:pPr>
            <w:r w:rsidRPr="00861B1F">
              <w:rPr>
                <w:b/>
                <w:bCs/>
              </w:rPr>
              <w:t>p-value</w:t>
            </w:r>
          </w:p>
        </w:tc>
        <w:tc>
          <w:tcPr>
            <w:tcW w:w="1503" w:type="dxa"/>
            <w:tcBorders>
              <w:bottom w:val="single" w:sz="4" w:space="0" w:color="auto"/>
            </w:tcBorders>
          </w:tcPr>
          <w:p w14:paraId="36C22EBD" w14:textId="61FFD448" w:rsidR="00706259" w:rsidRPr="00861B1F" w:rsidRDefault="00706259" w:rsidP="003F394E">
            <w:pPr>
              <w:keepNext/>
              <w:spacing w:after="0"/>
              <w:jc w:val="center"/>
              <w:rPr>
                <w:b/>
                <w:bCs/>
              </w:rPr>
            </w:pPr>
            <w:r w:rsidRPr="00861B1F">
              <w:rPr>
                <w:b/>
                <w:bCs/>
              </w:rPr>
              <w:t>BH p-value</w:t>
            </w:r>
          </w:p>
        </w:tc>
      </w:tr>
      <w:tr w:rsidR="00706259" w14:paraId="417D4321" w14:textId="77777777" w:rsidTr="00861B1F">
        <w:tc>
          <w:tcPr>
            <w:tcW w:w="1502" w:type="dxa"/>
            <w:tcBorders>
              <w:top w:val="single" w:sz="4" w:space="0" w:color="auto"/>
            </w:tcBorders>
          </w:tcPr>
          <w:p w14:paraId="3EA5013B" w14:textId="3B16438C" w:rsidR="00706259" w:rsidRDefault="00861B1F" w:rsidP="003F394E">
            <w:pPr>
              <w:keepNext/>
              <w:spacing w:after="0"/>
            </w:pPr>
            <w:r>
              <w:t>s</w:t>
            </w:r>
            <w:r w:rsidR="00706259">
              <w:t>tage</w:t>
            </w:r>
          </w:p>
        </w:tc>
        <w:tc>
          <w:tcPr>
            <w:tcW w:w="1502" w:type="dxa"/>
            <w:tcBorders>
              <w:top w:val="single" w:sz="4" w:space="0" w:color="auto"/>
            </w:tcBorders>
          </w:tcPr>
          <w:p w14:paraId="5B2CF864" w14:textId="55B6DF04" w:rsidR="00706259" w:rsidRDefault="00706259" w:rsidP="003F394E">
            <w:pPr>
              <w:keepNext/>
              <w:spacing w:after="0"/>
            </w:pPr>
            <w:r>
              <w:t>factor</w:t>
            </w:r>
          </w:p>
        </w:tc>
        <w:tc>
          <w:tcPr>
            <w:tcW w:w="1503" w:type="dxa"/>
            <w:tcBorders>
              <w:top w:val="single" w:sz="4" w:space="0" w:color="auto"/>
            </w:tcBorders>
          </w:tcPr>
          <w:p w14:paraId="67420ADD" w14:textId="0A97902F" w:rsidR="00706259" w:rsidRDefault="00861B1F" w:rsidP="003F394E">
            <w:pPr>
              <w:keepNext/>
              <w:spacing w:after="0"/>
              <w:jc w:val="center"/>
            </w:pPr>
            <w:r>
              <w:t>512</w:t>
            </w:r>
          </w:p>
        </w:tc>
        <w:tc>
          <w:tcPr>
            <w:tcW w:w="1503" w:type="dxa"/>
            <w:tcBorders>
              <w:top w:val="single" w:sz="4" w:space="0" w:color="auto"/>
            </w:tcBorders>
          </w:tcPr>
          <w:p w14:paraId="6BA7A7C2" w14:textId="5BBAFCF3" w:rsidR="00706259" w:rsidRDefault="00861B1F" w:rsidP="003F394E">
            <w:pPr>
              <w:keepNext/>
              <w:spacing w:after="0"/>
              <w:jc w:val="center"/>
            </w:pPr>
            <w:r>
              <w:t>170</w:t>
            </w:r>
          </w:p>
        </w:tc>
        <w:tc>
          <w:tcPr>
            <w:tcW w:w="1503" w:type="dxa"/>
            <w:tcBorders>
              <w:top w:val="single" w:sz="4" w:space="0" w:color="auto"/>
            </w:tcBorders>
          </w:tcPr>
          <w:p w14:paraId="19DBB7C3" w14:textId="08EC7A1C" w:rsidR="00706259" w:rsidRDefault="00861B1F" w:rsidP="003F394E">
            <w:pPr>
              <w:keepNext/>
              <w:spacing w:after="0"/>
              <w:jc w:val="center"/>
            </w:pPr>
            <w:r w:rsidRPr="00150AFE">
              <w:t>1.12 × 10</w:t>
            </w:r>
            <w:r w:rsidRPr="00150AFE">
              <w:rPr>
                <w:rFonts w:ascii="Cambria Math" w:hAnsi="Cambria Math" w:cs="Cambria Math"/>
              </w:rPr>
              <w:t>⁻</w:t>
            </w:r>
            <w:r w:rsidRPr="00150AFE">
              <w:t>²¹</w:t>
            </w:r>
          </w:p>
        </w:tc>
        <w:tc>
          <w:tcPr>
            <w:tcW w:w="1503" w:type="dxa"/>
            <w:tcBorders>
              <w:top w:val="single" w:sz="4" w:space="0" w:color="auto"/>
            </w:tcBorders>
          </w:tcPr>
          <w:p w14:paraId="1D25781A" w14:textId="560806AF" w:rsidR="00706259" w:rsidRDefault="00861B1F" w:rsidP="003F394E">
            <w:pPr>
              <w:keepNext/>
              <w:spacing w:after="0"/>
              <w:jc w:val="center"/>
            </w:pPr>
            <w:r w:rsidRPr="00150AFE">
              <w:t>1.34 × 10</w:t>
            </w:r>
            <w:r w:rsidRPr="00150AFE">
              <w:rPr>
                <w:rFonts w:ascii="Cambria Math" w:hAnsi="Cambria Math" w:cs="Cambria Math"/>
              </w:rPr>
              <w:t>⁻</w:t>
            </w:r>
            <w:r w:rsidRPr="00150AFE">
              <w:t>²⁰</w:t>
            </w:r>
          </w:p>
        </w:tc>
      </w:tr>
      <w:tr w:rsidR="00706259" w14:paraId="4EC4C30B" w14:textId="77777777" w:rsidTr="00861B1F">
        <w:tc>
          <w:tcPr>
            <w:tcW w:w="1502" w:type="dxa"/>
          </w:tcPr>
          <w:p w14:paraId="7D851FFA" w14:textId="7A6029FE" w:rsidR="00706259" w:rsidRDefault="00861B1F" w:rsidP="003F394E">
            <w:pPr>
              <w:keepNext/>
              <w:spacing w:after="0"/>
            </w:pPr>
            <w:r>
              <w:t>g</w:t>
            </w:r>
            <w:r w:rsidR="00706259">
              <w:t>rade</w:t>
            </w:r>
          </w:p>
        </w:tc>
        <w:tc>
          <w:tcPr>
            <w:tcW w:w="1502" w:type="dxa"/>
          </w:tcPr>
          <w:p w14:paraId="7728B599" w14:textId="64F5D150" w:rsidR="00706259" w:rsidRDefault="00706259" w:rsidP="003F394E">
            <w:pPr>
              <w:keepNext/>
              <w:spacing w:after="0"/>
            </w:pPr>
            <w:r>
              <w:t>factor</w:t>
            </w:r>
          </w:p>
        </w:tc>
        <w:tc>
          <w:tcPr>
            <w:tcW w:w="1503" w:type="dxa"/>
          </w:tcPr>
          <w:p w14:paraId="6FCBB17B" w14:textId="19302B23" w:rsidR="00706259" w:rsidRDefault="00861B1F" w:rsidP="003F394E">
            <w:pPr>
              <w:keepNext/>
              <w:spacing w:after="0"/>
              <w:jc w:val="center"/>
            </w:pPr>
            <w:r>
              <w:t>504</w:t>
            </w:r>
          </w:p>
        </w:tc>
        <w:tc>
          <w:tcPr>
            <w:tcW w:w="1503" w:type="dxa"/>
          </w:tcPr>
          <w:p w14:paraId="7464A21C" w14:textId="4DAF8DA1" w:rsidR="00706259" w:rsidRDefault="00861B1F" w:rsidP="003F394E">
            <w:pPr>
              <w:keepNext/>
              <w:spacing w:after="0"/>
              <w:jc w:val="center"/>
            </w:pPr>
            <w:r>
              <w:t>169</w:t>
            </w:r>
          </w:p>
        </w:tc>
        <w:tc>
          <w:tcPr>
            <w:tcW w:w="1503" w:type="dxa"/>
          </w:tcPr>
          <w:p w14:paraId="53ABF1B3" w14:textId="0994B8D5" w:rsidR="00706259" w:rsidRDefault="00861B1F" w:rsidP="003F394E">
            <w:pPr>
              <w:keepNext/>
              <w:spacing w:after="0"/>
              <w:jc w:val="center"/>
            </w:pPr>
            <w:r w:rsidRPr="00150AFE">
              <w:t>4.32 × 10</w:t>
            </w:r>
            <w:r w:rsidRPr="00150AFE">
              <w:rPr>
                <w:rFonts w:ascii="Cambria Math" w:hAnsi="Cambria Math" w:cs="Cambria Math"/>
              </w:rPr>
              <w:t>⁻</w:t>
            </w:r>
            <w:r w:rsidRPr="00150AFE">
              <w:t>¹⁵</w:t>
            </w:r>
          </w:p>
        </w:tc>
        <w:tc>
          <w:tcPr>
            <w:tcW w:w="1503" w:type="dxa"/>
          </w:tcPr>
          <w:p w14:paraId="06643EAA" w14:textId="16DC0E9A" w:rsidR="00706259" w:rsidRDefault="00861B1F" w:rsidP="003F394E">
            <w:pPr>
              <w:keepNext/>
              <w:spacing w:after="0"/>
              <w:jc w:val="center"/>
            </w:pPr>
            <w:r w:rsidRPr="00150AFE">
              <w:t>1.73 × 10</w:t>
            </w:r>
            <w:r w:rsidRPr="00150AFE">
              <w:rPr>
                <w:rFonts w:ascii="Cambria Math" w:hAnsi="Cambria Math" w:cs="Cambria Math"/>
              </w:rPr>
              <w:t>⁻</w:t>
            </w:r>
            <w:r w:rsidRPr="00150AFE">
              <w:t>¹⁴</w:t>
            </w:r>
          </w:p>
        </w:tc>
      </w:tr>
      <w:tr w:rsidR="00706259" w14:paraId="1B4DEC1B" w14:textId="77777777" w:rsidTr="00861B1F">
        <w:tc>
          <w:tcPr>
            <w:tcW w:w="1502" w:type="dxa"/>
          </w:tcPr>
          <w:p w14:paraId="6D7B5B2E" w14:textId="1BFB9339" w:rsidR="00706259" w:rsidRDefault="00861B1F" w:rsidP="003F394E">
            <w:pPr>
              <w:keepNext/>
              <w:spacing w:after="0"/>
            </w:pPr>
            <w:proofErr w:type="spellStart"/>
            <w:r w:rsidRPr="00150AFE">
              <w:t>tbl_score</w:t>
            </w:r>
            <w:proofErr w:type="spellEnd"/>
          </w:p>
        </w:tc>
        <w:tc>
          <w:tcPr>
            <w:tcW w:w="1502" w:type="dxa"/>
          </w:tcPr>
          <w:p w14:paraId="3065D9EA" w14:textId="41AB6594" w:rsidR="00706259" w:rsidRDefault="00861B1F" w:rsidP="003F394E">
            <w:pPr>
              <w:keepNext/>
              <w:spacing w:after="0"/>
            </w:pPr>
            <w:r>
              <w:t>numeric</w:t>
            </w:r>
          </w:p>
        </w:tc>
        <w:tc>
          <w:tcPr>
            <w:tcW w:w="1503" w:type="dxa"/>
          </w:tcPr>
          <w:p w14:paraId="4E65B68E" w14:textId="6380D913" w:rsidR="00706259" w:rsidRDefault="00861B1F" w:rsidP="003F394E">
            <w:pPr>
              <w:keepNext/>
              <w:spacing w:after="0"/>
              <w:jc w:val="center"/>
            </w:pPr>
            <w:r>
              <w:t>512</w:t>
            </w:r>
          </w:p>
        </w:tc>
        <w:tc>
          <w:tcPr>
            <w:tcW w:w="1503" w:type="dxa"/>
          </w:tcPr>
          <w:p w14:paraId="2F19498B" w14:textId="59275A3A" w:rsidR="00706259" w:rsidRDefault="00861B1F" w:rsidP="003F394E">
            <w:pPr>
              <w:keepNext/>
              <w:spacing w:after="0"/>
              <w:jc w:val="center"/>
            </w:pPr>
            <w:r>
              <w:t>170</w:t>
            </w:r>
          </w:p>
        </w:tc>
        <w:tc>
          <w:tcPr>
            <w:tcW w:w="1503" w:type="dxa"/>
          </w:tcPr>
          <w:p w14:paraId="782718CF" w14:textId="51002CA7" w:rsidR="00706259" w:rsidRDefault="00861B1F" w:rsidP="003F394E">
            <w:pPr>
              <w:keepNext/>
              <w:spacing w:after="0"/>
              <w:jc w:val="center"/>
            </w:pPr>
            <w:r w:rsidRPr="00150AFE">
              <w:t>1.54 × 10</w:t>
            </w:r>
            <w:r w:rsidRPr="00150AFE">
              <w:rPr>
                <w:rFonts w:ascii="Cambria Math" w:hAnsi="Cambria Math" w:cs="Cambria Math"/>
              </w:rPr>
              <w:t>⁻</w:t>
            </w:r>
            <w:r w:rsidRPr="00150AFE">
              <w:t>⁶</w:t>
            </w:r>
          </w:p>
        </w:tc>
        <w:tc>
          <w:tcPr>
            <w:tcW w:w="1503" w:type="dxa"/>
          </w:tcPr>
          <w:p w14:paraId="0EEFA9B3" w14:textId="0EBDE74D" w:rsidR="00706259" w:rsidRDefault="00861B1F" w:rsidP="003F394E">
            <w:pPr>
              <w:keepNext/>
              <w:spacing w:after="0"/>
              <w:jc w:val="center"/>
            </w:pPr>
            <w:r w:rsidRPr="00150AFE">
              <w:t>3.70 × 10</w:t>
            </w:r>
            <w:r w:rsidRPr="00150AFE">
              <w:rPr>
                <w:rFonts w:ascii="Cambria Math" w:hAnsi="Cambria Math" w:cs="Cambria Math"/>
              </w:rPr>
              <w:t>⁻</w:t>
            </w:r>
            <w:r w:rsidRPr="00150AFE">
              <w:t>⁶</w:t>
            </w:r>
          </w:p>
        </w:tc>
      </w:tr>
      <w:tr w:rsidR="00706259" w14:paraId="67269C9D" w14:textId="77777777" w:rsidTr="00861B1F">
        <w:tc>
          <w:tcPr>
            <w:tcW w:w="1502" w:type="dxa"/>
          </w:tcPr>
          <w:p w14:paraId="17678481" w14:textId="5843EA1D" w:rsidR="00706259" w:rsidRDefault="00861B1F" w:rsidP="003F394E">
            <w:pPr>
              <w:keepNext/>
              <w:spacing w:after="0"/>
            </w:pPr>
            <w:r>
              <w:t>age</w:t>
            </w:r>
          </w:p>
        </w:tc>
        <w:tc>
          <w:tcPr>
            <w:tcW w:w="1502" w:type="dxa"/>
          </w:tcPr>
          <w:p w14:paraId="79530148" w14:textId="7DDCD38E" w:rsidR="00706259" w:rsidRDefault="00861B1F" w:rsidP="003F394E">
            <w:pPr>
              <w:keepNext/>
              <w:spacing w:after="0"/>
            </w:pPr>
            <w:r>
              <w:t>Numeric</w:t>
            </w:r>
          </w:p>
        </w:tc>
        <w:tc>
          <w:tcPr>
            <w:tcW w:w="1503" w:type="dxa"/>
          </w:tcPr>
          <w:p w14:paraId="00651EBF" w14:textId="56359BB5" w:rsidR="00706259" w:rsidRDefault="00861B1F" w:rsidP="003F394E">
            <w:pPr>
              <w:keepNext/>
              <w:spacing w:after="0"/>
              <w:jc w:val="center"/>
            </w:pPr>
            <w:r>
              <w:t>512</w:t>
            </w:r>
          </w:p>
        </w:tc>
        <w:tc>
          <w:tcPr>
            <w:tcW w:w="1503" w:type="dxa"/>
          </w:tcPr>
          <w:p w14:paraId="425934F7" w14:textId="51BD07A4" w:rsidR="00706259" w:rsidRDefault="00861B1F" w:rsidP="003F394E">
            <w:pPr>
              <w:keepNext/>
              <w:spacing w:after="0"/>
              <w:jc w:val="center"/>
            </w:pPr>
            <w:r>
              <w:t>170</w:t>
            </w:r>
          </w:p>
        </w:tc>
        <w:tc>
          <w:tcPr>
            <w:tcW w:w="1503" w:type="dxa"/>
          </w:tcPr>
          <w:p w14:paraId="7351CEAE" w14:textId="265F2647" w:rsidR="00706259" w:rsidRDefault="00861B1F" w:rsidP="003F394E">
            <w:pPr>
              <w:keepNext/>
              <w:spacing w:after="0"/>
              <w:jc w:val="center"/>
            </w:pPr>
            <w:r w:rsidRPr="00150AFE">
              <w:t>3.98 × 10</w:t>
            </w:r>
            <w:r w:rsidRPr="00150AFE">
              <w:rPr>
                <w:rFonts w:ascii="Cambria Math" w:hAnsi="Cambria Math" w:cs="Cambria Math"/>
              </w:rPr>
              <w:t>⁻</w:t>
            </w:r>
            <w:r w:rsidRPr="00150AFE">
              <w:t>⁶</w:t>
            </w:r>
          </w:p>
        </w:tc>
        <w:tc>
          <w:tcPr>
            <w:tcW w:w="1503" w:type="dxa"/>
          </w:tcPr>
          <w:p w14:paraId="2472E778" w14:textId="2B4C3934" w:rsidR="00706259" w:rsidRDefault="00861B1F" w:rsidP="003F394E">
            <w:pPr>
              <w:keepNext/>
              <w:spacing w:after="0"/>
              <w:jc w:val="center"/>
            </w:pPr>
            <w:r w:rsidRPr="00150AFE">
              <w:t>7.97 × 10</w:t>
            </w:r>
            <w:r w:rsidRPr="00150AFE">
              <w:rPr>
                <w:rFonts w:ascii="Cambria Math" w:hAnsi="Cambria Math" w:cs="Cambria Math"/>
              </w:rPr>
              <w:t>⁻</w:t>
            </w:r>
            <w:r w:rsidRPr="00150AFE">
              <w:t>⁶</w:t>
            </w:r>
          </w:p>
        </w:tc>
      </w:tr>
    </w:tbl>
    <w:p w14:paraId="52D5BCF1" w14:textId="3638D596" w:rsidR="008A35C5" w:rsidRPr="008A35C5" w:rsidRDefault="00861B1F" w:rsidP="008176B8">
      <w:pPr>
        <w:pStyle w:val="Caption"/>
      </w:pPr>
      <w:r w:rsidRPr="008A35C5">
        <w:rPr>
          <w:b/>
          <w:bCs/>
        </w:rPr>
        <w:t xml:space="preserve">Table </w:t>
      </w:r>
      <w:r w:rsidRPr="008A35C5">
        <w:rPr>
          <w:b/>
          <w:bCs/>
        </w:rPr>
        <w:fldChar w:fldCharType="begin"/>
      </w:r>
      <w:r w:rsidRPr="008A35C5">
        <w:rPr>
          <w:b/>
          <w:bCs/>
        </w:rPr>
        <w:instrText xml:space="preserve"> SEQ Table \* ARABIC </w:instrText>
      </w:r>
      <w:r w:rsidRPr="008A35C5">
        <w:rPr>
          <w:b/>
          <w:bCs/>
        </w:rPr>
        <w:fldChar w:fldCharType="separate"/>
      </w:r>
      <w:r w:rsidR="00417F53" w:rsidRPr="008A35C5">
        <w:rPr>
          <w:b/>
          <w:bCs/>
          <w:noProof/>
        </w:rPr>
        <w:t>1</w:t>
      </w:r>
      <w:r w:rsidRPr="008A35C5">
        <w:rPr>
          <w:b/>
          <w:bCs/>
        </w:rPr>
        <w:fldChar w:fldCharType="end"/>
      </w:r>
      <w:r w:rsidRPr="008A35C5">
        <w:rPr>
          <w:b/>
          <w:bCs/>
        </w:rPr>
        <w:t xml:space="preserve">. </w:t>
      </w:r>
      <w:r w:rsidR="002C44B4" w:rsidRPr="002C44B4">
        <w:rPr>
          <w:b/>
          <w:bCs/>
        </w:rPr>
        <w:t>Univariable Cox screening of baseline clinical features</w:t>
      </w:r>
      <w:r w:rsidR="008A35C5" w:rsidRPr="008A35C5">
        <w:rPr>
          <w:b/>
          <w:bCs/>
        </w:rPr>
        <w:t>.</w:t>
      </w:r>
      <w:r w:rsidR="008A35C5">
        <w:rPr>
          <w:b/>
          <w:bCs/>
        </w:rPr>
        <w:br/>
      </w:r>
      <w:r w:rsidR="002C44B4">
        <w:t>S</w:t>
      </w:r>
      <w:r w:rsidR="002C44B4" w:rsidRPr="002C44B4">
        <w:t>ummary of sample counts (N), primary death events, unadjusted Wald p-values, and Benjamini-Hochberg (BH) adjusted p-values for the four selected features carried forward into downstream multi-omics modelling.</w:t>
      </w:r>
      <w:r w:rsidR="008A35C5" w:rsidRPr="008A35C5">
        <w:t xml:space="preserve"> </w:t>
      </w:r>
    </w:p>
    <w:p w14:paraId="4AAECB50" w14:textId="3C695254" w:rsidR="00B82FDC" w:rsidRDefault="00B82FDC" w:rsidP="00B82FDC">
      <w:r w:rsidRPr="00150AFE">
        <w:t xml:space="preserve">The four selected </w:t>
      </w:r>
      <w:r w:rsidR="00C416FC">
        <w:t xml:space="preserve">clinical </w:t>
      </w:r>
      <w:r w:rsidRPr="00150AFE">
        <w:t xml:space="preserve">features - stage, grade, </w:t>
      </w:r>
      <w:r w:rsidR="0066351B">
        <w:t>TBL</w:t>
      </w:r>
      <w:r w:rsidRPr="00150AFE">
        <w:t xml:space="preserve"> score, and age - were carried forward as the clinical baseline for all downstream modelling. </w:t>
      </w:r>
      <w:r w:rsidR="00C416FC" w:rsidRPr="00C416FC">
        <w:t>The multivariable clinical model achieved a C-index of 0.783 (N=450)</w:t>
      </w:r>
      <w:r w:rsidR="00C416FC">
        <w:t xml:space="preserve">, </w:t>
      </w:r>
      <w:r w:rsidRPr="00150AFE">
        <w:t>confirming strong baseline discriminatory performance driven primarily by stage (Stage IV vs Stage I: HR = 4.98, 95% CI 3.15–7.89, p = 7.80 × 10</w:t>
      </w:r>
      <w:r w:rsidRPr="00150AFE">
        <w:rPr>
          <w:rFonts w:ascii="Cambria Math" w:hAnsi="Cambria Math" w:cs="Cambria Math"/>
        </w:rPr>
        <w:t>⁻</w:t>
      </w:r>
      <w:r w:rsidRPr="00150AFE">
        <w:t xml:space="preserve">¹²) and </w:t>
      </w:r>
      <w:r w:rsidR="0066351B">
        <w:t xml:space="preserve">TBL </w:t>
      </w:r>
      <w:r w:rsidRPr="00150AFE">
        <w:lastRenderedPageBreak/>
        <w:t>score (HR = 1.01 per unit, p = 4.30 × 10</w:t>
      </w:r>
      <w:r w:rsidRPr="00150AFE">
        <w:rPr>
          <w:rFonts w:ascii="Cambria Math" w:hAnsi="Cambria Math" w:cs="Cambria Math"/>
        </w:rPr>
        <w:t>⁻</w:t>
      </w:r>
      <w:r w:rsidRPr="00150AFE">
        <w:t>⁷). Kaplan-Meier curves for all four selected clinical variables are presented in Figures 3–6.</w:t>
      </w:r>
    </w:p>
    <w:p w14:paraId="1B2ECE4A" w14:textId="77777777" w:rsidR="00A94471" w:rsidRDefault="00A94471" w:rsidP="00B82FDC"/>
    <w:p w14:paraId="73830C03" w14:textId="77777777" w:rsidR="003F394E" w:rsidRDefault="003F394E" w:rsidP="003F394E">
      <w:pPr>
        <w:keepNext/>
        <w:jc w:val="center"/>
      </w:pPr>
      <w:r>
        <w:rPr>
          <w:noProof/>
        </w:rPr>
        <w:drawing>
          <wp:inline distT="0" distB="0" distL="0" distR="0" wp14:anchorId="2603FE57" wp14:editId="3703D010">
            <wp:extent cx="4320000" cy="3358800"/>
            <wp:effectExtent l="0" t="0" r="4445" b="0"/>
            <wp:docPr id="556079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3358800"/>
                    </a:xfrm>
                    <a:prstGeom prst="rect">
                      <a:avLst/>
                    </a:prstGeom>
                    <a:noFill/>
                    <a:ln>
                      <a:noFill/>
                    </a:ln>
                  </pic:spPr>
                </pic:pic>
              </a:graphicData>
            </a:graphic>
          </wp:inline>
        </w:drawing>
      </w:r>
    </w:p>
    <w:p w14:paraId="64DE5333" w14:textId="1F172F9E" w:rsidR="00A94471" w:rsidRDefault="003F394E" w:rsidP="00A94471">
      <w:pPr>
        <w:pStyle w:val="Caption"/>
      </w:pPr>
      <w:r w:rsidRPr="008A35C5">
        <w:rPr>
          <w:b/>
          <w:bCs/>
        </w:rPr>
        <w:t xml:space="preserve">Figure </w:t>
      </w:r>
      <w:r w:rsidRPr="008A35C5">
        <w:rPr>
          <w:b/>
          <w:bCs/>
        </w:rPr>
        <w:fldChar w:fldCharType="begin"/>
      </w:r>
      <w:r w:rsidRPr="008A35C5">
        <w:rPr>
          <w:b/>
          <w:bCs/>
        </w:rPr>
        <w:instrText xml:space="preserve"> SEQ Figure \* ARABIC </w:instrText>
      </w:r>
      <w:r w:rsidRPr="008A35C5">
        <w:rPr>
          <w:b/>
          <w:bCs/>
        </w:rPr>
        <w:fldChar w:fldCharType="separate"/>
      </w:r>
      <w:r w:rsidR="00417F53" w:rsidRPr="008A35C5">
        <w:rPr>
          <w:b/>
          <w:bCs/>
          <w:noProof/>
        </w:rPr>
        <w:t>3</w:t>
      </w:r>
      <w:r w:rsidRPr="008A35C5">
        <w:rPr>
          <w:b/>
          <w:bCs/>
        </w:rPr>
        <w:fldChar w:fldCharType="end"/>
      </w:r>
      <w:r w:rsidRPr="008A35C5">
        <w:rPr>
          <w:b/>
          <w:bCs/>
        </w:rPr>
        <w:t xml:space="preserve">. </w:t>
      </w:r>
      <w:r w:rsidR="002C44B4">
        <w:rPr>
          <w:b/>
          <w:bCs/>
        </w:rPr>
        <w:t>O</w:t>
      </w:r>
      <w:r w:rsidR="0068182D" w:rsidRPr="008A35C5">
        <w:rPr>
          <w:b/>
          <w:bCs/>
        </w:rPr>
        <w:t>verall survival stratified by AJCC pathological stage</w:t>
      </w:r>
      <w:r w:rsidR="0068182D" w:rsidRPr="008A35C5">
        <w:rPr>
          <w:b/>
          <w:bCs/>
        </w:rPr>
        <w:t>.</w:t>
      </w:r>
      <w:r w:rsidR="0068182D">
        <w:br/>
      </w:r>
      <w:r w:rsidR="00A94471" w:rsidRPr="00A94471">
        <w:t>Kaplan–Meier estimations for Stage I (n = 214), Stage II (n = 44), Stage III (n = 112), and Stage IV (n = 80) cohorts. Inter-group survival differences are highly significant via log-rank test (p &lt; 0.0001).</w:t>
      </w:r>
    </w:p>
    <w:p w14:paraId="68F69B30" w14:textId="71C670B2" w:rsidR="003F394E" w:rsidRDefault="003F394E" w:rsidP="002C44B4">
      <w:pPr>
        <w:pStyle w:val="Caption"/>
        <w:keepNext/>
      </w:pPr>
      <w:r>
        <w:rPr>
          <w:noProof/>
        </w:rPr>
        <w:lastRenderedPageBreak/>
        <w:drawing>
          <wp:inline distT="0" distB="0" distL="0" distR="0" wp14:anchorId="0EE58B65" wp14:editId="459317C6">
            <wp:extent cx="4320000" cy="3358800"/>
            <wp:effectExtent l="0" t="0" r="4445" b="0"/>
            <wp:docPr id="5042731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0000" cy="3358800"/>
                    </a:xfrm>
                    <a:prstGeom prst="rect">
                      <a:avLst/>
                    </a:prstGeom>
                    <a:noFill/>
                    <a:ln>
                      <a:noFill/>
                    </a:ln>
                  </pic:spPr>
                </pic:pic>
              </a:graphicData>
            </a:graphic>
          </wp:inline>
        </w:drawing>
      </w:r>
    </w:p>
    <w:p w14:paraId="69C63D7D" w14:textId="69A68A4F" w:rsidR="008A35C5" w:rsidRPr="008A35C5" w:rsidRDefault="003F394E" w:rsidP="008A35C5">
      <w:pPr>
        <w:pStyle w:val="Caption"/>
      </w:pPr>
      <w:r w:rsidRPr="008A35C5">
        <w:rPr>
          <w:b/>
          <w:bCs/>
        </w:rPr>
        <w:t xml:space="preserve">Figure </w:t>
      </w:r>
      <w:r w:rsidRPr="008A35C5">
        <w:rPr>
          <w:b/>
          <w:bCs/>
        </w:rPr>
        <w:fldChar w:fldCharType="begin"/>
      </w:r>
      <w:r w:rsidRPr="008A35C5">
        <w:rPr>
          <w:b/>
          <w:bCs/>
        </w:rPr>
        <w:instrText xml:space="preserve"> SEQ Figure \* ARABIC </w:instrText>
      </w:r>
      <w:r w:rsidRPr="008A35C5">
        <w:rPr>
          <w:b/>
          <w:bCs/>
        </w:rPr>
        <w:fldChar w:fldCharType="separate"/>
      </w:r>
      <w:r w:rsidR="00417F53" w:rsidRPr="008A35C5">
        <w:rPr>
          <w:b/>
          <w:bCs/>
          <w:noProof/>
        </w:rPr>
        <w:t>4</w:t>
      </w:r>
      <w:r w:rsidRPr="008A35C5">
        <w:rPr>
          <w:b/>
          <w:bCs/>
        </w:rPr>
        <w:fldChar w:fldCharType="end"/>
      </w:r>
      <w:r w:rsidRPr="008A35C5">
        <w:rPr>
          <w:b/>
          <w:bCs/>
        </w:rPr>
        <w:t xml:space="preserve">. </w:t>
      </w:r>
      <w:r w:rsidR="002C44B4">
        <w:rPr>
          <w:b/>
          <w:bCs/>
        </w:rPr>
        <w:t>O</w:t>
      </w:r>
      <w:r w:rsidR="008A35C5" w:rsidRPr="008A35C5">
        <w:rPr>
          <w:b/>
          <w:bCs/>
        </w:rPr>
        <w:t>verall survival stratified by histological nuclear grade.</w:t>
      </w:r>
      <w:r w:rsidR="008A35C5">
        <w:rPr>
          <w:b/>
          <w:bCs/>
        </w:rPr>
        <w:br/>
      </w:r>
      <w:r w:rsidR="00A94471" w:rsidRPr="00A94471">
        <w:t>Cohort stratified by low-grade reference baseline</w:t>
      </w:r>
      <w:r w:rsidR="00A94471" w:rsidRPr="00A94471">
        <w:t xml:space="preserve"> </w:t>
      </w:r>
      <w:r w:rsidR="008A35C5" w:rsidRPr="008A35C5">
        <w:t>(G1/G2, n = 195) alongside high-grade cohorts G3 (n = 182) and G4 (n = 73). Inter-group survival differences are validated via log-rank test (p &lt; 0.0001).</w:t>
      </w:r>
    </w:p>
    <w:p w14:paraId="0262D6AF" w14:textId="77777777" w:rsidR="003F394E" w:rsidRDefault="003F394E" w:rsidP="003F394E">
      <w:pPr>
        <w:keepNext/>
        <w:jc w:val="center"/>
      </w:pPr>
      <w:r>
        <w:rPr>
          <w:noProof/>
        </w:rPr>
        <w:drawing>
          <wp:inline distT="0" distB="0" distL="0" distR="0" wp14:anchorId="767B81B1" wp14:editId="59524E4F">
            <wp:extent cx="4320000" cy="3358800"/>
            <wp:effectExtent l="0" t="0" r="4445" b="0"/>
            <wp:docPr id="8781152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20000" cy="3358800"/>
                    </a:xfrm>
                    <a:prstGeom prst="rect">
                      <a:avLst/>
                    </a:prstGeom>
                    <a:noFill/>
                    <a:ln>
                      <a:noFill/>
                    </a:ln>
                  </pic:spPr>
                </pic:pic>
              </a:graphicData>
            </a:graphic>
          </wp:inline>
        </w:drawing>
      </w:r>
    </w:p>
    <w:p w14:paraId="2F906A4B" w14:textId="63C39319" w:rsidR="008A35C5" w:rsidRPr="008A35C5" w:rsidRDefault="003F394E" w:rsidP="008A35C5">
      <w:pPr>
        <w:pStyle w:val="Caption"/>
      </w:pPr>
      <w:r w:rsidRPr="008A35C5">
        <w:rPr>
          <w:b/>
          <w:bCs/>
        </w:rPr>
        <w:t xml:space="preserve">Figure </w:t>
      </w:r>
      <w:r w:rsidRPr="008A35C5">
        <w:rPr>
          <w:b/>
          <w:bCs/>
        </w:rPr>
        <w:fldChar w:fldCharType="begin"/>
      </w:r>
      <w:r w:rsidRPr="008A35C5">
        <w:rPr>
          <w:b/>
          <w:bCs/>
        </w:rPr>
        <w:instrText xml:space="preserve"> SEQ Figure \* ARABIC </w:instrText>
      </w:r>
      <w:r w:rsidRPr="008A35C5">
        <w:rPr>
          <w:b/>
          <w:bCs/>
        </w:rPr>
        <w:fldChar w:fldCharType="separate"/>
      </w:r>
      <w:r w:rsidR="00417F53" w:rsidRPr="008A35C5">
        <w:rPr>
          <w:b/>
          <w:bCs/>
          <w:noProof/>
        </w:rPr>
        <w:t>5</w:t>
      </w:r>
      <w:r w:rsidRPr="008A35C5">
        <w:rPr>
          <w:b/>
          <w:bCs/>
        </w:rPr>
        <w:fldChar w:fldCharType="end"/>
      </w:r>
      <w:r w:rsidRPr="008A35C5">
        <w:rPr>
          <w:b/>
          <w:bCs/>
        </w:rPr>
        <w:t xml:space="preserve">. </w:t>
      </w:r>
      <w:r w:rsidR="0066351B" w:rsidRPr="0066351B">
        <w:rPr>
          <w:b/>
          <w:bCs/>
        </w:rPr>
        <w:t>Overall survival by tumour break load score (median split)</w:t>
      </w:r>
      <w:r w:rsidR="008A35C5" w:rsidRPr="008A35C5">
        <w:rPr>
          <w:b/>
          <w:bCs/>
        </w:rPr>
        <w:t>.</w:t>
      </w:r>
      <w:r w:rsidR="008A35C5">
        <w:rPr>
          <w:b/>
          <w:bCs/>
        </w:rPr>
        <w:br/>
      </w:r>
      <w:r w:rsidR="0066351B" w:rsidRPr="0066351B">
        <w:t>Kaplan–Meier estimations for Low (&lt;11 units, n = 216) and High (≥11 units, n = 234) genomic structural alteration cohorts. Inter-group survival divergence is statistically significant (log-rank p = 0.0073).</w:t>
      </w:r>
    </w:p>
    <w:p w14:paraId="306FFC7D" w14:textId="77777777" w:rsidR="003F394E" w:rsidRDefault="003F394E" w:rsidP="003F394E">
      <w:pPr>
        <w:keepNext/>
        <w:jc w:val="center"/>
      </w:pPr>
      <w:r>
        <w:rPr>
          <w:noProof/>
        </w:rPr>
        <w:lastRenderedPageBreak/>
        <w:drawing>
          <wp:inline distT="0" distB="0" distL="0" distR="0" wp14:anchorId="07DE056B" wp14:editId="7D51E191">
            <wp:extent cx="4320000" cy="3358800"/>
            <wp:effectExtent l="0" t="0" r="4445" b="0"/>
            <wp:docPr id="1459928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3358800"/>
                    </a:xfrm>
                    <a:prstGeom prst="rect">
                      <a:avLst/>
                    </a:prstGeom>
                    <a:noFill/>
                    <a:ln>
                      <a:noFill/>
                    </a:ln>
                  </pic:spPr>
                </pic:pic>
              </a:graphicData>
            </a:graphic>
          </wp:inline>
        </w:drawing>
      </w:r>
    </w:p>
    <w:p w14:paraId="074A9D08" w14:textId="2A1F58AD" w:rsidR="003F394E" w:rsidRPr="003F394E" w:rsidRDefault="003F394E" w:rsidP="003F394E">
      <w:pPr>
        <w:pStyle w:val="Caption"/>
      </w:pPr>
      <w:r w:rsidRPr="008A35C5">
        <w:rPr>
          <w:b/>
          <w:bCs/>
        </w:rPr>
        <w:t xml:space="preserve">Figure </w:t>
      </w:r>
      <w:r w:rsidRPr="008A35C5">
        <w:rPr>
          <w:b/>
          <w:bCs/>
        </w:rPr>
        <w:fldChar w:fldCharType="begin"/>
      </w:r>
      <w:r w:rsidRPr="008A35C5">
        <w:rPr>
          <w:b/>
          <w:bCs/>
        </w:rPr>
        <w:instrText xml:space="preserve"> SEQ Figure \* ARABIC </w:instrText>
      </w:r>
      <w:r w:rsidRPr="008A35C5">
        <w:rPr>
          <w:b/>
          <w:bCs/>
        </w:rPr>
        <w:fldChar w:fldCharType="separate"/>
      </w:r>
      <w:r w:rsidR="00417F53" w:rsidRPr="008A35C5">
        <w:rPr>
          <w:b/>
          <w:bCs/>
          <w:noProof/>
        </w:rPr>
        <w:t>6</w:t>
      </w:r>
      <w:r w:rsidRPr="008A35C5">
        <w:rPr>
          <w:b/>
          <w:bCs/>
        </w:rPr>
        <w:fldChar w:fldCharType="end"/>
      </w:r>
      <w:r w:rsidRPr="008A35C5">
        <w:rPr>
          <w:b/>
          <w:bCs/>
        </w:rPr>
        <w:t xml:space="preserve">. </w:t>
      </w:r>
      <w:r w:rsidR="002C44B4" w:rsidRPr="002C44B4">
        <w:rPr>
          <w:b/>
          <w:bCs/>
        </w:rPr>
        <w:t>Overall survival by age at initial diagnosis (median split)</w:t>
      </w:r>
      <w:r w:rsidR="008A35C5" w:rsidRPr="008A35C5">
        <w:rPr>
          <w:b/>
          <w:bCs/>
        </w:rPr>
        <w:t>.</w:t>
      </w:r>
      <w:r w:rsidR="008A35C5">
        <w:br/>
      </w:r>
      <w:r w:rsidR="002C44B4" w:rsidRPr="002C44B4">
        <w:t>Kaplan–Meier estimations for Younger (&lt;60 years, n = 210) and Older (≥60 years, n = 240) patient cohorts. Inter-group survival divergence is highly significant (log-rank p &lt; 0.0001).</w:t>
      </w:r>
    </w:p>
    <w:p w14:paraId="77041665" w14:textId="59988192" w:rsidR="00B82FDC" w:rsidRPr="00150AFE" w:rsidRDefault="00B82FDC" w:rsidP="00B82FDC">
      <w:r w:rsidRPr="00150AFE">
        <w:t xml:space="preserve">The proportional hazards assumption was assessed using Schoenfeld residuals. Stage showed evidence of non-proportionality (χ² = 15.19, </w:t>
      </w:r>
      <w:proofErr w:type="spellStart"/>
      <w:r w:rsidRPr="00150AFE">
        <w:t>df</w:t>
      </w:r>
      <w:proofErr w:type="spellEnd"/>
      <w:r w:rsidRPr="00150AFE">
        <w:t xml:space="preserve"> = 3, p = 0.0017), consistent with the published literature describing time-varying stage effects in solid tumours whereby the survival advantage of lower-stage disease attenuates as late relapses and competing risks accumulate</w:t>
      </w:r>
      <w:r w:rsidR="00D27C42">
        <w:fldChar w:fldCharType="begin"/>
      </w:r>
      <w:r w:rsidR="00164DE6">
        <w:instrText xml:space="preserve"> ADDIN ZOTERO_ITEM CSL_CITATION {"citationID":"n5p1oRNe","properties":{"unsorted":false,"formattedCitation":"\\super 9\\nosupersub{}","plainCitation":"9","noteIndex":0},"citationItems":[{"id":6213,"uris":["http://zotero.org/users/17607594/items/E4GFQV6L"],"itemData":{"id":6213,"type":"article-journal","abstract":"BACKGROUND: A prognostic model should not enter clinical practice unless it has been demonstrated that it performs a useful role. External validation denotes evaluation of model performance in a sample independent of that used to develop the model. Unlike for logistic regression models, external validation of Cox models is sparsely treated in the literature. Successful validation of a model means achieving satisfactory discrimination and calibration (prediction accuracy) in the validation sample. Validating Cox models is not straightforward because event probabilities are estimated relative to an unspecified baseline function.\nMETHODS: We describe statistical approaches to external validation of a published Cox model according to the level of published information, specifically (1) the prognostic index only, (2) the prognostic index together with Kaplan-Meier curves for risk groups, and (3) the first two plus the baseline survival curve (the estimated survival function at the mean prognostic index across the sample). The most challenging task, requiring level 3 information, is assessing calibration, for which we suggest a method of approximating the baseline survival function.\nRESULTS: We apply the methods to two comparable datasets in primary breast cancer, treating one as derivation and the other as validation sample. Results are presented for discrimination and calibration. We demonstrate plots of survival probabilities that can assist model evaluation.\nCONCLUSIONS: Our validation methods are applicable to a wide range of prognostic studies and provide researchers with a toolkit for external validation of a published Cox model.","citation-key":"roystonExternalValidationCox2013","container-title":"BMC Medical Research Methodology","DOI":"10.1186/1471-2288-13-33","ISSN":"1471-2288","issue":"1","journalAbbreviation":"BMC Med Res Methodol","language":"eng","page":"33","PMID":"23496923","PMCID":"PMC3667097","source":"PubMed","title":"External validation of a Cox prognostic model: principles and methods","title-short":"External validation of a Cox prognostic model","volume":"13","author":[{"family":"Royston","given":"Patrick"},{"family":"Altman","given":"Douglas G."}],"issued":{"date-parts":[["2013",3,6]]}}}],"schema":"https://github.com/citation-style-language/schema/raw/master/csl-citation.json"} </w:instrText>
      </w:r>
      <w:r w:rsidR="00D27C42">
        <w:fldChar w:fldCharType="separate"/>
      </w:r>
      <w:r w:rsidR="00164DE6" w:rsidRPr="00164DE6">
        <w:rPr>
          <w:vertAlign w:val="superscript"/>
        </w:rPr>
        <w:t>9</w:t>
      </w:r>
      <w:r w:rsidR="00D27C42">
        <w:fldChar w:fldCharType="end"/>
      </w:r>
      <w:r w:rsidRPr="00150AFE">
        <w:t>. Tumour break load score also showed borderline non-proportionality (p = 0.049). These violations are acknowledged as limitations of the Cox model framework applied here; time-varying coefficient models were considered beyond the scope of this analysis.</w:t>
      </w:r>
    </w:p>
    <w:p w14:paraId="017987DB" w14:textId="3DCAC52C" w:rsidR="00B82FDC" w:rsidRPr="00150AFE" w:rsidRDefault="00B82FDC" w:rsidP="00D27C42">
      <w:pPr>
        <w:pStyle w:val="Heading3"/>
      </w:pPr>
      <w:r w:rsidRPr="00150AFE">
        <w:t>2.</w:t>
      </w:r>
      <w:r w:rsidR="00C416FC">
        <w:t>2</w:t>
      </w:r>
      <w:r w:rsidRPr="00150AFE">
        <w:t xml:space="preserve"> RPPA Proteomics Feature Selection</w:t>
      </w:r>
    </w:p>
    <w:p w14:paraId="57E12A21" w14:textId="36BF871C" w:rsidR="00B82FDC" w:rsidRPr="00150AFE" w:rsidRDefault="00B82FDC" w:rsidP="00B82FDC">
      <w:r w:rsidRPr="00150AFE">
        <w:t>The RPPA dataset comprised 198 protein features across 455 samples with 3.5% missing values. All 198 features were evaluated by univariable Cox regression, yielding 195 features with sufficient complete cases and variance for screening. The top univariable proteomic predictors included CDKN1A/p21 (</w:t>
      </w:r>
      <w:proofErr w:type="spellStart"/>
      <w:r w:rsidR="0068182D" w:rsidRPr="00150AFE">
        <w:t>p</w:t>
      </w:r>
      <w:r w:rsidR="0068182D" w:rsidRPr="0068182D">
        <w:rPr>
          <w:vertAlign w:val="subscript"/>
        </w:rPr>
        <w:t>adj</w:t>
      </w:r>
      <w:proofErr w:type="spellEnd"/>
      <w:r w:rsidR="0068182D" w:rsidRPr="00150AFE">
        <w:t xml:space="preserve"> </w:t>
      </w:r>
      <w:r w:rsidRPr="00150AFE">
        <w:t>= 3.26 × 10</w:t>
      </w:r>
      <w:r w:rsidRPr="00150AFE">
        <w:rPr>
          <w:rFonts w:ascii="Cambria Math" w:hAnsi="Cambria Math" w:cs="Cambria Math"/>
        </w:rPr>
        <w:t>⁻</w:t>
      </w:r>
      <w:r w:rsidRPr="00150AFE">
        <w:t>⁸), GAB2 (</w:t>
      </w:r>
      <w:proofErr w:type="spellStart"/>
      <w:r w:rsidR="0068182D" w:rsidRPr="00150AFE">
        <w:t>p</w:t>
      </w:r>
      <w:r w:rsidR="0068182D" w:rsidRPr="0068182D">
        <w:rPr>
          <w:vertAlign w:val="subscript"/>
        </w:rPr>
        <w:t>adj</w:t>
      </w:r>
      <w:proofErr w:type="spellEnd"/>
      <w:r w:rsidR="0068182D" w:rsidRPr="00150AFE">
        <w:t xml:space="preserve"> </w:t>
      </w:r>
      <w:r w:rsidRPr="00150AFE">
        <w:t>= 3.26 × 10</w:t>
      </w:r>
      <w:r w:rsidRPr="00150AFE">
        <w:rPr>
          <w:rFonts w:ascii="Cambria Math" w:hAnsi="Cambria Math" w:cs="Cambria Math"/>
        </w:rPr>
        <w:t>⁻</w:t>
      </w:r>
      <w:r w:rsidRPr="00150AFE">
        <w:t>⁸), SERPINE1/PAI-1 (</w:t>
      </w:r>
      <w:proofErr w:type="spellStart"/>
      <w:r w:rsidR="0068182D" w:rsidRPr="00150AFE">
        <w:t>p</w:t>
      </w:r>
      <w:r w:rsidR="0068182D" w:rsidRPr="0068182D">
        <w:rPr>
          <w:vertAlign w:val="subscript"/>
        </w:rPr>
        <w:t>adj</w:t>
      </w:r>
      <w:proofErr w:type="spellEnd"/>
      <w:r w:rsidR="0068182D" w:rsidRPr="00150AFE">
        <w:t xml:space="preserve"> </w:t>
      </w:r>
      <w:r w:rsidRPr="00150AFE">
        <w:t>= 3.26 × 10</w:t>
      </w:r>
      <w:r w:rsidRPr="00150AFE">
        <w:rPr>
          <w:rFonts w:ascii="Cambria Math" w:hAnsi="Cambria Math" w:cs="Cambria Math"/>
        </w:rPr>
        <w:t>⁻</w:t>
      </w:r>
      <w:r w:rsidRPr="00150AFE">
        <w:t>⁸), and phosphorylated MAPK/ERK (</w:t>
      </w:r>
      <w:proofErr w:type="spellStart"/>
      <w:r w:rsidR="0068182D" w:rsidRPr="00150AFE">
        <w:t>p</w:t>
      </w:r>
      <w:r w:rsidR="0068182D" w:rsidRPr="0068182D">
        <w:rPr>
          <w:vertAlign w:val="subscript"/>
        </w:rPr>
        <w:t>adj</w:t>
      </w:r>
      <w:proofErr w:type="spellEnd"/>
      <w:r w:rsidR="0068182D" w:rsidRPr="00150AFE">
        <w:t xml:space="preserve"> </w:t>
      </w:r>
      <w:r w:rsidRPr="00150AFE">
        <w:t>= 1.53 × 10</w:t>
      </w:r>
      <w:r w:rsidRPr="00150AFE">
        <w:rPr>
          <w:rFonts w:ascii="Cambria Math" w:hAnsi="Cambria Math" w:cs="Cambria Math"/>
        </w:rPr>
        <w:t>⁻</w:t>
      </w:r>
      <w:r w:rsidRPr="00150AFE">
        <w:t>⁷), all of which are components of the EGFR/MAPK/ERK and PI3K/AKT signalling axes relevant to the kinase biology of ccRCC.</w:t>
      </w:r>
    </w:p>
    <w:p w14:paraId="48D66F73" w14:textId="26FB0FF0" w:rsidR="00B82FDC" w:rsidRPr="00150AFE" w:rsidRDefault="00B82FDC" w:rsidP="003F394E">
      <w:pPr>
        <w:spacing w:after="120"/>
      </w:pPr>
      <w:r w:rsidRPr="00150AFE">
        <w:lastRenderedPageBreak/>
        <w:t xml:space="preserve">To select a sparse protein feature set for multivariable modelling, a cross-validated </w:t>
      </w:r>
      <w:r w:rsidRPr="000972D6">
        <w:rPr>
          <w:i/>
          <w:iCs/>
        </w:rPr>
        <w:t>LASSO</w:t>
      </w:r>
      <w:r w:rsidRPr="00150AFE">
        <w:t xml:space="preserve"> Cox regression was applied to the top 30 univariable proteins. The </w:t>
      </w:r>
      <w:r w:rsidRPr="000972D6">
        <w:rPr>
          <w:i/>
          <w:iCs/>
        </w:rPr>
        <w:t>LASSO</w:t>
      </w:r>
      <w:r w:rsidRPr="00150AFE">
        <w:t xml:space="preserve"> was performed at </w:t>
      </w:r>
      <w:proofErr w:type="spellStart"/>
      <w:r w:rsidRPr="00150AFE">
        <w:t>lambda.min</w:t>
      </w:r>
      <w:proofErr w:type="spellEnd"/>
      <w:r w:rsidRPr="00150AFE">
        <w:t xml:space="preserve"> following reversion from lambda.1se, and the resulting selection was capped at ten proteins to maintain an adequate events-per-variable ratio given 158 events. Ten proteins were retained:</w:t>
      </w:r>
      <w:r w:rsidR="003F394E">
        <w:t xml:space="preserve"> </w:t>
      </w:r>
      <w:r w:rsidRPr="00150AFE">
        <w:t>ERRFI1/MIG-6</w:t>
      </w:r>
      <w:r w:rsidR="003F394E">
        <w:t xml:space="preserve">, </w:t>
      </w:r>
      <w:r w:rsidRPr="00150AFE">
        <w:t>PEA15</w:t>
      </w:r>
      <w:r w:rsidR="003F394E">
        <w:t xml:space="preserve">, </w:t>
      </w:r>
      <w:r w:rsidRPr="00150AFE">
        <w:t>phospho-MAPK (pT202/Y204)</w:t>
      </w:r>
      <w:r w:rsidR="003F394E">
        <w:t xml:space="preserve">, </w:t>
      </w:r>
      <w:r w:rsidRPr="00150AFE">
        <w:t>CDKN1A/p21</w:t>
      </w:r>
      <w:r w:rsidR="003F394E">
        <w:t xml:space="preserve">, </w:t>
      </w:r>
      <w:r w:rsidRPr="00150AFE">
        <w:t>phospho-ERBB3/HER3 (pY1298)</w:t>
      </w:r>
      <w:r w:rsidR="003F394E">
        <w:t xml:space="preserve">, </w:t>
      </w:r>
      <w:r w:rsidRPr="00150AFE">
        <w:t>SERPINE1/PAI-1</w:t>
      </w:r>
      <w:r w:rsidR="003F394E">
        <w:t xml:space="preserve">, </w:t>
      </w:r>
      <w:r w:rsidRPr="00150AFE">
        <w:t>ACACA/ACC1</w:t>
      </w:r>
      <w:r w:rsidR="003F394E">
        <w:t xml:space="preserve">, </w:t>
      </w:r>
      <w:r w:rsidRPr="00150AFE">
        <w:t>AR</w:t>
      </w:r>
      <w:r w:rsidR="003F394E">
        <w:t xml:space="preserve">, </w:t>
      </w:r>
      <w:r w:rsidRPr="00150AFE">
        <w:t>RPS6KA1/p90RSK</w:t>
      </w:r>
      <w:r w:rsidR="003F394E">
        <w:t xml:space="preserve">, and </w:t>
      </w:r>
      <w:r w:rsidRPr="00150AFE">
        <w:t>IGFBP2</w:t>
      </w:r>
      <w:r w:rsidR="003F394E">
        <w:t>.</w:t>
      </w:r>
    </w:p>
    <w:p w14:paraId="3C41356D" w14:textId="489FBF1F" w:rsidR="00B82FDC" w:rsidRPr="00D27C42" w:rsidRDefault="00B82FDC" w:rsidP="00D27C42">
      <w:pPr>
        <w:pStyle w:val="Heading3"/>
      </w:pPr>
      <w:r w:rsidRPr="00D27C42">
        <w:t>2.4 RNA-</w:t>
      </w:r>
      <w:proofErr w:type="spellStart"/>
      <w:r w:rsidRPr="00D27C42">
        <w:t>seq</w:t>
      </w:r>
      <w:proofErr w:type="spellEnd"/>
      <w:r w:rsidRPr="00D27C42">
        <w:t xml:space="preserve"> Pathway Score Construction</w:t>
      </w:r>
    </w:p>
    <w:p w14:paraId="4783F02E" w14:textId="3CF5FFF2" w:rsidR="00B82FDC" w:rsidRPr="00150AFE" w:rsidRDefault="00B82FDC" w:rsidP="00B82FDC">
      <w:r w:rsidRPr="00150AFE">
        <w:t>RNA-</w:t>
      </w:r>
      <w:proofErr w:type="spellStart"/>
      <w:r w:rsidRPr="00150AFE">
        <w:t>seq</w:t>
      </w:r>
      <w:proofErr w:type="spellEnd"/>
      <w:r w:rsidRPr="00150AFE">
        <w:t xml:space="preserve"> expression data comprised 20,531 genes across 511 samples. A knowledge-driven gene set was constructed by querying eight targeted</w:t>
      </w:r>
      <w:r w:rsidR="00872381">
        <w:t xml:space="preserve"> Molecular Signatures Database (</w:t>
      </w:r>
      <w:proofErr w:type="spellStart"/>
      <w:r w:rsidRPr="00150AFE">
        <w:t>MSigDB</w:t>
      </w:r>
      <w:proofErr w:type="spellEnd"/>
      <w:r w:rsidR="00872381">
        <w:t>)</w:t>
      </w:r>
      <w:r w:rsidRPr="00150AFE">
        <w:t xml:space="preserve"> signatures spanning two biological themes relevant to ccRCC: inflammatory invasion (neutrophil degranulation, neutrophil activation, inflammatory response, hallmark inflammation, ECM remodelling, metalloprotease activity) and kinase signalling (kinase activity, kinase signalling). These themes were selected </w:t>
      </w:r>
      <w:proofErr w:type="gramStart"/>
      <w:r w:rsidRPr="00150AFE">
        <w:t>on the basis of</w:t>
      </w:r>
      <w:proofErr w:type="gramEnd"/>
      <w:r w:rsidRPr="00150AFE">
        <w:t xml:space="preserve"> the established biology of VHL-driven hypoxia, immune infiltration, and ECM remodelling in ccRCC. </w:t>
      </w:r>
      <w:r w:rsidR="00C416FC" w:rsidRPr="00C416FC">
        <w:t xml:space="preserve">To track the molecular networks of clear cell renal cell carcinoma, eight targeted </w:t>
      </w:r>
      <w:proofErr w:type="spellStart"/>
      <w:r w:rsidR="00C416FC" w:rsidRPr="00C416FC">
        <w:t>MSigDB</w:t>
      </w:r>
      <w:proofErr w:type="spellEnd"/>
      <w:r w:rsidR="00C416FC" w:rsidRPr="00C416FC">
        <w:t xml:space="preserve"> immune and kinase inflammation signatures were compiled (Table 2), yielding 3,923 clean, post-QC transcripts.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86"/>
        <w:gridCol w:w="1842"/>
        <w:gridCol w:w="1842"/>
        <w:gridCol w:w="1946"/>
      </w:tblGrid>
      <w:tr w:rsidR="00946805" w14:paraId="30BF43DF" w14:textId="77777777" w:rsidTr="00C734A8">
        <w:tc>
          <w:tcPr>
            <w:tcW w:w="3386" w:type="dxa"/>
            <w:tcBorders>
              <w:bottom w:val="single" w:sz="4" w:space="0" w:color="auto"/>
            </w:tcBorders>
          </w:tcPr>
          <w:p w14:paraId="6CAED752" w14:textId="5E08B60C" w:rsidR="00946805" w:rsidRPr="003F394E" w:rsidRDefault="003F394E" w:rsidP="00C734A8">
            <w:pPr>
              <w:keepNext/>
              <w:spacing w:after="0"/>
              <w:rPr>
                <w:b/>
                <w:bCs/>
              </w:rPr>
            </w:pPr>
            <w:r w:rsidRPr="003F394E">
              <w:rPr>
                <w:b/>
                <w:bCs/>
              </w:rPr>
              <w:t>Pathway</w:t>
            </w:r>
          </w:p>
        </w:tc>
        <w:tc>
          <w:tcPr>
            <w:tcW w:w="1842" w:type="dxa"/>
            <w:tcBorders>
              <w:bottom w:val="single" w:sz="4" w:space="0" w:color="auto"/>
            </w:tcBorders>
          </w:tcPr>
          <w:p w14:paraId="0A875543" w14:textId="6C9DC10D" w:rsidR="00946805" w:rsidRPr="003F394E" w:rsidRDefault="003F394E" w:rsidP="00C734A8">
            <w:pPr>
              <w:keepNext/>
              <w:spacing w:after="0"/>
              <w:rPr>
                <w:b/>
                <w:bCs/>
              </w:rPr>
            </w:pPr>
            <w:r w:rsidRPr="003F394E">
              <w:rPr>
                <w:b/>
                <w:bCs/>
              </w:rPr>
              <w:t>Genes in Data</w:t>
            </w:r>
          </w:p>
        </w:tc>
        <w:tc>
          <w:tcPr>
            <w:tcW w:w="1842" w:type="dxa"/>
            <w:tcBorders>
              <w:bottom w:val="single" w:sz="4" w:space="0" w:color="auto"/>
            </w:tcBorders>
          </w:tcPr>
          <w:p w14:paraId="04DE912F" w14:textId="4218A21D" w:rsidR="00946805" w:rsidRPr="003F394E" w:rsidRDefault="003F394E" w:rsidP="00C734A8">
            <w:pPr>
              <w:keepNext/>
              <w:spacing w:after="0"/>
              <w:rPr>
                <w:b/>
                <w:bCs/>
              </w:rPr>
            </w:pPr>
            <w:r w:rsidRPr="003F394E">
              <w:rPr>
                <w:b/>
                <w:bCs/>
              </w:rPr>
              <w:t>Total Genes</w:t>
            </w:r>
          </w:p>
        </w:tc>
        <w:tc>
          <w:tcPr>
            <w:tcW w:w="1946" w:type="dxa"/>
            <w:tcBorders>
              <w:bottom w:val="single" w:sz="4" w:space="0" w:color="auto"/>
            </w:tcBorders>
          </w:tcPr>
          <w:p w14:paraId="69746122" w14:textId="10BAEDBF" w:rsidR="00946805" w:rsidRPr="003F394E" w:rsidRDefault="003F394E" w:rsidP="00C734A8">
            <w:pPr>
              <w:keepNext/>
              <w:spacing w:after="0"/>
              <w:rPr>
                <w:b/>
                <w:bCs/>
              </w:rPr>
            </w:pPr>
            <w:r w:rsidRPr="003F394E">
              <w:rPr>
                <w:b/>
                <w:bCs/>
              </w:rPr>
              <w:t>Coverage (%)</w:t>
            </w:r>
          </w:p>
        </w:tc>
      </w:tr>
      <w:tr w:rsidR="00946805" w14:paraId="7790C38B" w14:textId="77777777" w:rsidTr="00C734A8">
        <w:tc>
          <w:tcPr>
            <w:tcW w:w="3386" w:type="dxa"/>
            <w:tcBorders>
              <w:top w:val="single" w:sz="4" w:space="0" w:color="auto"/>
            </w:tcBorders>
          </w:tcPr>
          <w:p w14:paraId="349B98C8" w14:textId="18A15DA9" w:rsidR="00946805" w:rsidRDefault="003F394E" w:rsidP="00C734A8">
            <w:pPr>
              <w:keepNext/>
              <w:spacing w:after="0"/>
            </w:pPr>
            <w:proofErr w:type="spellStart"/>
            <w:r w:rsidRPr="00C11FF7">
              <w:rPr>
                <w:rStyle w:val="CodeChar"/>
              </w:rPr>
              <w:t>neutrophil_degranulation</w:t>
            </w:r>
            <w:proofErr w:type="spellEnd"/>
          </w:p>
        </w:tc>
        <w:tc>
          <w:tcPr>
            <w:tcW w:w="1842" w:type="dxa"/>
            <w:tcBorders>
              <w:top w:val="single" w:sz="4" w:space="0" w:color="auto"/>
            </w:tcBorders>
          </w:tcPr>
          <w:p w14:paraId="5040F12B" w14:textId="4E0DA794" w:rsidR="00946805" w:rsidRDefault="003F394E" w:rsidP="00C734A8">
            <w:pPr>
              <w:keepNext/>
              <w:spacing w:after="0"/>
              <w:jc w:val="center"/>
            </w:pPr>
            <w:r>
              <w:t>13</w:t>
            </w:r>
          </w:p>
        </w:tc>
        <w:tc>
          <w:tcPr>
            <w:tcW w:w="1842" w:type="dxa"/>
            <w:tcBorders>
              <w:top w:val="single" w:sz="4" w:space="0" w:color="auto"/>
            </w:tcBorders>
          </w:tcPr>
          <w:p w14:paraId="6670E785" w14:textId="2038527E" w:rsidR="00946805" w:rsidRDefault="003F394E" w:rsidP="00C734A8">
            <w:pPr>
              <w:keepNext/>
              <w:spacing w:after="0"/>
              <w:jc w:val="center"/>
            </w:pPr>
            <w:r>
              <w:t>13</w:t>
            </w:r>
          </w:p>
        </w:tc>
        <w:tc>
          <w:tcPr>
            <w:tcW w:w="1946" w:type="dxa"/>
            <w:tcBorders>
              <w:top w:val="single" w:sz="4" w:space="0" w:color="auto"/>
            </w:tcBorders>
          </w:tcPr>
          <w:p w14:paraId="146EBE8C" w14:textId="15619D19" w:rsidR="00946805" w:rsidRDefault="003F394E" w:rsidP="00C734A8">
            <w:pPr>
              <w:keepNext/>
              <w:spacing w:after="0"/>
              <w:jc w:val="center"/>
            </w:pPr>
            <w:r>
              <w:t>100</w:t>
            </w:r>
          </w:p>
        </w:tc>
      </w:tr>
      <w:tr w:rsidR="00946805" w14:paraId="27996ED6" w14:textId="77777777" w:rsidTr="00C734A8">
        <w:tc>
          <w:tcPr>
            <w:tcW w:w="3386" w:type="dxa"/>
          </w:tcPr>
          <w:p w14:paraId="07AA9EAA" w14:textId="0A038BAE" w:rsidR="00946805" w:rsidRDefault="003F394E" w:rsidP="00C734A8">
            <w:pPr>
              <w:keepNext/>
              <w:spacing w:after="0"/>
            </w:pPr>
            <w:proofErr w:type="spellStart"/>
            <w:r w:rsidRPr="00C11FF7">
              <w:rPr>
                <w:rStyle w:val="CodeChar"/>
              </w:rPr>
              <w:t>kinase_activity</w:t>
            </w:r>
            <w:proofErr w:type="spellEnd"/>
          </w:p>
        </w:tc>
        <w:tc>
          <w:tcPr>
            <w:tcW w:w="1842" w:type="dxa"/>
          </w:tcPr>
          <w:p w14:paraId="37959A47" w14:textId="04E91BA4" w:rsidR="00946805" w:rsidRDefault="003F394E" w:rsidP="00C734A8">
            <w:pPr>
              <w:keepNext/>
              <w:spacing w:after="0"/>
              <w:jc w:val="center"/>
            </w:pPr>
            <w:r>
              <w:t>162</w:t>
            </w:r>
          </w:p>
        </w:tc>
        <w:tc>
          <w:tcPr>
            <w:tcW w:w="1842" w:type="dxa"/>
          </w:tcPr>
          <w:p w14:paraId="014C6A51" w14:textId="5BB464B6" w:rsidR="00946805" w:rsidRDefault="003F394E" w:rsidP="00C734A8">
            <w:pPr>
              <w:keepNext/>
              <w:spacing w:after="0"/>
              <w:jc w:val="center"/>
            </w:pPr>
            <w:r>
              <w:t>163</w:t>
            </w:r>
          </w:p>
        </w:tc>
        <w:tc>
          <w:tcPr>
            <w:tcW w:w="1946" w:type="dxa"/>
          </w:tcPr>
          <w:p w14:paraId="6B9754B4" w14:textId="0F311F5F" w:rsidR="00946805" w:rsidRDefault="003F394E" w:rsidP="00C734A8">
            <w:pPr>
              <w:keepNext/>
              <w:spacing w:after="0"/>
              <w:jc w:val="center"/>
            </w:pPr>
            <w:r>
              <w:t>99.4</w:t>
            </w:r>
          </w:p>
        </w:tc>
      </w:tr>
      <w:tr w:rsidR="00946805" w14:paraId="7A10ECFA" w14:textId="77777777" w:rsidTr="00C734A8">
        <w:tc>
          <w:tcPr>
            <w:tcW w:w="3386" w:type="dxa"/>
          </w:tcPr>
          <w:p w14:paraId="443DC6E8" w14:textId="1C996834" w:rsidR="00946805" w:rsidRDefault="00C734A8" w:rsidP="00C734A8">
            <w:pPr>
              <w:keepNext/>
              <w:spacing w:after="0"/>
            </w:pPr>
            <w:proofErr w:type="spellStart"/>
            <w:r w:rsidRPr="00C11FF7">
              <w:rPr>
                <w:rStyle w:val="CodeChar"/>
              </w:rPr>
              <w:t>hallmark_inflammation</w:t>
            </w:r>
            <w:proofErr w:type="spellEnd"/>
            <w:r w:rsidRPr="00150AFE">
              <w:t xml:space="preserve">    </w:t>
            </w:r>
          </w:p>
        </w:tc>
        <w:tc>
          <w:tcPr>
            <w:tcW w:w="1842" w:type="dxa"/>
          </w:tcPr>
          <w:p w14:paraId="110490D8" w14:textId="51F270CC" w:rsidR="00946805" w:rsidRDefault="00C734A8" w:rsidP="00C734A8">
            <w:pPr>
              <w:keepNext/>
              <w:spacing w:after="0"/>
              <w:jc w:val="center"/>
            </w:pPr>
            <w:r>
              <w:t>197</w:t>
            </w:r>
          </w:p>
        </w:tc>
        <w:tc>
          <w:tcPr>
            <w:tcW w:w="1842" w:type="dxa"/>
          </w:tcPr>
          <w:p w14:paraId="77356AC8" w14:textId="714AD428" w:rsidR="00946805" w:rsidRDefault="00C734A8" w:rsidP="00C734A8">
            <w:pPr>
              <w:keepNext/>
              <w:spacing w:after="0"/>
              <w:jc w:val="center"/>
            </w:pPr>
            <w:r>
              <w:t>200</w:t>
            </w:r>
          </w:p>
        </w:tc>
        <w:tc>
          <w:tcPr>
            <w:tcW w:w="1946" w:type="dxa"/>
          </w:tcPr>
          <w:p w14:paraId="574E8353" w14:textId="2A2BFE14" w:rsidR="00946805" w:rsidRDefault="00C734A8" w:rsidP="00C734A8">
            <w:pPr>
              <w:keepNext/>
              <w:spacing w:after="0"/>
              <w:jc w:val="center"/>
            </w:pPr>
            <w:r>
              <w:t>98.5</w:t>
            </w:r>
          </w:p>
        </w:tc>
      </w:tr>
      <w:tr w:rsidR="00946805" w14:paraId="63A3A37A" w14:textId="77777777" w:rsidTr="00C734A8">
        <w:tc>
          <w:tcPr>
            <w:tcW w:w="3386" w:type="dxa"/>
          </w:tcPr>
          <w:p w14:paraId="76602D40" w14:textId="22BC174C" w:rsidR="00946805" w:rsidRDefault="00C734A8" w:rsidP="00C734A8">
            <w:pPr>
              <w:keepNext/>
              <w:spacing w:after="0"/>
            </w:pPr>
            <w:proofErr w:type="spellStart"/>
            <w:r w:rsidRPr="00C11FF7">
              <w:rPr>
                <w:rStyle w:val="CodeChar"/>
              </w:rPr>
              <w:t>neutrophil_activation</w:t>
            </w:r>
            <w:proofErr w:type="spellEnd"/>
            <w:r w:rsidRPr="00150AFE">
              <w:t xml:space="preserve">    </w:t>
            </w:r>
          </w:p>
        </w:tc>
        <w:tc>
          <w:tcPr>
            <w:tcW w:w="1842" w:type="dxa"/>
          </w:tcPr>
          <w:p w14:paraId="62B4E8F5" w14:textId="548E0DB8" w:rsidR="00946805" w:rsidRDefault="00C734A8" w:rsidP="00C734A8">
            <w:pPr>
              <w:keepNext/>
              <w:spacing w:after="0"/>
              <w:jc w:val="center"/>
            </w:pPr>
            <w:r>
              <w:t>55</w:t>
            </w:r>
          </w:p>
        </w:tc>
        <w:tc>
          <w:tcPr>
            <w:tcW w:w="1842" w:type="dxa"/>
          </w:tcPr>
          <w:p w14:paraId="5159F0D2" w14:textId="705E2C77" w:rsidR="00946805" w:rsidRDefault="00C734A8" w:rsidP="00C734A8">
            <w:pPr>
              <w:keepNext/>
              <w:spacing w:after="0"/>
              <w:jc w:val="center"/>
            </w:pPr>
            <w:r>
              <w:t>58</w:t>
            </w:r>
          </w:p>
        </w:tc>
        <w:tc>
          <w:tcPr>
            <w:tcW w:w="1946" w:type="dxa"/>
          </w:tcPr>
          <w:p w14:paraId="02787EC3" w14:textId="5BFCA87E" w:rsidR="00946805" w:rsidRDefault="00C734A8" w:rsidP="00C734A8">
            <w:pPr>
              <w:keepNext/>
              <w:spacing w:after="0"/>
              <w:jc w:val="center"/>
            </w:pPr>
            <w:r>
              <w:t>94.8</w:t>
            </w:r>
          </w:p>
        </w:tc>
      </w:tr>
      <w:tr w:rsidR="00C734A8" w14:paraId="124D4665" w14:textId="77777777" w:rsidTr="00C734A8">
        <w:tc>
          <w:tcPr>
            <w:tcW w:w="3386" w:type="dxa"/>
          </w:tcPr>
          <w:p w14:paraId="6D21CBA7" w14:textId="746EBFF5" w:rsidR="00C734A8" w:rsidRPr="00C11FF7" w:rsidRDefault="00C734A8" w:rsidP="00C734A8">
            <w:pPr>
              <w:keepNext/>
              <w:spacing w:after="0"/>
              <w:rPr>
                <w:rStyle w:val="CodeChar"/>
              </w:rPr>
            </w:pPr>
            <w:proofErr w:type="spellStart"/>
            <w:r w:rsidRPr="00C11FF7">
              <w:rPr>
                <w:rStyle w:val="CodeChar"/>
              </w:rPr>
              <w:t>kinase_signalling</w:t>
            </w:r>
            <w:proofErr w:type="spellEnd"/>
            <w:r w:rsidRPr="00150AFE">
              <w:t xml:space="preserve">        </w:t>
            </w:r>
          </w:p>
        </w:tc>
        <w:tc>
          <w:tcPr>
            <w:tcW w:w="1842" w:type="dxa"/>
          </w:tcPr>
          <w:p w14:paraId="448EBC0E" w14:textId="45B1893E" w:rsidR="00C734A8" w:rsidRDefault="00C734A8" w:rsidP="00C734A8">
            <w:pPr>
              <w:keepNext/>
              <w:spacing w:after="0"/>
              <w:jc w:val="center"/>
            </w:pPr>
            <w:r>
              <w:t>663</w:t>
            </w:r>
          </w:p>
        </w:tc>
        <w:tc>
          <w:tcPr>
            <w:tcW w:w="1842" w:type="dxa"/>
          </w:tcPr>
          <w:p w14:paraId="32D13EA0" w14:textId="3115EB4B" w:rsidR="00C734A8" w:rsidRDefault="00C734A8" w:rsidP="00C734A8">
            <w:pPr>
              <w:keepNext/>
              <w:spacing w:after="0"/>
              <w:jc w:val="center"/>
            </w:pPr>
            <w:r>
              <w:t>721</w:t>
            </w:r>
          </w:p>
        </w:tc>
        <w:tc>
          <w:tcPr>
            <w:tcW w:w="1946" w:type="dxa"/>
          </w:tcPr>
          <w:p w14:paraId="205C5C4A" w14:textId="6C57C145" w:rsidR="00C734A8" w:rsidRDefault="00C734A8" w:rsidP="00C734A8">
            <w:pPr>
              <w:keepNext/>
              <w:spacing w:after="0"/>
              <w:jc w:val="center"/>
            </w:pPr>
            <w:r>
              <w:t>92.0</w:t>
            </w:r>
          </w:p>
        </w:tc>
      </w:tr>
      <w:tr w:rsidR="00C734A8" w14:paraId="1097CF21" w14:textId="77777777" w:rsidTr="00C734A8">
        <w:tc>
          <w:tcPr>
            <w:tcW w:w="3386" w:type="dxa"/>
          </w:tcPr>
          <w:p w14:paraId="247C3532" w14:textId="2E3B3359" w:rsidR="00C734A8" w:rsidRPr="00C11FF7" w:rsidRDefault="00C734A8" w:rsidP="00C734A8">
            <w:pPr>
              <w:keepNext/>
              <w:spacing w:after="0"/>
              <w:rPr>
                <w:rStyle w:val="CodeChar"/>
              </w:rPr>
            </w:pPr>
            <w:proofErr w:type="spellStart"/>
            <w:r w:rsidRPr="00C11FF7">
              <w:rPr>
                <w:rStyle w:val="CodeChar"/>
              </w:rPr>
              <w:t>metalloprotease_activity</w:t>
            </w:r>
            <w:proofErr w:type="spellEnd"/>
          </w:p>
        </w:tc>
        <w:tc>
          <w:tcPr>
            <w:tcW w:w="1842" w:type="dxa"/>
          </w:tcPr>
          <w:p w14:paraId="4C1180CD" w14:textId="78D5EF8F" w:rsidR="00C734A8" w:rsidRDefault="00C734A8" w:rsidP="00C734A8">
            <w:pPr>
              <w:keepNext/>
              <w:spacing w:after="0"/>
              <w:jc w:val="center"/>
            </w:pPr>
            <w:r>
              <w:t>174</w:t>
            </w:r>
          </w:p>
        </w:tc>
        <w:tc>
          <w:tcPr>
            <w:tcW w:w="1842" w:type="dxa"/>
          </w:tcPr>
          <w:p w14:paraId="568716CE" w14:textId="6B96E65C" w:rsidR="00C734A8" w:rsidRDefault="00C734A8" w:rsidP="00C734A8">
            <w:pPr>
              <w:keepNext/>
              <w:spacing w:after="0"/>
              <w:jc w:val="center"/>
            </w:pPr>
            <w:r>
              <w:t>190</w:t>
            </w:r>
          </w:p>
        </w:tc>
        <w:tc>
          <w:tcPr>
            <w:tcW w:w="1946" w:type="dxa"/>
          </w:tcPr>
          <w:p w14:paraId="1782D0FA" w14:textId="79BCB7F6" w:rsidR="00C734A8" w:rsidRDefault="00C734A8" w:rsidP="00C734A8">
            <w:pPr>
              <w:keepNext/>
              <w:spacing w:after="0"/>
              <w:jc w:val="center"/>
            </w:pPr>
            <w:r>
              <w:t>91.6</w:t>
            </w:r>
          </w:p>
        </w:tc>
      </w:tr>
      <w:tr w:rsidR="00C734A8" w14:paraId="60D48D90" w14:textId="77777777" w:rsidTr="00C734A8">
        <w:tc>
          <w:tcPr>
            <w:tcW w:w="3386" w:type="dxa"/>
          </w:tcPr>
          <w:p w14:paraId="2B010505" w14:textId="2F0510A2" w:rsidR="00C734A8" w:rsidRPr="00C11FF7" w:rsidRDefault="00C734A8" w:rsidP="00C734A8">
            <w:pPr>
              <w:keepNext/>
              <w:spacing w:after="0"/>
              <w:rPr>
                <w:rStyle w:val="CodeChar"/>
              </w:rPr>
            </w:pPr>
            <w:proofErr w:type="spellStart"/>
            <w:r w:rsidRPr="00C11FF7">
              <w:rPr>
                <w:rStyle w:val="CodeChar"/>
              </w:rPr>
              <w:t>ecm_remodelling</w:t>
            </w:r>
            <w:proofErr w:type="spellEnd"/>
            <w:r w:rsidRPr="00150AFE">
              <w:t xml:space="preserve">         </w:t>
            </w:r>
          </w:p>
        </w:tc>
        <w:tc>
          <w:tcPr>
            <w:tcW w:w="1842" w:type="dxa"/>
          </w:tcPr>
          <w:p w14:paraId="612A51C7" w14:textId="5ACE5E68" w:rsidR="00C734A8" w:rsidRDefault="00C734A8" w:rsidP="00C734A8">
            <w:pPr>
              <w:keepNext/>
              <w:spacing w:after="0"/>
              <w:jc w:val="center"/>
            </w:pPr>
            <w:r>
              <w:t>1,819</w:t>
            </w:r>
          </w:p>
        </w:tc>
        <w:tc>
          <w:tcPr>
            <w:tcW w:w="1842" w:type="dxa"/>
          </w:tcPr>
          <w:p w14:paraId="2F902BA4" w14:textId="11F41681" w:rsidR="00C734A8" w:rsidRDefault="00C734A8" w:rsidP="00C734A8">
            <w:pPr>
              <w:keepNext/>
              <w:spacing w:after="0"/>
              <w:jc w:val="center"/>
            </w:pPr>
            <w:r>
              <w:t>2,024</w:t>
            </w:r>
          </w:p>
        </w:tc>
        <w:tc>
          <w:tcPr>
            <w:tcW w:w="1946" w:type="dxa"/>
          </w:tcPr>
          <w:p w14:paraId="48E6FF14" w14:textId="39C8AFBA" w:rsidR="00C734A8" w:rsidRDefault="00C734A8" w:rsidP="00C734A8">
            <w:pPr>
              <w:keepNext/>
              <w:spacing w:after="0"/>
              <w:jc w:val="center"/>
            </w:pPr>
            <w:r>
              <w:t>89.9</w:t>
            </w:r>
          </w:p>
        </w:tc>
      </w:tr>
      <w:tr w:rsidR="00C734A8" w14:paraId="346D671E" w14:textId="77777777" w:rsidTr="00C734A8">
        <w:tc>
          <w:tcPr>
            <w:tcW w:w="3386" w:type="dxa"/>
          </w:tcPr>
          <w:p w14:paraId="289543B0" w14:textId="001D8CF3" w:rsidR="00C734A8" w:rsidRPr="00C11FF7" w:rsidRDefault="00C734A8" w:rsidP="00C734A8">
            <w:pPr>
              <w:keepNext/>
              <w:spacing w:after="0"/>
              <w:rPr>
                <w:rStyle w:val="CodeChar"/>
              </w:rPr>
            </w:pPr>
            <w:proofErr w:type="spellStart"/>
            <w:r w:rsidRPr="00C11FF7">
              <w:rPr>
                <w:rStyle w:val="CodeChar"/>
              </w:rPr>
              <w:t>inflammatory_response</w:t>
            </w:r>
            <w:proofErr w:type="spellEnd"/>
            <w:r w:rsidRPr="00150AFE">
              <w:t xml:space="preserve">    </w:t>
            </w:r>
          </w:p>
        </w:tc>
        <w:tc>
          <w:tcPr>
            <w:tcW w:w="1842" w:type="dxa"/>
          </w:tcPr>
          <w:p w14:paraId="015274C2" w14:textId="50C61B50" w:rsidR="00C734A8" w:rsidRDefault="00C734A8" w:rsidP="00C734A8">
            <w:pPr>
              <w:keepNext/>
              <w:spacing w:after="0"/>
              <w:jc w:val="center"/>
            </w:pPr>
            <w:r>
              <w:t>1,912</w:t>
            </w:r>
          </w:p>
        </w:tc>
        <w:tc>
          <w:tcPr>
            <w:tcW w:w="1842" w:type="dxa"/>
          </w:tcPr>
          <w:p w14:paraId="5355E455" w14:textId="5D7BE1EC" w:rsidR="00C734A8" w:rsidRDefault="00C734A8" w:rsidP="00C734A8">
            <w:pPr>
              <w:keepNext/>
              <w:spacing w:after="0"/>
              <w:jc w:val="center"/>
            </w:pPr>
            <w:r>
              <w:t>2,153</w:t>
            </w:r>
          </w:p>
        </w:tc>
        <w:tc>
          <w:tcPr>
            <w:tcW w:w="1946" w:type="dxa"/>
          </w:tcPr>
          <w:p w14:paraId="21257104" w14:textId="7945908D" w:rsidR="00C734A8" w:rsidRDefault="00C734A8" w:rsidP="00C734A8">
            <w:pPr>
              <w:keepNext/>
              <w:spacing w:after="0"/>
              <w:jc w:val="center"/>
            </w:pPr>
            <w:r>
              <w:t>88.8</w:t>
            </w:r>
          </w:p>
        </w:tc>
      </w:tr>
    </w:tbl>
    <w:p w14:paraId="2BA1E7BC" w14:textId="529E009E" w:rsidR="00B82FDC" w:rsidRPr="000B7451" w:rsidRDefault="003F394E" w:rsidP="003F394E">
      <w:pPr>
        <w:pStyle w:val="Caption"/>
      </w:pPr>
      <w:r w:rsidRPr="000B7451">
        <w:rPr>
          <w:b/>
          <w:bCs/>
        </w:rPr>
        <w:t xml:space="preserve">Table </w:t>
      </w:r>
      <w:r w:rsidRPr="000B7451">
        <w:rPr>
          <w:b/>
          <w:bCs/>
        </w:rPr>
        <w:fldChar w:fldCharType="begin"/>
      </w:r>
      <w:r w:rsidRPr="000B7451">
        <w:rPr>
          <w:b/>
          <w:bCs/>
        </w:rPr>
        <w:instrText xml:space="preserve"> SEQ Table \* ARABIC </w:instrText>
      </w:r>
      <w:r w:rsidRPr="000B7451">
        <w:rPr>
          <w:b/>
          <w:bCs/>
        </w:rPr>
        <w:fldChar w:fldCharType="separate"/>
      </w:r>
      <w:r w:rsidR="00417F53" w:rsidRPr="000B7451">
        <w:rPr>
          <w:b/>
          <w:bCs/>
          <w:noProof/>
        </w:rPr>
        <w:t>2</w:t>
      </w:r>
      <w:r w:rsidRPr="000B7451">
        <w:rPr>
          <w:b/>
          <w:bCs/>
        </w:rPr>
        <w:fldChar w:fldCharType="end"/>
      </w:r>
      <w:r w:rsidRPr="000B7451">
        <w:rPr>
          <w:b/>
          <w:bCs/>
        </w:rPr>
        <w:t xml:space="preserve">. </w:t>
      </w:r>
      <w:r w:rsidR="002C44B4" w:rsidRPr="002C44B4">
        <w:rPr>
          <w:b/>
          <w:bCs/>
        </w:rPr>
        <w:t xml:space="preserve">Transcriptomic coverage for targeted </w:t>
      </w:r>
      <w:proofErr w:type="spellStart"/>
      <w:r w:rsidR="002C44B4" w:rsidRPr="002C44B4">
        <w:rPr>
          <w:b/>
          <w:bCs/>
        </w:rPr>
        <w:t>MSigDB</w:t>
      </w:r>
      <w:proofErr w:type="spellEnd"/>
      <w:r w:rsidR="002C44B4" w:rsidRPr="002C44B4">
        <w:rPr>
          <w:b/>
          <w:bCs/>
        </w:rPr>
        <w:t xml:space="preserve"> pathway queries</w:t>
      </w:r>
      <w:r w:rsidR="002C44B4">
        <w:rPr>
          <w:b/>
          <w:bCs/>
        </w:rPr>
        <w:t>.</w:t>
      </w:r>
      <w:r w:rsidR="000B7451">
        <w:rPr>
          <w:b/>
          <w:bCs/>
        </w:rPr>
        <w:br/>
      </w:r>
      <w:r w:rsidR="002C44B4" w:rsidRPr="002C44B4">
        <w:t>Summary of mapped gene counts, total pathway-member genes, and final percentage coverage across the eight selected inflammatory and kinase signatures in the TCGA-KIRC expression matrix</w:t>
      </w:r>
    </w:p>
    <w:p w14:paraId="33CA147E" w14:textId="705CE5B4" w:rsidR="00B82FDC" w:rsidRPr="00150AFE" w:rsidRDefault="00B82FDC" w:rsidP="00B82FDC">
      <w:r w:rsidRPr="00150AFE">
        <w:lastRenderedPageBreak/>
        <w:t xml:space="preserve">In parallel, an unbiased data-driven screen was conducted by fitting univariable Cox models across all 3,923 retained genes. The more limited gene set was chosen to protect the parallelised screening engine from severe type I error inflation and the mathematical deficits of </w:t>
      </w:r>
      <w:r w:rsidRPr="000972D6">
        <w:rPr>
          <w:rFonts w:ascii="Courier New" w:hAnsi="Courier New" w:cs="Courier New"/>
          <w:i/>
          <w:iCs/>
        </w:rPr>
        <w:t>p</w:t>
      </w:r>
      <w:r w:rsidR="00C734A8" w:rsidRPr="000972D6">
        <w:rPr>
          <w:rFonts w:ascii="Courier New" w:hAnsi="Courier New" w:cs="Courier New"/>
          <w:i/>
          <w:iCs/>
        </w:rPr>
        <w:t xml:space="preserve"> &gt;&gt; </w:t>
      </w:r>
      <w:r w:rsidRPr="000972D6">
        <w:rPr>
          <w:rFonts w:ascii="Courier New" w:hAnsi="Courier New" w:cs="Courier New"/>
          <w:i/>
          <w:iCs/>
        </w:rPr>
        <w:t>n</w:t>
      </w:r>
      <w:r w:rsidRPr="00150AFE">
        <w:t>.</w:t>
      </w:r>
    </w:p>
    <w:p w14:paraId="6F7C76FE" w14:textId="5492E1D1" w:rsidR="00B82FDC" w:rsidRPr="00150AFE" w:rsidRDefault="00B82FDC" w:rsidP="00B82FDC">
      <w:r w:rsidRPr="00150AFE">
        <w:t>The 20 genes most strongly associated with survival by raw p-value were identified and their joint PC1 score computed as an alternative transcriptomic feature. The top three genes by this ranking were COL7A1, ZIC2, and STX1A. COL7A1 encodes type VII collagen, an ECM constituent whose elevated expression is associated with aggressive ccRCC and substantially reduced five-year survival</w:t>
      </w:r>
      <w:r w:rsidR="00D27C42">
        <w:fldChar w:fldCharType="begin"/>
      </w:r>
      <w:r w:rsidR="00164DE6">
        <w:instrText xml:space="preserve"> ADDIN ZOTERO_ITEM CSL_CITATION {"citationID":"iqQQwRkD","properties":{"unsorted":false,"formattedCitation":"\\super 10\\nosupersub{}","plainCitation":"10","noteIndex":0},"citationItems":[{"id":6218,"uris":["http://zotero.org/users/17607594/items/P3X7RSJZ"],"itemData":{"id":6218,"type":"article-journal","abstract":"Clear-cell renal cell carcinoma (ccRCC) accounts for 75% of kidney cancers. Due to the high recurrence rate and treatment options that come with high costs and potential side effects, a correct prognosis of patient survival is essential for the successful and effective treatment of patients. Novel biomarkers could play an important role in the assessment of the overall survival of patients. COL7A1 encodes for collagen type VII, a constituent of the basal membrane. COL7A1 is associated with survival in many cancers; however, the prognostic value of COL7A1 expression as a standalone biomarker in ccRCC has not been investigated. With five publicly available independent cohorts, we used Kaplan-Meier curves and the Cox proportional hazards model to investigate the prognostic value of COL7A1, as well as gene set enrichment analysis to investigate genes co-expressed with COL7A1. COL7A1 expression stratifies patients in terms of aggressiveness, where the 5-year survival probability of each of the four groups was 72.4%, 59.1%, 34.15%, and 8.6% in order of increasing expression. Additionally, COL7A1 expression was successfully used to further divide patients of each stage and histological grade into groups of high and low risk. Similar results were obtained in independent cohorts. In vitro knockdown of COL7A1 expression significantly affected ccRCC cells' ability to migrate, leading to the hypothesis that COL7A1 may have a role in cancer aggressiveness. To conclude, we identified COL7A1 as a new prognosis marker that can stratify ccRCC patients.","citation-key":"kocaCOL7A1ExpressionImproves2023","container-title":"Cancers","DOI":"10.3390/cancers15102701","ISSN":"2072-6694","issue":"10","journalAbbreviation":"Cancers (Basel)","language":"eng","license":"http://creativecommons.org/licenses/by/3.0/","page":"2701","PMID":"37345040","PMCID":"PMC10216355","publisher":"Multidisciplinary Digital Publishing Institute","source":"PubMed","title":"COL7A1 expression improves prognosis prediction for patients with clear cell renal cell carcinoma atop of stage","volume":"15","author":[{"family":"Koca","given":"Dzenis"},{"family":"Séraudie","given":"Irinka"},{"family":"Jardillier","given":"Rémy"},{"family":"Cochet","given":"Claude"},{"family":"Filhol","given":"Odile"},{"family":"Guyon","given":"Laurent"}],"issued":{"date-parts":[["2023",5,10]]}}}],"schema":"https://github.com/citation-style-language/schema/raw/master/csl-citation.json"} </w:instrText>
      </w:r>
      <w:r w:rsidR="00D27C42">
        <w:fldChar w:fldCharType="separate"/>
      </w:r>
      <w:r w:rsidR="00164DE6" w:rsidRPr="00164DE6">
        <w:rPr>
          <w:vertAlign w:val="superscript"/>
        </w:rPr>
        <w:t>10</w:t>
      </w:r>
      <w:r w:rsidR="00D27C42">
        <w:fldChar w:fldCharType="end"/>
      </w:r>
      <w:r w:rsidRPr="00150AFE">
        <w:t>. ZIC2, a zinc finger transcription factor, promotes ccRCC proliferation, invasion, and metastasis via the FOXM1</w:t>
      </w:r>
      <w:r w:rsidR="00C734A8">
        <w:t xml:space="preserve"> </w:t>
      </w:r>
      <w:r w:rsidRPr="00150AFE">
        <w:t>/</w:t>
      </w:r>
      <w:r w:rsidR="00C734A8">
        <w:t xml:space="preserve"> </w:t>
      </w:r>
      <w:r w:rsidRPr="00150AFE">
        <w:t>ZIC2</w:t>
      </w:r>
      <w:r w:rsidR="00C734A8">
        <w:t xml:space="preserve"> </w:t>
      </w:r>
      <w:r w:rsidRPr="00150AFE">
        <w:t>/</w:t>
      </w:r>
      <w:r w:rsidR="00C734A8">
        <w:t xml:space="preserve"> </w:t>
      </w:r>
      <w:r w:rsidRPr="00150AFE">
        <w:t>UBE2C</w:t>
      </w:r>
      <w:r w:rsidR="00C734A8">
        <w:t xml:space="preserve"> </w:t>
      </w:r>
      <w:r w:rsidRPr="00150AFE">
        <w:t>/</w:t>
      </w:r>
      <w:r w:rsidR="00C734A8">
        <w:t xml:space="preserve"> </w:t>
      </w:r>
      <w:r w:rsidRPr="00150AFE">
        <w:t>mTOR signalling axis</w:t>
      </w:r>
      <w:r w:rsidR="00D27C42">
        <w:fldChar w:fldCharType="begin"/>
      </w:r>
      <w:r w:rsidR="00164DE6">
        <w:instrText xml:space="preserve"> ADDIN ZOTERO_ITEM CSL_CITATION {"citationID":"k5vRYnDF","properties":{"unsorted":false,"formattedCitation":"\\super 11\\nosupersub{}","plainCitation":"11","noteIndex":0},"citationItems":[{"id":6222,"uris":["http://zotero.org/users/17607594/items/PJXCCNRU"],"itemData":{"id":6222,"type":"article-journal","abstract":"Background: As a transcription factor, Zic family member 2 (ZIC2) has been involved in more and more studies of tumorigenesis, which has been proved by our research team to be an effective prognostic marker for Pan-cancer. However, the prognosis, tumor promoting effect and regulatory mechanism of ZIC2 in clear cell renal cell carcinoma (ccRCC) are still unknown. Methods: The potential clinical significance of ZIC2 was evaluated by bioinformatics analysis using data from TCGA, GEO, and ArrayExpress data sets. WB and IHC were used to detect ZIC2 expression in tumors and adjacent tissues. CCK-8, EdU, colony formation, cell cycle, wound healing, transwell, subcutaneous xenograft, and lung metastasis models were used to detect the biological function of ZIC2. The regulatory mechanism of ZIC2 was confirmed by data of RNA-seq, ATAC-seq, MS-PCR, Chip-PCR, and luciferase reporter experiments. Results: ZIC2 was markedly upregulated and correlated with poor clinicopathological features in ccRCC. Knockdown of ZIC2 resulted in reduced cell proliferation, invasion, migration, induction of G2/M phase arrest, and reduced tumor formation and lung metastasis in nude mice. The opposite was observed after overexpression. Mechanistically, the high expression of ZIC2 is regulated by hypomethylation and high H3K4Me3 in the promoter region, as well as positive transcriptional regulation by FOXM1. And then, ZIC2 transcriptase-positively regulates UBE2C and activates AKT/mTOR signaling pathway to promote tumor malignant progression. Conclusion: This study reveals that FOXM1-ZIC2-UBE2C-mTOR signaling axis promotes the progression of ccRCC, which can be used as a prognostic indicator and potential therapeutic target.","citation-key":"lvFOXM1regulatedZIC2Promotes2023","container-title":"International Journal of Biological Sciences","DOI":"10.7150/ijbs.84067","ISSN":"1449-2288","issue":"11","journalAbbreviation":"Int J Biol Sci","language":"eng","page":"3293-3306","PMID":"37496990","PMCID":"PMC10367559","publisher":"Ivyspring International Publisher","source":"PubMed","title":"FOXM1-regulated ZIC2 promotes the malignant phenotype of renal clear cell carcinoma by activating UBE2C/mTOR signaling pathway","volume":"19","author":[{"family":"Lv","given":"Zhengtong"},{"family":"Wang","given":"Miao"},{"family":"Hou","given":"Huimin"},{"family":"Tang","given":"Guyu"},{"family":"Xu","given":"Haozhe"},{"family":"Wang","given":"Xuan"},{"family":"Li","given":"Yuan"},{"family":"Wang","given":"Jianye"},{"family":"Liu","given":"Ming"}],"issued":{"date-parts":[["2023",6,26]]}}}],"schema":"https://github.com/citation-style-language/schema/raw/master/csl-citation.json"} </w:instrText>
      </w:r>
      <w:r w:rsidR="00D27C42">
        <w:fldChar w:fldCharType="separate"/>
      </w:r>
      <w:r w:rsidR="00164DE6" w:rsidRPr="00164DE6">
        <w:rPr>
          <w:vertAlign w:val="superscript"/>
        </w:rPr>
        <w:t>11</w:t>
      </w:r>
      <w:r w:rsidR="00D27C42">
        <w:fldChar w:fldCharType="end"/>
      </w:r>
      <w:r w:rsidRPr="00150AFE">
        <w:t>. Notably, both genes connect back to the curated pathway biology - COL7A1 to ECM remodelling and ZIC2 to the mTOR/kinase signalling programme - suggesting the data-driven screen independently rediscovered the most prognostically informative individual gene representatives of the curated biological hypotheses.</w:t>
      </w:r>
    </w:p>
    <w:p w14:paraId="04E5C709" w14:textId="5B2CCC62" w:rsidR="00B82FDC" w:rsidRPr="00150AFE" w:rsidRDefault="00B82FDC" w:rsidP="00D27C42">
      <w:pPr>
        <w:pStyle w:val="Heading3"/>
      </w:pPr>
      <w:r w:rsidRPr="00150AFE">
        <w:t>2.5 Copy Number Alteration Features</w:t>
      </w:r>
    </w:p>
    <w:p w14:paraId="7C7993DF" w14:textId="10C61E5E" w:rsidR="00B82FDC" w:rsidRPr="00150AFE" w:rsidRDefault="00B82FDC" w:rsidP="00B82FDC">
      <w:r w:rsidRPr="00150AFE">
        <w:t xml:space="preserve">CNA data were available for 510 samples across 25,128 genes. Focal copy number events (deep deletions, GISTIC score −2; high-level amplifications, GISTIC score +2) were extracted for nine curated ccRCC driver genes (VHL, PBRM1, BAP1, SETD2, KDM5C, MTOR, PTEN, TSC1, TSC2). </w:t>
      </w:r>
      <w:r w:rsidR="00C416FC" w:rsidRPr="00C416FC">
        <w:t>Four low-prevalence focal deletion events (PBRM1, SETD2, BAP1, VHL) were retained following prevalence filtering</w:t>
      </w:r>
      <w:r w:rsidRPr="00150AFE">
        <w:t>.</w:t>
      </w:r>
    </w:p>
    <w:p w14:paraId="083FA032" w14:textId="539F54B9" w:rsidR="00B82FDC" w:rsidRPr="00150AFE" w:rsidRDefault="00B82FDC" w:rsidP="00D27C42">
      <w:pPr>
        <w:pStyle w:val="Heading3"/>
      </w:pPr>
      <w:r w:rsidRPr="00150AFE">
        <w:t>2.6 Multi-Omics Model Comparison</w:t>
      </w:r>
    </w:p>
    <w:p w14:paraId="46F20E6D" w14:textId="31B0CFB3" w:rsidR="00B82FDC" w:rsidRPr="00150AFE" w:rsidRDefault="00B82FDC" w:rsidP="00B82FDC">
      <w:r w:rsidRPr="00150AFE">
        <w:t xml:space="preserve">Six survival models were compared by stratified 5-fold cross-validation, evaluating true out-of-fold Harrell's C-index as the primary performance metric (Figure 7, Table 3). All models included the four selected clinical variables as a baseline; omics layers were added incrementally. </w:t>
      </w:r>
    </w:p>
    <w:p w14:paraId="0EB17D66" w14:textId="77777777" w:rsidR="00C734A8" w:rsidRDefault="00C734A8" w:rsidP="00C734A8">
      <w:pPr>
        <w:keepNext/>
        <w:jc w:val="center"/>
      </w:pPr>
      <w:r w:rsidRPr="00C734A8">
        <w:lastRenderedPageBreak/>
        <w:drawing>
          <wp:inline distT="0" distB="0" distL="0" distR="0" wp14:anchorId="5CEAC62E" wp14:editId="3362AE3F">
            <wp:extent cx="5314950" cy="3456782"/>
            <wp:effectExtent l="0" t="0" r="0" b="0"/>
            <wp:docPr id="13437481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23300" cy="3462213"/>
                    </a:xfrm>
                    <a:prstGeom prst="rect">
                      <a:avLst/>
                    </a:prstGeom>
                    <a:noFill/>
                    <a:ln>
                      <a:noFill/>
                    </a:ln>
                  </pic:spPr>
                </pic:pic>
              </a:graphicData>
            </a:graphic>
          </wp:inline>
        </w:drawing>
      </w:r>
    </w:p>
    <w:p w14:paraId="45090D70" w14:textId="48895C39" w:rsidR="008A35C5" w:rsidRPr="008A35C5" w:rsidRDefault="00C734A8" w:rsidP="008A35C5">
      <w:pPr>
        <w:pStyle w:val="Caption"/>
      </w:pPr>
      <w:r w:rsidRPr="008A35C5">
        <w:rPr>
          <w:b/>
          <w:bCs/>
        </w:rPr>
        <w:t xml:space="preserve">Figure </w:t>
      </w:r>
      <w:r w:rsidRPr="008A35C5">
        <w:rPr>
          <w:b/>
          <w:bCs/>
        </w:rPr>
        <w:fldChar w:fldCharType="begin"/>
      </w:r>
      <w:r w:rsidRPr="008A35C5">
        <w:rPr>
          <w:b/>
          <w:bCs/>
        </w:rPr>
        <w:instrText xml:space="preserve"> SEQ Figure \* ARABIC </w:instrText>
      </w:r>
      <w:r w:rsidRPr="008A35C5">
        <w:rPr>
          <w:b/>
          <w:bCs/>
        </w:rPr>
        <w:fldChar w:fldCharType="separate"/>
      </w:r>
      <w:r w:rsidR="00417F53" w:rsidRPr="008A35C5">
        <w:rPr>
          <w:b/>
          <w:bCs/>
          <w:noProof/>
        </w:rPr>
        <w:t>7</w:t>
      </w:r>
      <w:r w:rsidRPr="008A35C5">
        <w:rPr>
          <w:b/>
          <w:bCs/>
        </w:rPr>
        <w:fldChar w:fldCharType="end"/>
      </w:r>
      <w:r w:rsidRPr="008A35C5">
        <w:rPr>
          <w:b/>
          <w:bCs/>
        </w:rPr>
        <w:t xml:space="preserve">. </w:t>
      </w:r>
      <w:r w:rsidR="002C44B4" w:rsidRPr="002C44B4">
        <w:rPr>
          <w:b/>
          <w:bCs/>
        </w:rPr>
        <w:t>Cross-validated model performance comparison</w:t>
      </w:r>
      <w:r w:rsidR="008A35C5">
        <w:rPr>
          <w:b/>
          <w:bCs/>
        </w:rPr>
        <w:t>.</w:t>
      </w:r>
      <w:r w:rsidR="008A35C5">
        <w:rPr>
          <w:b/>
          <w:bCs/>
        </w:rPr>
        <w:br/>
      </w:r>
      <w:r w:rsidR="00DC67B9" w:rsidRPr="00DC67B9">
        <w:t xml:space="preserve">Out-of-fold Harrell's C-index scores and 95% confidence intervals across six survival model configurations evaluated via stratified 5-fold cross-validation. The vertical </w:t>
      </w:r>
      <w:proofErr w:type="spellStart"/>
      <w:r w:rsidR="00DC67B9" w:rsidRPr="00DC67B9">
        <w:t>gray</w:t>
      </w:r>
      <w:proofErr w:type="spellEnd"/>
      <w:r w:rsidR="00DC67B9" w:rsidRPr="00DC67B9">
        <w:t xml:space="preserve"> line defines the clinical baseline (C = 0.768). The supervised data-driven RNA score (red point) achieved peak predictive performance (C = 0.789).</w:t>
      </w:r>
    </w:p>
    <w:p w14:paraId="4F204E5A" w14:textId="075568CB" w:rsidR="00B82FDC" w:rsidRPr="008A35C5" w:rsidRDefault="00B82FDC" w:rsidP="00C734A8">
      <w:pPr>
        <w:pStyle w:val="Caption"/>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1536"/>
        <w:gridCol w:w="2254"/>
        <w:gridCol w:w="2254"/>
      </w:tblGrid>
      <w:tr w:rsidR="00C734A8" w14:paraId="69D76A2A" w14:textId="77777777" w:rsidTr="008A35C5">
        <w:tc>
          <w:tcPr>
            <w:tcW w:w="2972" w:type="dxa"/>
            <w:tcBorders>
              <w:bottom w:val="single" w:sz="4" w:space="0" w:color="auto"/>
            </w:tcBorders>
          </w:tcPr>
          <w:p w14:paraId="173B3786" w14:textId="2E1F4953" w:rsidR="00C734A8" w:rsidRPr="00C734A8" w:rsidRDefault="00C734A8" w:rsidP="00C734A8">
            <w:pPr>
              <w:keepNext/>
              <w:spacing w:after="0"/>
              <w:rPr>
                <w:b/>
                <w:bCs/>
              </w:rPr>
            </w:pPr>
            <w:r w:rsidRPr="00C734A8">
              <w:rPr>
                <w:b/>
                <w:bCs/>
              </w:rPr>
              <w:t xml:space="preserve">Model                   </w:t>
            </w:r>
          </w:p>
        </w:tc>
        <w:tc>
          <w:tcPr>
            <w:tcW w:w="1536" w:type="dxa"/>
            <w:tcBorders>
              <w:bottom w:val="single" w:sz="4" w:space="0" w:color="auto"/>
            </w:tcBorders>
          </w:tcPr>
          <w:p w14:paraId="55CDC2B4" w14:textId="5BBAF49A" w:rsidR="00C734A8" w:rsidRPr="00C734A8" w:rsidRDefault="00C734A8" w:rsidP="00417F53">
            <w:pPr>
              <w:keepNext/>
              <w:spacing w:after="0"/>
              <w:jc w:val="center"/>
              <w:rPr>
                <w:b/>
                <w:bCs/>
              </w:rPr>
            </w:pPr>
            <w:r w:rsidRPr="00C734A8">
              <w:rPr>
                <w:b/>
                <w:bCs/>
              </w:rPr>
              <w:t>CV C-index</w:t>
            </w:r>
          </w:p>
        </w:tc>
        <w:tc>
          <w:tcPr>
            <w:tcW w:w="2254" w:type="dxa"/>
            <w:tcBorders>
              <w:bottom w:val="single" w:sz="4" w:space="0" w:color="auto"/>
            </w:tcBorders>
          </w:tcPr>
          <w:p w14:paraId="51B367FA" w14:textId="054585A7" w:rsidR="00C734A8" w:rsidRPr="00C734A8" w:rsidRDefault="00C734A8" w:rsidP="00417F53">
            <w:pPr>
              <w:keepNext/>
              <w:spacing w:after="0"/>
              <w:jc w:val="center"/>
              <w:rPr>
                <w:b/>
                <w:bCs/>
              </w:rPr>
            </w:pPr>
            <w:r w:rsidRPr="00C734A8">
              <w:rPr>
                <w:b/>
                <w:bCs/>
              </w:rPr>
              <w:t>95% CI</w:t>
            </w:r>
          </w:p>
        </w:tc>
        <w:tc>
          <w:tcPr>
            <w:tcW w:w="2254" w:type="dxa"/>
            <w:tcBorders>
              <w:bottom w:val="single" w:sz="4" w:space="0" w:color="auto"/>
            </w:tcBorders>
          </w:tcPr>
          <w:p w14:paraId="6AA8D3EF" w14:textId="6CF213F5" w:rsidR="00C734A8" w:rsidRPr="00C734A8" w:rsidRDefault="00C734A8" w:rsidP="00417F53">
            <w:pPr>
              <w:keepNext/>
              <w:spacing w:after="0"/>
              <w:jc w:val="center"/>
              <w:rPr>
                <w:b/>
                <w:bCs/>
              </w:rPr>
            </w:pPr>
            <w:r w:rsidRPr="00C734A8">
              <w:rPr>
                <w:b/>
                <w:bCs/>
              </w:rPr>
              <w:t>Increment vs Clinical</w:t>
            </w:r>
            <w:r w:rsidRPr="00C734A8">
              <w:rPr>
                <w:b/>
                <w:bCs/>
              </w:rPr>
              <w:t>-only</w:t>
            </w:r>
          </w:p>
        </w:tc>
      </w:tr>
      <w:tr w:rsidR="00C734A8" w14:paraId="1FD6F4CD" w14:textId="77777777" w:rsidTr="008A35C5">
        <w:tc>
          <w:tcPr>
            <w:tcW w:w="2972" w:type="dxa"/>
            <w:tcBorders>
              <w:top w:val="single" w:sz="4" w:space="0" w:color="auto"/>
            </w:tcBorders>
          </w:tcPr>
          <w:p w14:paraId="0810AE25" w14:textId="14A05869" w:rsidR="00C734A8" w:rsidRDefault="00C734A8" w:rsidP="00C734A8">
            <w:pPr>
              <w:keepNext/>
              <w:spacing w:after="0"/>
            </w:pPr>
            <w:r w:rsidRPr="00150AFE">
              <w:t xml:space="preserve">RNA Data-Driven Score   </w:t>
            </w:r>
          </w:p>
        </w:tc>
        <w:tc>
          <w:tcPr>
            <w:tcW w:w="1536" w:type="dxa"/>
            <w:tcBorders>
              <w:top w:val="single" w:sz="4" w:space="0" w:color="auto"/>
            </w:tcBorders>
          </w:tcPr>
          <w:p w14:paraId="02F56F9A" w14:textId="57251183" w:rsidR="00C734A8" w:rsidRDefault="00C734A8" w:rsidP="00417F53">
            <w:pPr>
              <w:keepNext/>
              <w:spacing w:after="0"/>
              <w:jc w:val="center"/>
            </w:pPr>
            <w:r w:rsidRPr="00150AFE">
              <w:t>0.789</w:t>
            </w:r>
          </w:p>
        </w:tc>
        <w:tc>
          <w:tcPr>
            <w:tcW w:w="2254" w:type="dxa"/>
            <w:tcBorders>
              <w:top w:val="single" w:sz="4" w:space="0" w:color="auto"/>
            </w:tcBorders>
          </w:tcPr>
          <w:p w14:paraId="1CC7163A" w14:textId="47CEA121" w:rsidR="00C734A8" w:rsidRDefault="00C734A8" w:rsidP="00417F53">
            <w:pPr>
              <w:keepNext/>
              <w:spacing w:after="0"/>
              <w:jc w:val="center"/>
            </w:pPr>
            <w:r w:rsidRPr="00150AFE">
              <w:t>0.757–0.822</w:t>
            </w:r>
          </w:p>
        </w:tc>
        <w:tc>
          <w:tcPr>
            <w:tcW w:w="2254" w:type="dxa"/>
            <w:tcBorders>
              <w:top w:val="single" w:sz="4" w:space="0" w:color="auto"/>
            </w:tcBorders>
          </w:tcPr>
          <w:p w14:paraId="1CAC7A27" w14:textId="441DB11F" w:rsidR="00C734A8" w:rsidRDefault="00C734A8" w:rsidP="00417F53">
            <w:pPr>
              <w:keepNext/>
              <w:spacing w:after="0"/>
              <w:jc w:val="center"/>
            </w:pPr>
            <w:r w:rsidRPr="00150AFE">
              <w:t>+0.021</w:t>
            </w:r>
          </w:p>
        </w:tc>
      </w:tr>
      <w:tr w:rsidR="00C734A8" w14:paraId="10A114DA" w14:textId="77777777" w:rsidTr="008A35C5">
        <w:tc>
          <w:tcPr>
            <w:tcW w:w="2972" w:type="dxa"/>
          </w:tcPr>
          <w:p w14:paraId="147A0CA8" w14:textId="3BD517DE" w:rsidR="00C734A8" w:rsidRDefault="00417F53" w:rsidP="00C734A8">
            <w:pPr>
              <w:keepNext/>
              <w:spacing w:after="0"/>
            </w:pPr>
            <w:r w:rsidRPr="00150AFE">
              <w:t xml:space="preserve">RPPA Proteomics         </w:t>
            </w:r>
          </w:p>
        </w:tc>
        <w:tc>
          <w:tcPr>
            <w:tcW w:w="1536" w:type="dxa"/>
          </w:tcPr>
          <w:p w14:paraId="294434A4" w14:textId="3B9C5723" w:rsidR="00C734A8" w:rsidRDefault="00417F53" w:rsidP="00417F53">
            <w:pPr>
              <w:keepNext/>
              <w:spacing w:after="0"/>
              <w:jc w:val="center"/>
            </w:pPr>
            <w:r w:rsidRPr="00150AFE">
              <w:t>0.784</w:t>
            </w:r>
          </w:p>
        </w:tc>
        <w:tc>
          <w:tcPr>
            <w:tcW w:w="2254" w:type="dxa"/>
          </w:tcPr>
          <w:p w14:paraId="38A4467A" w14:textId="3D2818B5" w:rsidR="00C734A8" w:rsidRDefault="00417F53" w:rsidP="00417F53">
            <w:pPr>
              <w:keepNext/>
              <w:spacing w:after="0"/>
              <w:jc w:val="center"/>
            </w:pPr>
            <w:r w:rsidRPr="00150AFE">
              <w:t>0.747–0.820</w:t>
            </w:r>
          </w:p>
        </w:tc>
        <w:tc>
          <w:tcPr>
            <w:tcW w:w="2254" w:type="dxa"/>
          </w:tcPr>
          <w:p w14:paraId="11309A6D" w14:textId="77C7A96F" w:rsidR="00C734A8" w:rsidRDefault="00417F53" w:rsidP="00417F53">
            <w:pPr>
              <w:keepNext/>
              <w:spacing w:after="0"/>
              <w:jc w:val="center"/>
            </w:pPr>
            <w:r w:rsidRPr="00150AFE">
              <w:t>+0.016</w:t>
            </w:r>
          </w:p>
        </w:tc>
      </w:tr>
      <w:tr w:rsidR="00417F53" w14:paraId="1EFE29C2" w14:textId="77777777" w:rsidTr="008A35C5">
        <w:tc>
          <w:tcPr>
            <w:tcW w:w="2972" w:type="dxa"/>
          </w:tcPr>
          <w:p w14:paraId="56FC7F4C" w14:textId="289AA8A9" w:rsidR="00417F53" w:rsidRPr="00150AFE" w:rsidRDefault="00417F53" w:rsidP="00C734A8">
            <w:pPr>
              <w:keepNext/>
              <w:spacing w:after="0"/>
            </w:pPr>
            <w:r w:rsidRPr="00150AFE">
              <w:t xml:space="preserve">Integrated </w:t>
            </w:r>
            <w:proofErr w:type="gramStart"/>
            <w:r w:rsidRPr="00150AFE">
              <w:t>Multi-Omics</w:t>
            </w:r>
            <w:proofErr w:type="gramEnd"/>
            <w:r w:rsidRPr="00150AFE">
              <w:t xml:space="preserve">  </w:t>
            </w:r>
          </w:p>
        </w:tc>
        <w:tc>
          <w:tcPr>
            <w:tcW w:w="1536" w:type="dxa"/>
          </w:tcPr>
          <w:p w14:paraId="2FAC73A2" w14:textId="792D2100" w:rsidR="00417F53" w:rsidRPr="00150AFE" w:rsidRDefault="00417F53" w:rsidP="00417F53">
            <w:pPr>
              <w:keepNext/>
              <w:spacing w:after="0"/>
              <w:jc w:val="center"/>
            </w:pPr>
            <w:r w:rsidRPr="00150AFE">
              <w:t>0.</w:t>
            </w:r>
            <w:r>
              <w:t>774</w:t>
            </w:r>
          </w:p>
        </w:tc>
        <w:tc>
          <w:tcPr>
            <w:tcW w:w="2254" w:type="dxa"/>
          </w:tcPr>
          <w:p w14:paraId="05DCCC58" w14:textId="32AD25F0" w:rsidR="00417F53" w:rsidRPr="00150AFE" w:rsidRDefault="00417F53" w:rsidP="00417F53">
            <w:pPr>
              <w:keepNext/>
              <w:spacing w:after="0"/>
              <w:jc w:val="center"/>
            </w:pPr>
            <w:r w:rsidRPr="00150AFE">
              <w:t>0.738–0.811</w:t>
            </w:r>
          </w:p>
        </w:tc>
        <w:tc>
          <w:tcPr>
            <w:tcW w:w="2254" w:type="dxa"/>
          </w:tcPr>
          <w:p w14:paraId="0298122E" w14:textId="5C56BD0D" w:rsidR="00417F53" w:rsidRPr="00150AFE" w:rsidRDefault="00417F53" w:rsidP="00417F53">
            <w:pPr>
              <w:keepNext/>
              <w:spacing w:after="0"/>
              <w:jc w:val="center"/>
            </w:pPr>
            <w:r w:rsidRPr="00150AFE">
              <w:t xml:space="preserve">+0.006                </w:t>
            </w:r>
          </w:p>
        </w:tc>
      </w:tr>
      <w:tr w:rsidR="00417F53" w14:paraId="21396F3F" w14:textId="77777777" w:rsidTr="008A35C5">
        <w:tc>
          <w:tcPr>
            <w:tcW w:w="2972" w:type="dxa"/>
          </w:tcPr>
          <w:p w14:paraId="1794B00D" w14:textId="6398032B" w:rsidR="00417F53" w:rsidRPr="00150AFE" w:rsidRDefault="00417F53" w:rsidP="00C734A8">
            <w:pPr>
              <w:keepNext/>
              <w:spacing w:after="0"/>
            </w:pPr>
            <w:r w:rsidRPr="00150AFE">
              <w:t xml:space="preserve">RNA Pathway Signatures  </w:t>
            </w:r>
          </w:p>
        </w:tc>
        <w:tc>
          <w:tcPr>
            <w:tcW w:w="1536" w:type="dxa"/>
          </w:tcPr>
          <w:p w14:paraId="3E32B286" w14:textId="39EDCC8E" w:rsidR="00417F53" w:rsidRPr="00150AFE" w:rsidRDefault="00417F53" w:rsidP="00417F53">
            <w:pPr>
              <w:keepNext/>
              <w:spacing w:after="0"/>
              <w:jc w:val="center"/>
            </w:pPr>
            <w:r w:rsidRPr="00150AFE">
              <w:t xml:space="preserve">0.772      </w:t>
            </w:r>
          </w:p>
        </w:tc>
        <w:tc>
          <w:tcPr>
            <w:tcW w:w="2254" w:type="dxa"/>
          </w:tcPr>
          <w:p w14:paraId="39F78351" w14:textId="594F4F26" w:rsidR="00417F53" w:rsidRPr="00150AFE" w:rsidRDefault="00417F53" w:rsidP="00417F53">
            <w:pPr>
              <w:keepNext/>
              <w:spacing w:after="0"/>
              <w:jc w:val="center"/>
            </w:pPr>
            <w:r w:rsidRPr="00150AFE">
              <w:t>0.737–0.808</w:t>
            </w:r>
          </w:p>
        </w:tc>
        <w:tc>
          <w:tcPr>
            <w:tcW w:w="2254" w:type="dxa"/>
          </w:tcPr>
          <w:p w14:paraId="67757C96" w14:textId="53EF27CD" w:rsidR="00417F53" w:rsidRPr="00150AFE" w:rsidRDefault="00417F53" w:rsidP="00417F53">
            <w:pPr>
              <w:keepNext/>
              <w:spacing w:after="0"/>
              <w:jc w:val="center"/>
            </w:pPr>
            <w:r w:rsidRPr="00150AFE">
              <w:t xml:space="preserve">+0.004                </w:t>
            </w:r>
          </w:p>
        </w:tc>
      </w:tr>
      <w:tr w:rsidR="00417F53" w14:paraId="187C9215" w14:textId="77777777" w:rsidTr="008A35C5">
        <w:tc>
          <w:tcPr>
            <w:tcW w:w="2972" w:type="dxa"/>
          </w:tcPr>
          <w:p w14:paraId="336D74D1" w14:textId="7FF55797" w:rsidR="00417F53" w:rsidRPr="00150AFE" w:rsidRDefault="00417F53" w:rsidP="00C734A8">
            <w:pPr>
              <w:keepNext/>
              <w:spacing w:after="0"/>
            </w:pPr>
            <w:r w:rsidRPr="00150AFE">
              <w:t xml:space="preserve">Clinical Baseline       </w:t>
            </w:r>
          </w:p>
        </w:tc>
        <w:tc>
          <w:tcPr>
            <w:tcW w:w="1536" w:type="dxa"/>
          </w:tcPr>
          <w:p w14:paraId="092740DC" w14:textId="624DBC1D" w:rsidR="00417F53" w:rsidRPr="00150AFE" w:rsidRDefault="00417F53" w:rsidP="00417F53">
            <w:pPr>
              <w:keepNext/>
              <w:spacing w:after="0"/>
              <w:jc w:val="center"/>
            </w:pPr>
            <w:r w:rsidRPr="00150AFE">
              <w:t xml:space="preserve">0.768      </w:t>
            </w:r>
          </w:p>
        </w:tc>
        <w:tc>
          <w:tcPr>
            <w:tcW w:w="2254" w:type="dxa"/>
          </w:tcPr>
          <w:p w14:paraId="41EFDD9C" w14:textId="524570B4" w:rsidR="00417F53" w:rsidRPr="00150AFE" w:rsidRDefault="00417F53" w:rsidP="00417F53">
            <w:pPr>
              <w:keepNext/>
              <w:spacing w:after="0"/>
              <w:jc w:val="center"/>
            </w:pPr>
            <w:r w:rsidRPr="00150AFE">
              <w:t>0.731–0.804</w:t>
            </w:r>
          </w:p>
        </w:tc>
        <w:tc>
          <w:tcPr>
            <w:tcW w:w="2254" w:type="dxa"/>
          </w:tcPr>
          <w:p w14:paraId="2A159186" w14:textId="0303C4C8" w:rsidR="00417F53" w:rsidRPr="00150AFE" w:rsidRDefault="00417F53" w:rsidP="00417F53">
            <w:pPr>
              <w:keepNext/>
              <w:spacing w:after="0"/>
              <w:jc w:val="center"/>
            </w:pPr>
            <w:r w:rsidRPr="00150AFE">
              <w:t>—</w:t>
            </w:r>
          </w:p>
        </w:tc>
      </w:tr>
      <w:tr w:rsidR="00417F53" w14:paraId="0D01D165" w14:textId="77777777" w:rsidTr="008A35C5">
        <w:tc>
          <w:tcPr>
            <w:tcW w:w="2972" w:type="dxa"/>
          </w:tcPr>
          <w:p w14:paraId="510E1D41" w14:textId="4A7454A5" w:rsidR="00417F53" w:rsidRPr="00150AFE" w:rsidRDefault="00417F53" w:rsidP="00C734A8">
            <w:pPr>
              <w:keepNext/>
              <w:spacing w:after="0"/>
            </w:pPr>
            <w:r w:rsidRPr="00150AFE">
              <w:t>Copy Number Alterations</w:t>
            </w:r>
          </w:p>
        </w:tc>
        <w:tc>
          <w:tcPr>
            <w:tcW w:w="1536" w:type="dxa"/>
          </w:tcPr>
          <w:p w14:paraId="25853968" w14:textId="4E6A687D" w:rsidR="00417F53" w:rsidRPr="00150AFE" w:rsidRDefault="00417F53" w:rsidP="00417F53">
            <w:pPr>
              <w:keepNext/>
              <w:spacing w:after="0"/>
              <w:jc w:val="center"/>
            </w:pPr>
            <w:r w:rsidRPr="00150AFE">
              <w:t xml:space="preserve">0.767      </w:t>
            </w:r>
          </w:p>
        </w:tc>
        <w:tc>
          <w:tcPr>
            <w:tcW w:w="2254" w:type="dxa"/>
          </w:tcPr>
          <w:p w14:paraId="02F808C0" w14:textId="4608AB12" w:rsidR="00417F53" w:rsidRPr="00150AFE" w:rsidRDefault="00417F53" w:rsidP="00417F53">
            <w:pPr>
              <w:keepNext/>
              <w:spacing w:after="0"/>
              <w:jc w:val="center"/>
            </w:pPr>
            <w:r w:rsidRPr="00150AFE">
              <w:t>0.730–0.804</w:t>
            </w:r>
          </w:p>
        </w:tc>
        <w:tc>
          <w:tcPr>
            <w:tcW w:w="2254" w:type="dxa"/>
          </w:tcPr>
          <w:p w14:paraId="0074698C" w14:textId="1FCC7DE2" w:rsidR="00417F53" w:rsidRPr="00150AFE" w:rsidRDefault="00417F53" w:rsidP="00417F53">
            <w:pPr>
              <w:keepNext/>
              <w:spacing w:after="0"/>
              <w:jc w:val="center"/>
            </w:pPr>
            <w:r w:rsidRPr="00150AFE">
              <w:t xml:space="preserve">−0.001                </w:t>
            </w:r>
          </w:p>
        </w:tc>
      </w:tr>
    </w:tbl>
    <w:p w14:paraId="0AB9FACE" w14:textId="4FEFA2B4" w:rsidR="00B82FDC" w:rsidRPr="000B7451" w:rsidRDefault="00417F53" w:rsidP="00417F53">
      <w:pPr>
        <w:pStyle w:val="Caption"/>
        <w:rPr>
          <w:b/>
          <w:bCs/>
        </w:rPr>
      </w:pPr>
      <w:r w:rsidRPr="000B7451">
        <w:rPr>
          <w:b/>
          <w:bCs/>
        </w:rPr>
        <w:t xml:space="preserve">Table </w:t>
      </w:r>
      <w:r w:rsidRPr="000B7451">
        <w:rPr>
          <w:b/>
          <w:bCs/>
        </w:rPr>
        <w:fldChar w:fldCharType="begin"/>
      </w:r>
      <w:r w:rsidRPr="000B7451">
        <w:rPr>
          <w:b/>
          <w:bCs/>
        </w:rPr>
        <w:instrText xml:space="preserve"> SEQ Table \* ARABIC </w:instrText>
      </w:r>
      <w:r w:rsidRPr="000B7451">
        <w:rPr>
          <w:b/>
          <w:bCs/>
        </w:rPr>
        <w:fldChar w:fldCharType="separate"/>
      </w:r>
      <w:r w:rsidRPr="000B7451">
        <w:rPr>
          <w:b/>
          <w:bCs/>
          <w:noProof/>
        </w:rPr>
        <w:t>3</w:t>
      </w:r>
      <w:r w:rsidRPr="000B7451">
        <w:rPr>
          <w:b/>
          <w:bCs/>
        </w:rPr>
        <w:fldChar w:fldCharType="end"/>
      </w:r>
      <w:r w:rsidRPr="000B7451">
        <w:rPr>
          <w:b/>
          <w:bCs/>
        </w:rPr>
        <w:t xml:space="preserve">. </w:t>
      </w:r>
      <w:r w:rsidR="00DC67B9" w:rsidRPr="00DC67B9">
        <w:rPr>
          <w:b/>
          <w:bCs/>
        </w:rPr>
        <w:t>Cross-validated performance and incremental metrics against clinical baseline</w:t>
      </w:r>
      <w:r w:rsidR="000B7451" w:rsidRPr="000B7451">
        <w:rPr>
          <w:b/>
          <w:bCs/>
        </w:rPr>
        <w:t>.</w:t>
      </w:r>
      <w:r w:rsidR="000B7451" w:rsidRPr="000B7451">
        <w:rPr>
          <w:b/>
          <w:bCs/>
        </w:rPr>
        <w:br/>
      </w:r>
      <w:r w:rsidR="00DC67B9" w:rsidRPr="00DC67B9">
        <w:t>Summary of out-of-fold Harrell's C-index values, 95% confidence intervals, and incremental performance gains (∆C) relative to the clinical baseline across the six evaluated survival models</w:t>
      </w:r>
      <w:r w:rsidR="000B7451" w:rsidRPr="000B7451">
        <w:t>.</w:t>
      </w:r>
    </w:p>
    <w:p w14:paraId="13B93B71" w14:textId="6C6577E6" w:rsidR="00B82FDC" w:rsidRPr="00150AFE" w:rsidRDefault="00B82FDC" w:rsidP="00B82FDC">
      <w:r w:rsidRPr="00150AFE">
        <w:t xml:space="preserve">The unbiased data-driven transcriptomic score was the single best-performing model (C-index = 0.789), adding 0.021 over the clinical baseline. RPPA proteomics was the second strongest individual layer (C-index = 0.784, +0.016). Curated RNA pathway signatures added a modest </w:t>
      </w:r>
      <w:r w:rsidRPr="00150AFE">
        <w:lastRenderedPageBreak/>
        <w:t>but positive increment (+0.004). CNA features did not improve upon the clinical baseline, consistent with the very low focal alteration prevalence in this cohort. Notably, the fully integrated model (C-index = 0.774) underperformed both the data-driven RNA score and the RPPA model individually, suggesting that incorporating noisier layers dilutes the strongest signals rather than compounding them. This finding is consistent with the literature on multi-omics model saturation</w:t>
      </w:r>
      <w:r w:rsidR="00D27C42">
        <w:fldChar w:fldCharType="begin"/>
      </w:r>
      <w:r w:rsidR="00164DE6">
        <w:instrText xml:space="preserve"> ADDIN ZOTERO_ITEM CSL_CITATION {"citationID":"YAPxI3oR","properties":{"unsorted":false,"formattedCitation":"\\super 12,13\\nosupersub{}","plainCitation":"12,13","noteIndex":0},"citationItems":[{"id":6227,"uris":["http://zotero.org/users/17607594/items/5CE9ZVI2"],"itemData":{"id":6227,"type":"article-journal","abstract":"Multi-omics data, that is, datasets containing different types of high-dimensional molecular variables, are increasingly often generated for the investigation of various diseases. Nevertheless, questions remain regarding the usefulness of multi-omics data for the prediction of disease outcomes such as survival time. It is also unclear which methods are most appropriate to derive such prediction models. We aim to give some answers to these questions through a large-scale benchmark study using real data. Different prediction methods from machine learning and statistics were applied on 18 multi-omics cancer datasets (35 to 1000 observations, up to 100 000 variables) from the database 'The Cancer Genome Atlas' (TCGA). The considered outcome was the (censored) survival time. Eleven methods based on boosting, penalized regression and random forest were compared, comprising both methods that do and that do not take the group structure of the omics variables into account. The Kaplan-Meier estimate and a Cox model using only clinical variables were used as reference methods. The methods were compared using several repetitions of 5-fold cross-validation. Uno's C-index and the integrated Brier score served as performance metrics. The results indicate that methods taking into account the multi-omics structure have a slightly better prediction performance. Taking this structure into account can protect the predictive information in low-dimensional groups-especially clinical variables-from not being exploited during prediction. Moreover, only the block forest method outperformed the Cox model on average, and only slightly. This indicates, as a by-product of our study, that in the considered TCGA studies the utility of multi-omics data for prediction purposes was limited. Contact:moritz.herrmann@stat.uni-muenchen.de, +49 89 2180 3198 Supplementary information: Supplementary data are available at Briefings in Bioinformatics online. All analyses are reproducible using R code freely available on Github.","citation-key":"herrmannLargescaleBenchmarkStudy2021","container-title":"Briefings in Bioinformatics","DOI":"10.1093/bib/bbaa167","ISSN":"1477-4054","issue":"3","journalAbbreviation":"Brief Bioinform","language":"eng","page":"bbaa167","PMID":"32823283","PMCID":"PMC8138887","source":"PubMed","title":"Large-scale benchmark study of survival prediction methods using multi-omics data","volume":"22","author":[{"family":"Herrmann","given":"Moritz"},{"family":"Probst","given":"Philipp"},{"family":"Hornung","given":"Roman"},{"family":"Jurinovic","given":"Vindi"},{"family":"Boulesteix","given":"Anne-Laure"}],"issued":{"date-parts":[["2021",5,20]]}}},{"id":6233,"uris":["http://zotero.org/users/17607594/items/DEY8XQ9J"],"itemData":{"id":6233,"type":"article-journal","abstract":"BACKGROUND: Predictive modeling based on multi-omics data, which incorporates several types of omics data for the same patients, has shown potential to outperform single-omics predictive modeling. Most research in this domain focuses on incorporating numerous data types, despite the complexity and cost of acquiring them. The prevailing assumption is that increasing the number of data types necessarily improves predictive performance. However, the integration of less informative or redundant data types could potentially hinder this performance. Therefore, identifying the most effective combinations of omics data types that enhance predictive performance is critical for cost-effective and accurate predictions.\nMETHODS: In this study, we systematically evaluated the predictive performance of all 31 possible combinations including at least one of five genomic data types (mRNA, miRNA, methylation, DNAseq, and copy number variation) using 14 cancer datasets with right-censored survival outcomes, publicly available from the TCGA database. We employed various prediction methods and up-weighted clinical data in every model to leverage their predictive importance. Harrell's C-index and the integrated Brier Score were used as performance measures. To assess the robustness of our findings, we performed a bootstrap analysis at the level of the included datasets. Statistical testing was conducted for key results, limiting the number of tests to ensure a low risk of false positives.\nRESULTS: Contrary to expectations, we found that using only mRNA data or a combination of mRNA and miRNA data was sufficient for most cancer types. For some cancer types, the additional inclusion of methylation data led to improved prediction results. Far from enhancing performance, the introduction of more data types most often resulted in a decline in performance, which varied between the two performance measures.\nCONCLUSIONS: Our findings challenge the prevailing notion that combining multiple omics data types in multi-omics survival prediction improves predictive performance. Thus, the widespread approach in multi-omics prediction of incorporating as many data types as possible should be reconsidered to avoid suboptimal prediction results and unnecessary expenditure.","citation-key":"liDoesCombiningNumerous2024","container-title":"BMC Medical Informatics and Decision Making","DOI":"10.1186/s12911-024-02642-9","ISSN":"1472-6947","issue":"1","journalAbbreviation":"BMC Med Inform Decis Mak","language":"eng","page":"244","PMID":"39223659","PMCID":"PMC11370316","source":"PubMed","title":"Does combining numerous data types in multi-omics data improve or hinder performance in survival prediction? Insights from a large-scale benchmark study","title-short":"Does combining numerous data types in multi-omics data improve or hinder performance in survival prediction?","volume":"24","author":[{"family":"Li","given":"Yingxia"},{"family":"Herold","given":"Tobias"},{"family":"Mansmann","given":"Ulrich"},{"family":"Hornung","given":"Roman"}],"issued":{"date-parts":[["2024",9,2]]}}}],"schema":"https://github.com/citation-style-language/schema/raw/master/csl-citation.json"} </w:instrText>
      </w:r>
      <w:r w:rsidR="00D27C42">
        <w:fldChar w:fldCharType="separate"/>
      </w:r>
      <w:r w:rsidR="00164DE6" w:rsidRPr="00164DE6">
        <w:rPr>
          <w:vertAlign w:val="superscript"/>
        </w:rPr>
        <w:t>12,13</w:t>
      </w:r>
      <w:r w:rsidR="00D27C42">
        <w:fldChar w:fldCharType="end"/>
      </w:r>
      <w:r w:rsidRPr="00150AFE">
        <w:t>.</w:t>
      </w:r>
    </w:p>
    <w:p w14:paraId="1EEEE2B2" w14:textId="47DBEF4C" w:rsidR="00B82FDC" w:rsidRPr="00150AFE" w:rsidRDefault="00B82FDC" w:rsidP="00D27C42">
      <w:pPr>
        <w:pStyle w:val="Heading3"/>
      </w:pPr>
      <w:r w:rsidRPr="00150AFE">
        <w:t>2.7 Integrated Model Coefficients and Biological Interpretation</w:t>
      </w:r>
    </w:p>
    <w:p w14:paraId="1A05CF55" w14:textId="77777777" w:rsidR="00B82FDC" w:rsidRPr="00150AFE" w:rsidRDefault="00B82FDC" w:rsidP="00B82FDC">
      <w:r w:rsidRPr="00150AFE">
        <w:t>The final integrated model was fitted on the full complete-case cohort (n = 448) using clinical variables, RPPA proteins, and curated RNA pathway scores. CNA features were excluded from the integrated model due to near-complete separation arising from their very low prevalence, though CNA was retained as a standalone cross-validated comparison model. The full coefficient forest plot is presented in Figure 8.</w:t>
      </w:r>
    </w:p>
    <w:p w14:paraId="7C5F7035" w14:textId="77777777" w:rsidR="00417F53" w:rsidRDefault="00417F53" w:rsidP="00417F53">
      <w:pPr>
        <w:keepNext/>
      </w:pPr>
      <w:r>
        <w:rPr>
          <w:noProof/>
        </w:rPr>
        <w:lastRenderedPageBreak/>
        <w:drawing>
          <wp:inline distT="0" distB="0" distL="0" distR="0" wp14:anchorId="18483DE4" wp14:editId="78D9F1BD">
            <wp:extent cx="5727700" cy="4298950"/>
            <wp:effectExtent l="0" t="0" r="6350" b="6350"/>
            <wp:docPr id="9246753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4298950"/>
                    </a:xfrm>
                    <a:prstGeom prst="rect">
                      <a:avLst/>
                    </a:prstGeom>
                    <a:noFill/>
                    <a:ln>
                      <a:noFill/>
                    </a:ln>
                  </pic:spPr>
                </pic:pic>
              </a:graphicData>
            </a:graphic>
          </wp:inline>
        </w:drawing>
      </w:r>
    </w:p>
    <w:p w14:paraId="765E8BE2" w14:textId="66E747DE" w:rsidR="008A35C5" w:rsidRPr="008A35C5" w:rsidRDefault="00417F53" w:rsidP="008A35C5">
      <w:pPr>
        <w:pStyle w:val="Caption"/>
      </w:pPr>
      <w:r w:rsidRPr="008A35C5">
        <w:rPr>
          <w:b/>
          <w:bCs/>
        </w:rPr>
        <w:t xml:space="preserve">Figure </w:t>
      </w:r>
      <w:r w:rsidRPr="008A35C5">
        <w:rPr>
          <w:b/>
          <w:bCs/>
        </w:rPr>
        <w:fldChar w:fldCharType="begin"/>
      </w:r>
      <w:r w:rsidRPr="008A35C5">
        <w:rPr>
          <w:b/>
          <w:bCs/>
        </w:rPr>
        <w:instrText xml:space="preserve"> SEQ Figure \* ARABIC </w:instrText>
      </w:r>
      <w:r w:rsidRPr="008A35C5">
        <w:rPr>
          <w:b/>
          <w:bCs/>
        </w:rPr>
        <w:fldChar w:fldCharType="separate"/>
      </w:r>
      <w:r w:rsidRPr="008A35C5">
        <w:rPr>
          <w:b/>
          <w:bCs/>
          <w:noProof/>
        </w:rPr>
        <w:t>8</w:t>
      </w:r>
      <w:r w:rsidRPr="008A35C5">
        <w:rPr>
          <w:b/>
          <w:bCs/>
        </w:rPr>
        <w:fldChar w:fldCharType="end"/>
      </w:r>
      <w:r w:rsidRPr="008A35C5">
        <w:rPr>
          <w:b/>
          <w:bCs/>
        </w:rPr>
        <w:t xml:space="preserve">. </w:t>
      </w:r>
      <w:r w:rsidR="00DC67B9" w:rsidRPr="00DC67B9">
        <w:rPr>
          <w:b/>
          <w:bCs/>
        </w:rPr>
        <w:t>Multivariable hazard ratios for the integrated multi-omics model</w:t>
      </w:r>
      <w:r w:rsidR="008A35C5" w:rsidRPr="008A35C5">
        <w:rPr>
          <w:b/>
          <w:bCs/>
        </w:rPr>
        <w:t>.</w:t>
      </w:r>
      <w:r w:rsidR="008A35C5">
        <w:rPr>
          <w:b/>
          <w:bCs/>
        </w:rPr>
        <w:br/>
      </w:r>
      <w:r w:rsidR="00DC67B9" w:rsidRPr="00DC67B9">
        <w:t>Full-cohort Cox proportional hazards fit (n = 448) across clinical metadata, proteomic markers, and transcriptomic pathway scores. Points show hazard ratios (HR) and horizontal whiskers represent 95% confidence intervals on a log scale. Green indicates protective effects (HR &lt; 1) and red indicates increased risk (HR &gt; 1)</w:t>
      </w:r>
      <w:r w:rsidR="00DC67B9">
        <w:t>.</w:t>
      </w:r>
    </w:p>
    <w:p w14:paraId="003282CC" w14:textId="595B3603" w:rsidR="00B82FDC" w:rsidRPr="00150AFE" w:rsidRDefault="00B82FDC" w:rsidP="00B82FDC">
      <w:r w:rsidRPr="00D27C42">
        <w:rPr>
          <w:b/>
          <w:bCs/>
        </w:rPr>
        <w:t>Clinical variables.</w:t>
      </w:r>
      <w:r w:rsidRPr="00150AFE">
        <w:t xml:space="preserve"> Stage IV conferred the largest hazard in the model (HR = 4.32, 95% CI 2.61–7.17, p = 1.34 × 10</w:t>
      </w:r>
      <w:r w:rsidRPr="00150AFE">
        <w:rPr>
          <w:rFonts w:ascii="Cambria Math" w:hAnsi="Cambria Math" w:cs="Cambria Math"/>
        </w:rPr>
        <w:t>⁻</w:t>
      </w:r>
      <w:r w:rsidRPr="00150AFE">
        <w:t>⁸), consistent with the strong clinical dominance observed throughout the analysis. Age (HR = 1.04 per year, p = 6.40 × 10</w:t>
      </w:r>
      <w:r w:rsidRPr="00150AFE">
        <w:rPr>
          <w:rFonts w:ascii="Cambria Math" w:hAnsi="Cambria Math" w:cs="Cambria Math"/>
        </w:rPr>
        <w:t>⁻</w:t>
      </w:r>
      <w:r w:rsidRPr="00150AFE">
        <w:t>⁶) and Stage III (HR = 1.93, p = 0.008) also reached significance. Grade and tumour break load score, whilst selected by univariable screening, did not retain independent significance in the fully adjusted model, likely reflecting partial mediation through stage.</w:t>
      </w:r>
    </w:p>
    <w:p w14:paraId="54F23838" w14:textId="0CAAEF62" w:rsidR="00B82FDC" w:rsidRPr="00150AFE" w:rsidRDefault="00B82FDC" w:rsidP="00B82FDC">
      <w:r w:rsidRPr="00D27C42">
        <w:rPr>
          <w:b/>
          <w:bCs/>
        </w:rPr>
        <w:t>Proteomic markers.</w:t>
      </w:r>
      <w:r w:rsidRPr="00150AFE">
        <w:t xml:space="preserve"> Three RPPA proteins reached statistical significance in the multivariable model. PEA15 (HR = 1.28, p = 0.014) was associated with increased mortality risk; PEA15 sequesters phosphorylated ERK in the cytoplasm, altering its transcriptional programme and modulating apoptotic sensitivity</w:t>
      </w:r>
      <w:r w:rsidR="00D27C42">
        <w:fldChar w:fldCharType="begin"/>
      </w:r>
      <w:r w:rsidR="00D27C42">
        <w:instrText xml:space="preserve"> ADDIN ZOTERO_ITEM CSL_CITATION {"citationID":"i9j0vOUu","properties":{"unsorted":false,"formattedCitation":"\\super 14\\nosupersub{}","plainCitation":"14","noteIndex":0},"citationItems":[{"id":6238,"uris":["http://zotero.org/users/17607594/items/L3INXWDI"],"itemData":{"id":6238,"type":"article-journal","abstract":"BACKGROUND: Clear cell renal cell carcinoma (ccRCC) is one of the most common types of malignant adult kidney cancer, and its incidence and mortality are not optimistic. It is well known that tumor-related protein markers play an important role in cancer detection, prognosis prediction, or treatment selection, such as carcinoembryonic antigen (CEA), programmed cell death 1 (PD-1), programmed cell death 1 ligand 1 (PD-L1), and cytotoxic T lymphocyte antigen 4 (CTLA-4), so a comprehensive analysis was performed in this study to explore the prognostic value of protein expression in patients with ccRCC.\nMATERIALS AND METHODS: Protein expression data were obtained from The Cancer Proteome Atlas (TCPA), and clinical information were downloaded from The Cancer Genome Atlas (TCGA). We selected 445 patients with complete information and then separated them into a training set and testing set. We performed univariate, least absolute shrinkage and selection operator (LASSO) Cox analyses to find prognosis-related proteins (PRPs) and constructed a protein signature. Then, we used stratified analysis to fully verify the prognostic significance of the prognostic-related protein signature score (PRPscore). Besides, we also explored the differences in immunotherapy response and immune cell infiltration level in high and low score groups. The consensus clustering analysis was also performed to identify potential cancer subgroups.\nRESULTS: From the training set, a total of 233 PRPs were selected, and a seven-protein signature was constructed, including ACC1, AR, MAPK, PDK1, PEA15, SYK, and BRAF. Based on the PRPscore, patients could be divided into two groups with significantly different overall survival rates. Univariate and multivariate Cox regression analyses proved that this signature was an independent prognostic factor for patients (P &lt; 0.001). Moreover, the signature showed a high ability to distinguish prognostic outcomes among subgroups, and the low score group had a better prognosis (P &lt; 0.001) and better immunotherapy response (P = 0.003) than the high score group.\nCONCLUSION: We constructed a novel protein signature with robust predictive power and high clinical value. This will help to guide the disease management and individualized treatment of ccRCC patients.","citation-key":"chuIdentificationNovelProteinBased2021","container-title":"Frontiers in Molecular Biosciences","DOI":"10.3389/fmolb.2021.623120","ISSN":"2296-889X","journalAbbreviation":"Front Mol Biosci","language":"eng","page":"623120","PMID":"33842538","PMCID":"PMC8027127","source":"PubMed","title":"Identification of a Novel Protein-Based Signature to Improve Prognosis Prediction in Renal Clear Cell Carcinoma","volume":"8","author":[{"family":"Chu","given":"Guangdi"},{"family":"Xu","given":"Ting"},{"family":"Zhu","given":"Guanqun"},{"family":"Liu","given":"Shuaihong"},{"family":"Niu","given":"Haitao"},{"family":"Zhang","given":"Mingxin"}],"issued":{"date-parts":[["2021"]]}}}],"schema":"https://github.com/citation-style-language/schema/raw/master/csl-citation.json"} </w:instrText>
      </w:r>
      <w:r w:rsidR="00D27C42">
        <w:fldChar w:fldCharType="separate"/>
      </w:r>
      <w:r w:rsidR="00C5345B" w:rsidRPr="00C5345B">
        <w:rPr>
          <w:vertAlign w:val="superscript"/>
        </w:rPr>
        <w:t>14</w:t>
      </w:r>
      <w:r w:rsidR="00D27C42">
        <w:fldChar w:fldCharType="end"/>
      </w:r>
      <w:r w:rsidRPr="00150AFE">
        <w:t xml:space="preserve">. ERRFI1/MIG-6 (HR = 0.76, p = 0.021) was protective, consistent with its role as a negative regulator of EGFR and ERBB family receptor tyrosine kinase signalling (higher ERRFI1 expression reflects greater suppression of the oncogenic </w:t>
      </w:r>
      <w:r w:rsidRPr="00150AFE">
        <w:lastRenderedPageBreak/>
        <w:t>kinase axis)</w:t>
      </w:r>
      <w:r w:rsidR="00D27C42">
        <w:fldChar w:fldCharType="begin"/>
      </w:r>
      <w:r w:rsidR="00D27C42">
        <w:instrText xml:space="preserve"> ADDIN ZOTERO_ITEM CSL_CITATION {"citationID":"wi39ktbc","properties":{"unsorted":false,"formattedCitation":"\\super 15\\nosupersub{}","plainCitation":"15","noteIndex":0},"citationItems":[{"id":6240,"uris":["http://zotero.org/users/17607594/items/KT35TE47"],"itemData":{"id":6240,"type":"article-journal","abstract":"Gene 33 (also named Mig6, RALT, and ERRFI1) is an adapter/scaffold protein with a calculated molecular weight of about 50 kD. It contains multiple domains known to mediate protein-protein interaction, suggesting that it has the potential to interact with many cellular partners and have multiple cellular functions. The research over the last two decades has confirmed that it indeed regulates multiple cell signaling pathways and is involved in many pathophysiological processes. Gene 33 has long been viewed as an exclusively cytosolic protein. However, recent evidence suggests that it also has nuclear and chromatin-associated functions. These new findings highlight a significantly broader functional spectrum of this protein. In this review, we will discuss the function and regulation of Gene 33, as well as its association with human pathophysiological conditions in light of the recent research progress on this protein.","citation-key":"xuGene33Mig62021","container-title":"Cells","DOI":"10.3390/cells10071574","ISSN":"2073-4409","issue":"7","journalAbbreviation":"Cells","language":"eng","page":"1574","PMID":"34206547","PMCID":"PMC8306081","source":"PubMed","title":"Gene 33/Mig6/ERRFI1, an Adapter Protein with Complex Functions in Cell Biology and Human Diseases","volume":"10","author":[{"family":"Xu","given":"Dazhong"},{"family":"Li","given":"Cen"}],"issued":{"date-parts":[["2021",6,22]]}}}],"schema":"https://github.com/citation-style-language/schema/raw/master/csl-citation.json"} </w:instrText>
      </w:r>
      <w:r w:rsidR="00D27C42">
        <w:fldChar w:fldCharType="separate"/>
      </w:r>
      <w:r w:rsidR="00C5345B" w:rsidRPr="00C5345B">
        <w:rPr>
          <w:vertAlign w:val="superscript"/>
        </w:rPr>
        <w:t>15</w:t>
      </w:r>
      <w:r w:rsidR="00D27C42">
        <w:fldChar w:fldCharType="end"/>
      </w:r>
      <w:r w:rsidRPr="00150AFE">
        <w:t xml:space="preserve">. Phosphorylated MAPK/ERK (pT202/Y204; HR = 0.81, p = 0.030) was also independently protective. Although MAPK/ERK activation is usually linked to tumour growth, there is published evidence in ccRCC that higher ERK activity may instead reflect more differentiated, less aggressive tumours. The similar effects seen for ERRFI1, phospho-ERK, and the borderline-significant p90RSK (HR = 0.82, p = 0.098) suggest a consistent ERK/MAPK signalling pattern, where higher pathway activity is linked to improved survival in </w:t>
      </w:r>
      <w:r w:rsidR="00D27C42">
        <w:t>ccRCC</w:t>
      </w:r>
      <w:r w:rsidR="00D27C42">
        <w:fldChar w:fldCharType="begin"/>
      </w:r>
      <w:r w:rsidR="00D27C42">
        <w:instrText xml:space="preserve"> ADDIN ZOTERO_ITEM CSL_CITATION {"citationID":"2kVQxsnL","properties":{"unsorted":false,"formattedCitation":"\\super 16\\nosupersub{}","plainCitation":"16","noteIndex":0},"citationItems":[{"id":6242,"uris":["http://zotero.org/users/17607594/items/GIP9ZLK3"],"itemData":{"id":6242,"type":"article-journal","abstract":"We examined extracellular signal</w:instrText>
      </w:r>
      <w:r w:rsidR="00D27C42">
        <w:rPr>
          <w:rFonts w:ascii="Cambria Math" w:hAnsi="Cambria Math" w:cs="Cambria Math"/>
        </w:rPr>
        <w:instrText>‑</w:instrText>
      </w:r>
      <w:r w:rsidR="00D27C42">
        <w:instrText>regulated kinase (ERK), 4E</w:instrText>
      </w:r>
      <w:r w:rsidR="00D27C42">
        <w:rPr>
          <w:rFonts w:ascii="Cambria Math" w:hAnsi="Cambria Math" w:cs="Cambria Math"/>
        </w:rPr>
        <w:instrText>‑</w:instrText>
      </w:r>
      <w:r w:rsidR="00D27C42">
        <w:instrText>binding protein 1 (4EBP1) and p70 ribosomal S6 kinase (p70) as potential biomarkers for pretreatment prediction of the prognosis of patients with metastatic renal cell carcinoma (RCC) treated with sorafenib, sunitinib or everolimus. 786</w:instrText>
      </w:r>
      <w:r w:rsidR="00D27C42">
        <w:rPr>
          <w:rFonts w:ascii="Cambria Math" w:hAnsi="Cambria Math" w:cs="Cambria Math"/>
        </w:rPr>
        <w:instrText>‑</w:instrText>
      </w:r>
      <w:r w:rsidR="00D27C42">
        <w:instrText>O and 769</w:instrText>
      </w:r>
      <w:r w:rsidR="00D27C42">
        <w:rPr>
          <w:rFonts w:ascii="Cambria Math" w:hAnsi="Cambria Math" w:cs="Cambria Math"/>
        </w:rPr>
        <w:instrText>‑</w:instrText>
      </w:r>
      <w:r w:rsidR="00D27C42">
        <w:instrText>P cells were treated with sorafenib, sunitinib and everolimus. The expression of phosphorylated/total ERK, phosphorylated/total 4EBP1 and phosphorylated/total p70 was evaluated using western blotting. ERK, 4EBP1 and p70 were knocked down by siRNA in 786</w:instrText>
      </w:r>
      <w:r w:rsidR="00D27C42">
        <w:rPr>
          <w:rFonts w:ascii="Cambria Math" w:hAnsi="Cambria Math" w:cs="Cambria Math"/>
        </w:rPr>
        <w:instrText>‑</w:instrText>
      </w:r>
      <w:r w:rsidR="00D27C42">
        <w:instrText>O and 769</w:instrText>
      </w:r>
      <w:r w:rsidR="00D27C42">
        <w:rPr>
          <w:rFonts w:ascii="Cambria Math" w:hAnsi="Cambria Math" w:cs="Cambria Math"/>
        </w:rPr>
        <w:instrText>‑</w:instrText>
      </w:r>
      <w:r w:rsidR="00D27C42">
        <w:instrText>P cells. Then, the viability after treatment with each drug was assessed. Expression of phosphorylated (phospho)</w:instrText>
      </w:r>
      <w:r w:rsidR="00D27C42">
        <w:rPr>
          <w:rFonts w:ascii="Cambria Math" w:hAnsi="Cambria Math" w:cs="Cambria Math"/>
        </w:rPr>
        <w:instrText>‑</w:instrText>
      </w:r>
      <w:r w:rsidR="00D27C42">
        <w:instrText>ERK, -4EBP1 and -p70 was immunohistochemically evaluated in radical nephrectomy specimens and correlated with progression</w:instrText>
      </w:r>
      <w:r w:rsidR="00D27C42">
        <w:rPr>
          <w:rFonts w:ascii="Cambria Math" w:hAnsi="Cambria Math" w:cs="Cambria Math"/>
        </w:rPr>
        <w:instrText>‑</w:instrText>
      </w:r>
      <w:r w:rsidR="00D27C42">
        <w:instrText>free survival during treatment with each molecular targeting agent. Sorafenib inhibited the expression of phospho-ERK and -4EBP1 in 769</w:instrText>
      </w:r>
      <w:r w:rsidR="00D27C42">
        <w:rPr>
          <w:rFonts w:ascii="Cambria Math" w:hAnsi="Cambria Math" w:cs="Cambria Math"/>
        </w:rPr>
        <w:instrText>‑</w:instrText>
      </w:r>
      <w:r w:rsidR="00D27C42">
        <w:instrText>P cells; sunitinib, phospho-ERK and -4EBP1 in 786</w:instrText>
      </w:r>
      <w:r w:rsidR="00D27C42">
        <w:rPr>
          <w:rFonts w:ascii="Cambria Math" w:hAnsi="Cambria Math" w:cs="Cambria Math"/>
        </w:rPr>
        <w:instrText>‑</w:instrText>
      </w:r>
      <w:r w:rsidR="00D27C42">
        <w:instrText>O and 769</w:instrText>
      </w:r>
      <w:r w:rsidR="00D27C42">
        <w:rPr>
          <w:rFonts w:ascii="Cambria Math" w:hAnsi="Cambria Math" w:cs="Cambria Math"/>
        </w:rPr>
        <w:instrText>‑</w:instrText>
      </w:r>
      <w:r w:rsidR="00D27C42">
        <w:instrText>P cells; and everolimus, phospho-p70 in 786</w:instrText>
      </w:r>
      <w:r w:rsidR="00D27C42">
        <w:rPr>
          <w:rFonts w:ascii="Cambria Math" w:hAnsi="Cambria Math" w:cs="Cambria Math"/>
        </w:rPr>
        <w:instrText>‑</w:instrText>
      </w:r>
      <w:r w:rsidR="00D27C42">
        <w:instrText>O and 769</w:instrText>
      </w:r>
      <w:r w:rsidR="00D27C42">
        <w:rPr>
          <w:rFonts w:ascii="Cambria Math" w:hAnsi="Cambria Math" w:cs="Cambria Math"/>
        </w:rPr>
        <w:instrText>‑</w:instrText>
      </w:r>
      <w:r w:rsidR="00D27C42">
        <w:instrText>P cells. Knockdown of ERK reduced sensitivity to sorafenib in both cell lines, knockdown of ERK and 4EBP1 reduced sensitivity to sunitinib in 769</w:instrText>
      </w:r>
      <w:r w:rsidR="00D27C42">
        <w:rPr>
          <w:rFonts w:ascii="Cambria Math" w:hAnsi="Cambria Math" w:cs="Cambria Math"/>
        </w:rPr>
        <w:instrText>‑</w:instrText>
      </w:r>
      <w:r w:rsidR="00D27C42">
        <w:instrText>P cells, and knockdown of 4EBP1 and p70 reduced sensitivity to everolimus in 786</w:instrText>
      </w:r>
      <w:r w:rsidR="00D27C42">
        <w:rPr>
          <w:rFonts w:ascii="Cambria Math" w:hAnsi="Cambria Math" w:cs="Cambria Math"/>
        </w:rPr>
        <w:instrText>‑</w:instrText>
      </w:r>
      <w:r w:rsidR="00D27C42">
        <w:instrText>O cells. High expression of phospho-ERK, -4EBP1 and -p70 correlated with better progression</w:instrText>
      </w:r>
      <w:r w:rsidR="00D27C42">
        <w:rPr>
          <w:rFonts w:ascii="Cambria Math" w:hAnsi="Cambria Math" w:cs="Cambria Math"/>
        </w:rPr>
        <w:instrText>‑</w:instrText>
      </w:r>
      <w:r w:rsidR="00D27C42">
        <w:instrText xml:space="preserve">free survival in patients treated with sorafenib, sunitinib and everolimus, respectively. Our results indicate that phospho-ERK, -4EBP1 and/or -ERK, and phospho-p70 can be used as biomarkers for the therapeutic efficacy of sorafenib, sunitinib and everolimus, respectively.","citation-key":"nakaiPotentialBiomarkersTherapeutic2017","container-title":"Oncology Reports","DOI":"10.3892/or.2016.5232","ISSN":"1791-2431","issue":"1","journalAbbreviation":"Oncol Rep","language":"eng","page":"227-234","PMID":"27840968","source":"PubMed","title":"Potential biomarkers for the therapeutic efficacy of sorafenib, sunitinib and everolimus","volume":"37","author":[{"family":"Nakai","given":"Yasushi"},{"family":"Miyake","given":"Makito"},{"family":"Morizawa","given":"Yosuke"},{"family":"Hori","given":"Shunta"},{"family":"Tatsumi","given":"Yoshihiro"},{"family":"Anai","given":"Satoshi"},{"family":"Onishi","given":"Sayuri"},{"family":"Tanaka","given":"Nobumichi"},{"family":"Fujimoto","given":"Kiyohide"}],"issued":{"date-parts":[["2017",1]]}}}],"schema":"https://github.com/citation-style-language/schema/raw/master/csl-citation.json"} </w:instrText>
      </w:r>
      <w:r w:rsidR="00D27C42">
        <w:fldChar w:fldCharType="separate"/>
      </w:r>
      <w:r w:rsidR="00C5345B" w:rsidRPr="00C5345B">
        <w:rPr>
          <w:vertAlign w:val="superscript"/>
        </w:rPr>
        <w:t>16</w:t>
      </w:r>
      <w:r w:rsidR="00D27C42">
        <w:fldChar w:fldCharType="end"/>
      </w:r>
      <w:r w:rsidRPr="00150AFE">
        <w:t>. The remaining seven proteins did not reach significance in the fully adjusted model, consistent with partial redundancy in their prognostic information relative to stage and the other retained proteins.</w:t>
      </w:r>
    </w:p>
    <w:p w14:paraId="4C76597C" w14:textId="1131D3FC" w:rsidR="00B82FDC" w:rsidRPr="00150AFE" w:rsidRDefault="00B82FDC" w:rsidP="00B82FDC">
      <w:r w:rsidRPr="00D27C42">
        <w:rPr>
          <w:b/>
          <w:bCs/>
        </w:rPr>
        <w:t>Transcriptomic pathway scores.</w:t>
      </w:r>
      <w:r w:rsidRPr="00150AFE">
        <w:t xml:space="preserve"> No individual pathway score reached conventional significance in the multivariable integrated model, despite the combined RNA pathway feature set improving cross-validated C-index by 0.004 over the clinical baseline. This apparent paradox is explained by multicollinearity: the eight pathway gene sets share a substantial number of member genes (</w:t>
      </w:r>
      <w:proofErr w:type="spellStart"/>
      <w:r w:rsidRPr="00C11FF7">
        <w:rPr>
          <w:rStyle w:val="CodeChar"/>
        </w:rPr>
        <w:t>inflammatory_response</w:t>
      </w:r>
      <w:proofErr w:type="spellEnd"/>
      <w:r w:rsidRPr="00150AFE">
        <w:t xml:space="preserve"> and </w:t>
      </w:r>
      <w:proofErr w:type="spellStart"/>
      <w:r w:rsidRPr="00C11FF7">
        <w:rPr>
          <w:rStyle w:val="CodeChar"/>
        </w:rPr>
        <w:t>ecm_remodelling</w:t>
      </w:r>
      <w:proofErr w:type="spellEnd"/>
      <w:r w:rsidRPr="00150AFE">
        <w:t xml:space="preserve"> each contain over 1,800 genes with considerable overlap), producing highly correlated PC1 scores that inflate standard errors and p-values in multivariable regression whilst retaining joint discriminatory power in cross-validation. The neutrophil activation score carried the numerically largest pathway hazard ratio in the integrated model (HR = 1.15), consistent with the established role of tumour-associated neutrophils as mediators of invasion and poor prognosis in ccRCC</w:t>
      </w:r>
      <w:r w:rsidR="00D27C42">
        <w:fldChar w:fldCharType="begin"/>
      </w:r>
      <w:r w:rsidR="00D27C42">
        <w:instrText xml:space="preserve"> ADDIN ZOTERO_ITEM CSL_CITATION {"citationID":"MyKWe3co","properties":{"unsorted":false,"formattedCitation":"\\super 5\\nosupersub{}","plainCitation":"5","noteIndex":0},"citationItems":[{"id":6205,"uris":["http://zotero.org/users/17607594/items/JQHQTJZP"],"itemData":{"id":6205,"type":"article-journal","abstract":"Neutrophils are the most abundant circulating leukocytes, being the first line of defence against bacterial and fungal infections. However, neutrophils also contribute to tissue damage during various autoimmune and inflammatory diseases, and play important roles in cancer progression. The intimate but complex involvement of neutrophils in various diseases makes them exciting targets for therapeutic intervention but also necessitates differentiation of beneficial responses from potentially detrimental side effects. A variety of approaches to therapeutically target neutrophils have emerged, including strategies to enhance, inhibit or restore neutrophil function, with several agents entering clinical trials. However, challenges and controversies in the field remain.","citation-key":"nemethNeutrophilsEmergingTherapeutic2020","container-title":"Nature Reviews Drug Discovery","DOI":"10.1038/s41573-019-0054-z","ISSN":"1474-1784","issue":"4","journalAbbreviation":"Nat Rev Drug Discov","language":"eng","license":"2020 Springer Nature Limited","page":"253-275","PMID":"31969717","publisher":"Nature Publishing Group","source":"PubMed","title":"Neutrophils as emerging therapeutic targets","volume":"19","author":[{"family":"Németh","given":"Tamás"},{"family":"Sperandio","given":"Markus"},{"family":"Mócsai","given":"Attila"}],"issued":{"date-parts":[["2020",4]]}}}],"schema":"https://github.com/citation-style-language/schema/raw/master/csl-citation.json"} </w:instrText>
      </w:r>
      <w:r w:rsidR="00D27C42">
        <w:fldChar w:fldCharType="separate"/>
      </w:r>
      <w:r w:rsidR="00C5345B" w:rsidRPr="00C5345B">
        <w:rPr>
          <w:vertAlign w:val="superscript"/>
        </w:rPr>
        <w:t>5</w:t>
      </w:r>
      <w:r w:rsidR="00D27C42">
        <w:fldChar w:fldCharType="end"/>
      </w:r>
      <w:r w:rsidRPr="00150AFE">
        <w:t>. Notably, neutrophil activation was a stronger individual signal than neutrophil degranulation, suggesting that upstream neutrophil recruitment and activation state (rather than downstream effector functions) is the more prognostically relevant component of neutrophil biology in this tumour.</w:t>
      </w:r>
    </w:p>
    <w:p w14:paraId="385BED83" w14:textId="77777777" w:rsidR="00DC67B9" w:rsidRDefault="00DC67B9">
      <w:pPr>
        <w:spacing w:after="160" w:line="259" w:lineRule="auto"/>
        <w:rPr>
          <w:rFonts w:eastAsiaTheme="majorEastAsia"/>
          <w:b/>
          <w:bCs/>
          <w:sz w:val="32"/>
          <w:szCs w:val="32"/>
        </w:rPr>
      </w:pPr>
      <w:r>
        <w:br w:type="page"/>
      </w:r>
    </w:p>
    <w:p w14:paraId="7353D617" w14:textId="12CF5E28" w:rsidR="00B82FDC" w:rsidRPr="00150AFE" w:rsidRDefault="00B82FDC" w:rsidP="000972D6">
      <w:pPr>
        <w:pStyle w:val="Heading2"/>
      </w:pPr>
      <w:r w:rsidRPr="00150AFE">
        <w:lastRenderedPageBreak/>
        <w:t>3. Methods and Code</w:t>
      </w:r>
    </w:p>
    <w:p w14:paraId="7C6B749B" w14:textId="2D8A5A3F" w:rsidR="00B82FDC" w:rsidRDefault="00B82FDC" w:rsidP="00B82FDC">
      <w:r w:rsidRPr="00150AFE">
        <w:t xml:space="preserve">The complete analysis pipeline is publicly available at </w:t>
      </w:r>
      <w:hyperlink r:id="rId16" w:history="1">
        <w:r w:rsidR="00D27C42" w:rsidRPr="00BB0C36">
          <w:rPr>
            <w:rStyle w:val="Hyperlink"/>
          </w:rPr>
          <w:t>https://github.com/gillespieza/tcga-kirc-survival-omics/</w:t>
        </w:r>
      </w:hyperlink>
      <w:r w:rsidRPr="00150AFE">
        <w:t>. All analyses were performed in R (version 4.6.0)</w:t>
      </w:r>
      <w:r w:rsidR="00C5345B">
        <w:fldChar w:fldCharType="begin"/>
      </w:r>
      <w:r w:rsidR="00C5345B">
        <w:instrText xml:space="preserve"> ADDIN ZOTERO_ITEM CSL_CITATION {"citationID":"blZKul1m","properties":{"unsorted":false,"formattedCitation":"\\super 17\\nosupersub{}","plainCitation":"17","noteIndex":0},"citationItems":[{"id":6249,"uris":["http://zotero.org/users/17607594/items/8LG8BR35"],"itemData":{"id":6249,"type":"webpage","citation-key":"ProjectStatisticalComputing","publisher":"R Foundation for Statistical Computing","publisher-place":"Vienna, Austria","title":"R: A language and environment for statistical computing","URL":"https://www.r-project.org/","author":[{"literal":"R Core Team"}],"accessed":{"date-parts":[["2026",6,8]]},"issued":{"date-parts":[["2019"]]}}}],"schema":"https://github.com/citation-style-language/schema/raw/master/csl-citation.json"} </w:instrText>
      </w:r>
      <w:r w:rsidR="00C5345B">
        <w:fldChar w:fldCharType="separate"/>
      </w:r>
      <w:r w:rsidR="00C5345B" w:rsidRPr="00C5345B">
        <w:rPr>
          <w:vertAlign w:val="superscript"/>
        </w:rPr>
        <w:t>17</w:t>
      </w:r>
      <w:r w:rsidR="00C5345B">
        <w:fldChar w:fldCharType="end"/>
      </w:r>
      <w:r w:rsidRPr="00150AFE">
        <w:t xml:space="preserve"> using the </w:t>
      </w:r>
      <w:proofErr w:type="spellStart"/>
      <w:r w:rsidRPr="00C11FF7">
        <w:rPr>
          <w:rStyle w:val="CodeChar"/>
        </w:rPr>
        <w:t>tidyverse</w:t>
      </w:r>
      <w:proofErr w:type="spellEnd"/>
      <w:r w:rsidRPr="00150AFE">
        <w:t xml:space="preserve"> suite</w:t>
      </w:r>
      <w:r w:rsidR="00C5345B">
        <w:fldChar w:fldCharType="begin"/>
      </w:r>
      <w:r w:rsidR="00C5345B">
        <w:instrText xml:space="preserve"> ADDIN ZOTERO_ITEM CSL_CITATION {"citationID":"6ldHkUpr","properties":{"unsorted":false,"formattedCitation":"\\super 18\\nosupersub{}","plainCitation":"18","noteIndex":0},"citationItems":[{"id":6247,"uris":["http://zotero.org/users/17607594/items/SITKWDJQ"],"itemData":{"id":6247,"type":"article-journal","abstract":"Wickham et al., (2019). Welcome to the Tidyverse. Journal of Open Source Software, 4(43), 1686, https://doi.org/10.21105/joss.01686","citation-key":"wickhamWelcomeTidyverse2019","container-title":"Journal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C5345B">
        <w:fldChar w:fldCharType="separate"/>
      </w:r>
      <w:r w:rsidR="00C5345B" w:rsidRPr="00C5345B">
        <w:rPr>
          <w:vertAlign w:val="superscript"/>
        </w:rPr>
        <w:t>18</w:t>
      </w:r>
      <w:r w:rsidR="00C5345B">
        <w:fldChar w:fldCharType="end"/>
      </w:r>
      <w:r w:rsidR="00C5345B">
        <w:t>,</w:t>
      </w:r>
      <w:r w:rsidRPr="00150AFE">
        <w:t xml:space="preserve"> </w:t>
      </w:r>
      <w:r w:rsidRPr="00C11FF7">
        <w:rPr>
          <w:rStyle w:val="CodeChar"/>
        </w:rPr>
        <w:t>survival</w:t>
      </w:r>
      <w:r w:rsidR="00C11FF7" w:rsidRPr="00C11FF7">
        <w:rPr>
          <w:vertAlign w:val="superscript"/>
        </w:rPr>
        <w:fldChar w:fldCharType="begin"/>
      </w:r>
      <w:r w:rsidR="00C11FF7" w:rsidRPr="00C11FF7">
        <w:rPr>
          <w:vertAlign w:val="superscript"/>
        </w:rPr>
        <w:instrText xml:space="preserve"> ADDIN ZOTERO_ITEM CSL_CITATION {"citationID":"otD2iUnn","properties":{"unsorted":false,"formattedCitation":"\\super 19,20\\nosupersub{}","plainCitation":"19,20","noteIndex":0},"citationItems":[{"id":6251,"uris":["http://zotero.org/users/17607594/items/WK2M5XRX"],"itemData":{"id":6251,"type":"software","citation-key":"therneauPackageSurvivalAnalysis2026","collection-title":"R package version 3.8-6","title":"A Package for Survival Analysis in R","URL":"https://CRAN.R-project.org/package=survival","author":[{"family":"Therneau","given":"T"}],"issued":{"date-parts":[["2026"]]}}},{"id":6252,"uris":["http://zotero.org/users/17607594/items/QIMTPZ7A"],"itemData":{"id":6252,"type":"software","citation-key":"therneauModelingSurvivalData2000","ISBN":"0-387-98784-3","publisher":"Springer","publisher-place":"New York","title":"Modeling Survival Data: Extending the Cox Model","author":[{"family":"Therneau","given":"Terry M."},{"family":"Grambsch","given":"Patricia M."}],"issued":{"date-parts":[["2000"]]}}}],"schema":"https://github.com/citation-style-language/schema/raw/master/csl-citation.json"} </w:instrText>
      </w:r>
      <w:r w:rsidR="00C11FF7" w:rsidRPr="00C11FF7">
        <w:rPr>
          <w:vertAlign w:val="superscript"/>
        </w:rPr>
        <w:fldChar w:fldCharType="separate"/>
      </w:r>
      <w:r w:rsidR="00C11FF7" w:rsidRPr="00C11FF7">
        <w:rPr>
          <w:vertAlign w:val="superscript"/>
        </w:rPr>
        <w:t>19,20</w:t>
      </w:r>
      <w:r w:rsidR="00C11FF7" w:rsidRPr="00C11FF7">
        <w:rPr>
          <w:vertAlign w:val="superscript"/>
        </w:rPr>
        <w:fldChar w:fldCharType="end"/>
      </w:r>
      <w:r w:rsidRPr="00150AFE">
        <w:t xml:space="preserve">, </w:t>
      </w:r>
      <w:r w:rsidRPr="00C11FF7">
        <w:rPr>
          <w:rStyle w:val="CodeChar"/>
        </w:rPr>
        <w:t>survminer</w:t>
      </w:r>
      <w:r w:rsidR="00706259">
        <w:fldChar w:fldCharType="begin"/>
      </w:r>
      <w:r w:rsidR="00706259">
        <w:instrText xml:space="preserve"> ADDIN ZOTERO_ITEM CSL_CITATION {"citationID":"Dd0X7V5F","properties":{"unsorted":false,"formattedCitation":"\\super 21\\nosupersub{}","plainCitation":"21","noteIndex":0},"citationItems":[{"id":6253,"uris":["http://zotero.org/users/17607594/items/U2VEJCHJ"],"itemData":{"id":6253,"type":"software","abstract":"Contains the function 'ggsurvplot()' for drawing easily beautiful and 'ready-to-publish' survival curves with the 'number at risk' table and 'censoring count plot'. Other functions are also available to plot adjusted curves for ‘Cox' model and to visually examine ’Cox' model assumptions.","citation-key":"kassambaraSurvminerDrawingSurvival2026","collection-title":"R package version 0.5.2","DOI":"10.32614/CRAN.package.survminer","license":"GPL-2","source":"R-Packages","title":"survminer: Drawing Survival Curves using 'ggplot2'","title-short":"survminer","URL":"https://cran.r-project.org/web/packages/survminer/index.html","author":[{"family":"Kassambara","given":"Alboukadel"},{"family":"Kosinski","given":"Marcin"},{"family":"Biecek","given":"Przemyslaw"}],"accessed":{"date-parts":[["2026",6,8]]},"issued":{"date-parts":[["2026",2,25]]}}}],"schema":"https://github.com/citation-style-language/schema/raw/master/csl-citation.json"} </w:instrText>
      </w:r>
      <w:r w:rsidR="00706259">
        <w:fldChar w:fldCharType="separate"/>
      </w:r>
      <w:r w:rsidR="00706259" w:rsidRPr="00706259">
        <w:rPr>
          <w:vertAlign w:val="superscript"/>
        </w:rPr>
        <w:t>21</w:t>
      </w:r>
      <w:r w:rsidR="00706259">
        <w:fldChar w:fldCharType="end"/>
      </w:r>
      <w:r w:rsidRPr="00150AFE">
        <w:t xml:space="preserve">, </w:t>
      </w:r>
      <w:r w:rsidRPr="00C11FF7">
        <w:rPr>
          <w:rStyle w:val="CodeChar"/>
        </w:rPr>
        <w:t>glmnet</w:t>
      </w:r>
      <w:r w:rsidR="00706259">
        <w:rPr>
          <w:rStyle w:val="CodeChar"/>
        </w:rPr>
        <w:fldChar w:fldCharType="begin"/>
      </w:r>
      <w:r w:rsidR="00706259">
        <w:rPr>
          <w:rStyle w:val="CodeChar"/>
        </w:rPr>
        <w:instrText xml:space="preserve"> ADDIN ZOTERO_ITEM CSL_CITATION {"citationID":"xENXxiso","properties":{"unsorted":false,"formattedCitation":"\\super 22,23\\nosupersub{}","plainCitation":"22,23","noteIndex":0},"citationItems":[{"id":6254,"uris":["http://zotero.org/users/17607594/items/XL4ZC45W"],"itemData":{"id":6254,"type":"article-journal","abstract":"We develop fast algorithms for estimation of generalized linear models with convex penalties. The models include linear regression, two-class logistic regression, and multi- nomial regression problems while the penalties include ℓ1 (the lasso), ℓ2 (ridge regression) and mixtures of the two (the elastic net). The algorithms use cyclical coordinate descent, computed along a regularization path. The methods can handle large problems and can also deal efficiently with sparse features. In comparative timings we find that the new algorithms are considerably faster than competing methods.","citation-key":"friedmanRegularizationPathsGeneralized2010","container-title":"Journal of Statistical Software","DOI":"10.18637/jss.v033.i01","ISSN":"1548-7660","language":"en","license":"Copyright (c) 2009 Jerome H. Friedman, Trevor Hastie, Rob Tibshirani","page":"1-22","source":"www.jstatsoft.org","title":"Regularization paths for generalized linear models via coordinate descent","volume":"33","author":[{"family":"Friedman","given":"Jerome H."},{"family":"Hastie","given":"Trevor"},{"family":"Tibshirani","given":"Rob"}],"issued":{"date-parts":[["2010",2,2]]}}},{"id":6255,"uris":["http://zotero.org/users/17607594/items/YAXES47J"],"itemData":{"id":6255,"type":"article-journal","abstract":"The lasso and elastic net are popular regularized regression models for supervised learning. Friedman, Hastie, and Tibshirani (2010) introduced a computationally efficient algorithm for computing the elastic net regularization path for ordinary least squares regression, logistic regression and multinomial logistic regression, while Simon, Friedman, Hastie, and Tibshirani (2011) extended this work to Cox models for right-censored data. We further extend the reach of the elastic net-regularized regression to all generalized linear model families, Cox models with (start, stop] data and strata, and a simplified version of the relaxed lasso. We also discuss convenient utility functions for measuring the performance of these fitted models.","citation-key":"tayElasticNetRegularization2023","container-title":"Journal of Statistical Software","DOI":"10.18637/jss.v106.i01","ISSN":"1548-7660","language":"en","license":"Copyright (c) 2023 J. Kenneth Tay, Balasubramanian Narasimhan, Trevor Hastie","page":"1-31","source":"www.jstatsoft.org","title":"Elastic net regularization paths for all generalized linear models","volume":"106","author":[{"family":"Tay","given":"J. Kenneth"},{"family":"Narasimhan","given":"Balasubramanian"},{"family":"Hastie","given":"Trevor"}],"issued":{"date-parts":[["2023",3,23]]}}}],"schema":"https://github.com/citation-style-language/schema/raw/master/csl-citation.json"} </w:instrText>
      </w:r>
      <w:r w:rsidR="00706259">
        <w:rPr>
          <w:rStyle w:val="CodeChar"/>
        </w:rPr>
        <w:fldChar w:fldCharType="separate"/>
      </w:r>
      <w:r w:rsidR="00706259" w:rsidRPr="00706259">
        <w:rPr>
          <w:rFonts w:ascii="Courier New" w:hAnsi="Courier New" w:cs="Courier New"/>
          <w:vertAlign w:val="superscript"/>
        </w:rPr>
        <w:t>22,23</w:t>
      </w:r>
      <w:r w:rsidR="00706259">
        <w:rPr>
          <w:rStyle w:val="CodeChar"/>
        </w:rPr>
        <w:fldChar w:fldCharType="end"/>
      </w:r>
      <w:r w:rsidRPr="00150AFE">
        <w:t xml:space="preserve">, </w:t>
      </w:r>
      <w:r w:rsidR="00C11FF7" w:rsidRPr="00C11FF7">
        <w:rPr>
          <w:rStyle w:val="CodeChar"/>
        </w:rPr>
        <w:t>broom</w:t>
      </w:r>
      <w:r w:rsidR="00706259">
        <w:fldChar w:fldCharType="begin"/>
      </w:r>
      <w:r w:rsidR="00706259">
        <w:instrText xml:space="preserve"> ADDIN ZOTERO_ITEM CSL_CITATION {"citationID":"kO78cskc","properties":{"unsorted":false,"formattedCitation":"\\super 24\\nosupersub{}","plainCitation":"24","noteIndex":0},"citationItems":[{"id":6257,"uris":["http://zotero.org/users/17607594/items/F5BHTVVL"],"itemData":{"id":6257,"type":"software","abstract":"Summarizes key information about statistical objects in tidy tibbles. This makes it easy to report results, create plots and consistently work with large numbers of models at once. Broom provides three verbs that each provide different types of information about a model. tidy() summarizes information about model components such as coefficients of a regression. glance() reports information about an entire model, such as goodness of fit measures like AIC and BIC. augment() adds information about individual observations to a dataset, such as fitted values or influence measures.","citation-key":"robinsonBroomConvertStatistical2026","collection-title":"R package version 1.0.13","DOI":"10.32614/CRAN.package.broom","license":"MIT + file LICENSE","source":"R-Packages","title":"broom: Convert Statistical Objects into Tidy Tibbles","title-short":"broom","URL":"https://cran.r-project.org/web/packages/broom/index.html","version":"R package version 1.0.13","author":[{"family":"Robinson","given":"David"},{"family":"Hayes","given":"Alex"},{"family":"Couch","given":"Simon"},{"family":"Hvitfeldt","given":"Emil"},{"literal":"Posit Software PBC"},{"family":"Patil","given":"Indrajeet"},{"family":"Chiu","given":"Derek"},{"family":"Gomez","given":"Matthieu"},{"family":"Demeshev","given":"Boris"},{"family":"Menne","given":"Dieter"},{"family":"Nutter","given":"Benjamin"},{"family":"Johnston","given":"Luke"},{"family":"Bolker","given":"Ben"},{"family":"Briatte","given":"Francois"},{"family":"Arnold","given":"Jeffrey"},{"family":"Gabry","given":"Jonah"},{"family":"Selzer","given":"Luciano"},{"family":"Simpson","given":"Gavin"},{"family":"Preussner","given":"Jens"},{"family":"Hesselberth","given":"Jay"},{"family":"Wickham","given":"Hadley"},{"family":"Lincoln","given":"Matthew"},{"family":"Gasparini","given":"Alessandro"},{"family":"Komsta","given":"Lukasz"},{"family":"Novometsky","given":"Frederick"},{"family":"Freitas","given":"Wilson"},{"family":"Evans","given":"Michelle"},{"family":"Brunson","given":"Jason Cory"},{"family":"Jackson","given":"Simon"},{"family":"Whalley","given":"Ben"},{"family":"Whiting","given":"Karissa"},{"family":"Rosseel","given":"Yves"},{"family":"Kuehn","given":"Michael"},{"family":"Cimentada","given":"Jorge"},{"family":"Holgersen","given":"Erle"},{"family":"Werner","given":"Karl Dunkle"},{"family":"Christensen","given":"Ethan"},{"family":"Pav","given":"Steven"},{"family":"PJ","given":"Paul"},{"family":"Schneider","given":"Ben"},{"family":"Kennedy","given":"Patrick"},{"family":"Medina","given":"Lily"},{"family":"Fannin","given":"Brian"},{"family":"Muhlenkamp","given":"Jason"},{"family":"Lehman","given":"Matt"},{"family":"Denney","given":"Bill"},{"family":"Crane","given":"Nic"},{"family":"Bates","given":"Andrew"},{"family":"Arel-Bundock","given":"Vincent"},{"family":"Hayashi","given":"Hideaki"},{"family":"Tobalina","given":"Luis"},{"family":"Wang","given":"Annie"},{"family":"Tham","given":"Wei Yang"},{"family":"Wang","given":"Clara"},{"family":"Smith","given":"Abby"},{"family":"Cooper","given":"Jasper"},{"family":"Krauska","given":"E. Auden"},{"family":"Wang","given":"Alex"},{"family":"Barrett","given":"Malcolm"},{"family":"Gray","given":"Charles"},{"family":"Wilber","given":"Jared"},{"family":"Gegzna","given":"Vilmantas"},{"family":"Szoecs","given":"Eduard"},{"family":"Aust","given":"Frederik"},{"family":"Moore","given":"Angus"},{"family":"Williams","given":"Nick"},{"family":"Barth","given":"Marius"},{"family":"Wundervald","given":"Bruna"},{"family":"Cahoon","given":"Joyce"},{"family":"McDermott","given":"Grant"},{"family":"Zarca","given":"Kevin"},{"family":"Kuriwaki","given":"Shiro"},{"family":"Wallrich","given":"Lukas"},{"family":"Martherus","given":"James"},{"family":"Xiao","given":"Chuliang"},{"family":"Larmarange","given":"Joseph"},{"family":"Kuhn","given":"Max"},{"family":"Bojanowski","given":"Michal"},{"family":"Malmedal","given":"Hakon"},{"family":"Wang","given":"Clara"},{"family":"Oller","given":"Sergio"},{"family":"Sonnet","given":"Luke"},{"family":"Hester","given":"Jim"},{"family":"Schneider","given":"Ben"},{"family":"Gray","given":"Bernie"},{"family":"Averick","given":"Mara"},{"family":"Jacobs","given":"Aaron"},{"family":"Bender","given":"Andreas"},{"family":"Templer","given":"Sven"},{"family":"Buerkner","given":"Paul-Christian"},{"family":"Kay","given":"Matthew"},{"family":"Pennec","given":"Erwan Le"},{"family":"Junkka","given":"Johan"},{"family":"Zhu","given":"Hao"},{"family":"Soltoff","given":"Benjamin"},{"family":"Saldana","given":"Zoe Wilkinson"},{"family":"Littlefield","given":"Tyler"},{"family":"Gray","given":"Charles T."},{"family":"Banks","given":"Shabbh E."},{"family":"Robinson","given":"Serina"},{"family":"Bivand","given":"Roger"},{"family":"Ots","given":"Riinu"},{"family":"Williams","given":"Nicholas"},{"family":"Jakobsen","given":"Nina"},{"family":"Weylandt","given":"Michael"},{"family":"Lendway","given":"Lisa"},{"family":"Hailperin","given":"Karl"},{"family":"Rodriguez","given":"Josue"},{"family":"Bryan","given":"Jenny"},{"family":"Jarvis","given":"Chris"},{"family":"Macfarlane","given":"Greg"},{"family":"Mannakee","given":"Brian"},{"family":"Tyre","given":"Drew"},{"family":"Singh","given":"Shreyas"},{"family":"Geffert","given":"Laurens"},{"family":"Ooi","given":"Hong"},{"family":"Bengtsson","given":"Henrik"},{"family":"Szocs","given":"Eduard"},{"family":"Hugh-Jones","given":"David"},{"family":"Stigler","given":"Matthieu"},{"family":"Tavares","given":"Hugo"},{"family":"Vervoort","given":"R. Willem"},{"family":"Wiernik","given":"Brenton M."},{"family":"Yamamoto","given":"Josh"},{"family":"Lee","given":"Jasme"},{"family":"Sanders","given":"Taren"},{"family":"Prosdocimi","given":"Ilaria"},{"family":"Sjoberg","given":"Daniel D."},{"family":"Reinhart","given":"Alex"}],"accessed":{"date-parts":[["2026",6,8]]},"issued":{"date-parts":[["2026",5,14]]}}}],"schema":"https://github.com/citation-style-language/schema/raw/master/csl-citation.json"} </w:instrText>
      </w:r>
      <w:r w:rsidR="00706259">
        <w:fldChar w:fldCharType="separate"/>
      </w:r>
      <w:r w:rsidR="00706259" w:rsidRPr="00706259">
        <w:rPr>
          <w:vertAlign w:val="superscript"/>
        </w:rPr>
        <w:t>24</w:t>
      </w:r>
      <w:r w:rsidR="00706259">
        <w:fldChar w:fldCharType="end"/>
      </w:r>
      <w:r w:rsidRPr="00150AFE">
        <w:t xml:space="preserve">, and </w:t>
      </w:r>
      <w:r w:rsidR="00C11FF7" w:rsidRPr="00C11FF7">
        <w:rPr>
          <w:rStyle w:val="CodeChar"/>
        </w:rPr>
        <w:t>msigdbr</w:t>
      </w:r>
      <w:r w:rsidR="00C11FF7">
        <w:fldChar w:fldCharType="begin"/>
      </w:r>
      <w:r w:rsidR="00706259">
        <w:instrText xml:space="preserve"> ADDIN ZOTERO_ITEM CSL_CITATION {"citationID":"YDvtsCx6","properties":{"unsorted":false,"formattedCitation":"\\super 25\\nosupersub{}","plainCitation":"25","noteIndex":0},"citationItems":[{"id":6258,"uris":["http://zotero.org/users/17607594/items/FPKG2TQY"],"itemData":{"id":6258,"type":"software","abstract":"Provides the 'Molecular Signatures Database' (MSigDB) gene sets typically used with the 'Gene Set Enrichment Analysis' (GSEA) software (Subramanian et al. 2005 &lt;doi:10.1073/pnas.0506580102&gt;, Liberzon et al. 2015 &lt;doi:10.1016/j.cels.2015.12.004&gt;, Castanza et al. 2023 &lt;doi:10.1038/s41592-023-02014-7&gt;) as an R data frame. The package includes the human genes as listed in MSigDB as well as the corresponding symbols and IDs for frequently studied model organisms such as mouse, rat, pig, fly, and yeast.","citation-key":"dolgalevMsigdbrMSigDBGene2026","collection-title":"R package version 26.1.0","DOI":"10.32614/CRAN.package.msigdbr","license":"MIT + file LICENSE","source":"R-Packages","title":"msigdbr: MSigDB gene sets for multiple organisms in a tidy data format","title-short":"msigdbr","URL":"https://cran.r-project.org/web/packages/msigdbr/index.html","version":"R package version 26.1.0","author":[{"family":"Dolgalev","given":"Igor"}],"accessed":{"date-parts":[["2026",6,8]]},"issued":{"date-parts":[["2026",3,12]]}}}],"schema":"https://github.com/citation-style-language/schema/raw/master/csl-citation.json"} </w:instrText>
      </w:r>
      <w:r w:rsidR="00C11FF7">
        <w:fldChar w:fldCharType="separate"/>
      </w:r>
      <w:r w:rsidR="00706259" w:rsidRPr="00706259">
        <w:rPr>
          <w:vertAlign w:val="superscript"/>
        </w:rPr>
        <w:t>25</w:t>
      </w:r>
      <w:r w:rsidR="00C11FF7">
        <w:fldChar w:fldCharType="end"/>
      </w:r>
      <w:r w:rsidRPr="00150AFE">
        <w:t>. A global random seed of 42 was set prior to all stochastic steps. The pipeline is orchestrated by a single entry-point script (</w:t>
      </w:r>
      <w:proofErr w:type="spellStart"/>
      <w:r w:rsidRPr="00D27C42">
        <w:rPr>
          <w:rFonts w:ascii="Courier New" w:hAnsi="Courier New" w:cs="Courier New"/>
          <w:b/>
          <w:bCs/>
        </w:rPr>
        <w:t>run_</w:t>
      </w:r>
      <w:proofErr w:type="gramStart"/>
      <w:r w:rsidRPr="00D27C42">
        <w:rPr>
          <w:rFonts w:ascii="Courier New" w:hAnsi="Courier New" w:cs="Courier New"/>
          <w:b/>
          <w:bCs/>
        </w:rPr>
        <w:t>analysis.R</w:t>
      </w:r>
      <w:proofErr w:type="spellEnd"/>
      <w:proofErr w:type="gramEnd"/>
      <w:r w:rsidRPr="00150AFE">
        <w:t xml:space="preserve">) that sources fourteen modular scripts in a defined sequence, with centralised logging, timing, and error handling. </w:t>
      </w:r>
    </w:p>
    <w:p w14:paraId="401BE115" w14:textId="77777777" w:rsidR="00872381" w:rsidRDefault="00872381" w:rsidP="00872381">
      <w:pPr>
        <w:pStyle w:val="Heading3"/>
      </w:pPr>
      <w:r>
        <w:t>3.1 Data Acquisition and Integration</w:t>
      </w:r>
    </w:p>
    <w:p w14:paraId="1FC3804D" w14:textId="3BFFAEF3" w:rsidR="00872381" w:rsidRDefault="00872381" w:rsidP="00872381">
      <w:r>
        <w:t xml:space="preserve">Multi-omics and clinical data were obtained from the TCGA Kidney Renal Clear Cell Carcinoma (TCGA-KIRC) </w:t>
      </w:r>
      <w:proofErr w:type="spellStart"/>
      <w:r>
        <w:t>PanCancer</w:t>
      </w:r>
      <w:proofErr w:type="spellEnd"/>
      <w:r>
        <w:t xml:space="preserve"> Atlas cohort through cBioPortal. Four data modalities were analysed: clinical metadata, reverse-phase protein array (RPPA) proteomics, RNA sequencing (RNA-</w:t>
      </w:r>
      <w:proofErr w:type="spellStart"/>
      <w:r>
        <w:t>seq</w:t>
      </w:r>
      <w:proofErr w:type="spellEnd"/>
      <w:r>
        <w:t>) expression, and somatic copy number alteration (CNA) data.</w:t>
      </w:r>
    </w:p>
    <w:p w14:paraId="2A1DCC49" w14:textId="77777777" w:rsidR="00872381" w:rsidRDefault="00872381" w:rsidP="00872381">
      <w:r>
        <w:t>Clinical patient-level and sample-level datasets were merged and standardised using TCGA sample identifiers. RPPA and RNA-</w:t>
      </w:r>
      <w:proofErr w:type="spellStart"/>
      <w:r>
        <w:t>seq</w:t>
      </w:r>
      <w:proofErr w:type="spellEnd"/>
      <w:r>
        <w:t xml:space="preserve"> data were reshaped into sample-by-feature matrices, while CNA data were restricted to a curated panel of biologically relevant ccRCC driver genes. Data layers were integrated by sample matching to generate a unified analysis cohort containing complete multi-omics profiles and survival outcomes.</w:t>
      </w:r>
    </w:p>
    <w:p w14:paraId="4928AD18" w14:textId="3E4F1985" w:rsidR="00872381" w:rsidRDefault="00872381" w:rsidP="00872381">
      <w:r>
        <w:t xml:space="preserve">Overall survival was defined using TCGA overall survival status and follow-up time variables. Patients recorded as deceased were treated as events, while all others were considered </w:t>
      </w:r>
      <w:proofErr w:type="gramStart"/>
      <w:r>
        <w:t>right-censored</w:t>
      </w:r>
      <w:proofErr w:type="gramEnd"/>
      <w:r>
        <w:t>.</w:t>
      </w:r>
    </w:p>
    <w:p w14:paraId="58445160" w14:textId="77777777" w:rsidR="00872381" w:rsidRPr="00872381" w:rsidRDefault="00872381" w:rsidP="00872381">
      <w:pPr>
        <w:pStyle w:val="Heading3"/>
      </w:pPr>
      <w:r w:rsidRPr="00872381">
        <w:t>3.2 Clinical Feature Selection</w:t>
      </w:r>
    </w:p>
    <w:p w14:paraId="4FF2ABBD" w14:textId="77777777" w:rsidR="00872381" w:rsidRPr="00872381" w:rsidRDefault="00872381" w:rsidP="00872381">
      <w:r w:rsidRPr="00872381">
        <w:t>An initial set of candidate clinical variables was assembled from the TCGA clinical metadata. Administrative identifiers, procedural variables, post-baseline outcome variables, and variables exhibiting no meaningful variation within the cohort were excluded prior to analysis.</w:t>
      </w:r>
    </w:p>
    <w:p w14:paraId="2BB33FA9" w14:textId="77777777" w:rsidR="00872381" w:rsidRPr="00872381" w:rsidRDefault="00872381" w:rsidP="00872381">
      <w:r w:rsidRPr="00872381">
        <w:t xml:space="preserve">Remaining candidate predictors were evaluated using univariable Cox proportional hazards regression. For categorical variables, overall likelihood-ratio test statistics were used to generate a single p-value per variable. Multiple testing correction was performed using the </w:t>
      </w:r>
      <w:r w:rsidRPr="00872381">
        <w:lastRenderedPageBreak/>
        <w:t>Benjamini-Hochberg false discovery rate procedure, and variables with adjusted p-values below 0.05 were retained.</w:t>
      </w:r>
    </w:p>
    <w:p w14:paraId="169E139C" w14:textId="77777777" w:rsidR="00872381" w:rsidRPr="00872381" w:rsidRDefault="00872381" w:rsidP="00872381">
      <w:r w:rsidRPr="00872381">
        <w:t>Because the individual TNM staging variables are highly correlated with composite AJCC pathological stage, a predefined collinearity rule retained the composite stage variable when both representations were significant. The resulting set of selected clinical predictors formed the baseline model used throughout all downstream analyses.</w:t>
      </w:r>
    </w:p>
    <w:p w14:paraId="69DF00BD" w14:textId="77777777" w:rsidR="00872381" w:rsidRPr="00872381" w:rsidRDefault="00872381" w:rsidP="00872381">
      <w:pPr>
        <w:pStyle w:val="Heading3"/>
      </w:pPr>
      <w:r w:rsidRPr="00872381">
        <w:t>3.3 RPPA Proteomic Feature Selection</w:t>
      </w:r>
    </w:p>
    <w:p w14:paraId="2B2C4048" w14:textId="77777777" w:rsidR="00872381" w:rsidRPr="00872381" w:rsidRDefault="00872381" w:rsidP="00872381">
      <w:r w:rsidRPr="00872381">
        <w:t>RPPA data comprised 198 quantified protein features. Each protein was screened independently using univariable Cox regression to identify associations with overall survival.</w:t>
      </w:r>
    </w:p>
    <w:p w14:paraId="5BAADA07" w14:textId="77777777" w:rsidR="00872381" w:rsidRPr="00872381" w:rsidRDefault="00872381" w:rsidP="00872381">
      <w:r w:rsidRPr="00872381">
        <w:t>To derive a parsimonious multivariable protein signature, the 30 strongest proteins from the univariable screen were entered into a cross-validated least absolute shrinkage and selection operator (</w:t>
      </w:r>
      <w:r w:rsidRPr="00872381">
        <w:rPr>
          <w:i/>
          <w:iCs/>
        </w:rPr>
        <w:t>LASSO</w:t>
      </w:r>
      <w:r w:rsidRPr="00872381">
        <w:t>) Cox regression model. Clinical variables were intentionally excluded from the regularisation procedure to prevent dominant clinical predictors such as stage and grade from suppressing molecular feature selection.</w:t>
      </w:r>
    </w:p>
    <w:p w14:paraId="447B3082" w14:textId="77777777" w:rsidR="00872381" w:rsidRDefault="00872381" w:rsidP="00872381">
      <w:r w:rsidRPr="00872381">
        <w:t xml:space="preserve">The </w:t>
      </w:r>
      <w:r w:rsidRPr="00872381">
        <w:rPr>
          <w:i/>
          <w:iCs/>
        </w:rPr>
        <w:t>LASSO</w:t>
      </w:r>
      <w:r w:rsidRPr="00872381">
        <w:t xml:space="preserve"> model was fitted using 10-fold cross-validation. Features with non-zero coefficients at the selected penalty parameter were retained for subsequent survival modelling. A maximum of ten proteins was imposed to maintain an acceptable events-per-variable ratio and reduce overfitting risk.</w:t>
      </w:r>
    </w:p>
    <w:p w14:paraId="28A3E58B" w14:textId="77777777" w:rsidR="00872381" w:rsidRDefault="00872381" w:rsidP="00872381">
      <w:pPr>
        <w:pStyle w:val="Heading3"/>
      </w:pPr>
      <w:r>
        <w:t>3.4 Transcriptomic Feature Construction</w:t>
      </w:r>
    </w:p>
    <w:p w14:paraId="36158404" w14:textId="67FFC101" w:rsidR="00872381" w:rsidRDefault="00872381" w:rsidP="00872381">
      <w:r>
        <w:t>RNA-</w:t>
      </w:r>
      <w:proofErr w:type="spellStart"/>
      <w:r>
        <w:t>seq</w:t>
      </w:r>
      <w:proofErr w:type="spellEnd"/>
      <w:r>
        <w:t xml:space="preserve"> data were processed using a hybrid knowledge-driven and data-driven strategy.</w:t>
      </w:r>
      <w:r>
        <w:t xml:space="preserve"> </w:t>
      </w:r>
    </w:p>
    <w:p w14:paraId="4134F323" w14:textId="394004AA" w:rsidR="00872381" w:rsidRDefault="00872381" w:rsidP="00872381">
      <w:r>
        <w:t xml:space="preserve">For the knowledge-driven analysis, eight biological pathway signatures were retrieved from the </w:t>
      </w:r>
      <w:proofErr w:type="spellStart"/>
      <w:r>
        <w:t>MSigDB</w:t>
      </w:r>
      <w:proofErr w:type="spellEnd"/>
      <w:r>
        <w:t>. These pathways represented two biological themes relevant to ccRCC progression: inflammatory invasion (including neutrophil activation, neutrophil degranulation, inflammatory response, extracellular matrix remodelling, and metalloprotease activity) and kinase signalling.</w:t>
      </w:r>
    </w:p>
    <w:p w14:paraId="03440952" w14:textId="77777777" w:rsidR="00E4404C" w:rsidRDefault="00872381" w:rsidP="00872381">
      <w:r>
        <w:t xml:space="preserve">Genes absent from the expression matrix were discarded, duplicate mappings were resolved, and quality-control filtering removed zero-variance genes and genes with more than 20% </w:t>
      </w:r>
      <w:r>
        <w:lastRenderedPageBreak/>
        <w:t>missing data. Expression values were log-transformed prior to analysis. For each pathway, principal component analysis (PCA) was applied to the corresponding gene set, and the first principal component (PC1) was retained as a pathway activity score. These scores provided a single quantitative summary of coordinated pathway expression for each sample.</w:t>
      </w:r>
    </w:p>
    <w:p w14:paraId="3CABA148" w14:textId="75240E43" w:rsidR="00872381" w:rsidRPr="00872381" w:rsidRDefault="00872381" w:rsidP="00872381">
      <w:r>
        <w:t>In parallel, a data-driven transcriptomic screen was conducted across all retained genes using univariable Cox regression. The twenty genes most strongly associated with survival were identified, and a joint PC1 score was calculated to generate an alternative transcriptomic feature representing the dominant survival-associated expression pattern.</w:t>
      </w:r>
    </w:p>
    <w:p w14:paraId="33ACF466" w14:textId="77777777" w:rsidR="00E4404C" w:rsidRDefault="00E4404C" w:rsidP="00E4404C">
      <w:pPr>
        <w:pStyle w:val="Heading3"/>
      </w:pPr>
      <w:r>
        <w:t>3.5 Copy Number Alteration Features</w:t>
      </w:r>
    </w:p>
    <w:p w14:paraId="6D359576" w14:textId="77777777" w:rsidR="00E4404C" w:rsidRDefault="00E4404C" w:rsidP="00E4404C">
      <w:r>
        <w:t>CNA analysis focused on a curated panel of established ccRCC driver genes: VHL, PBRM1, BAP1, SETD2, KDM5C, MTOR, PTEN, TSC1, and TSC2.</w:t>
      </w:r>
    </w:p>
    <w:p w14:paraId="4F07C58B" w14:textId="78BE5CD6" w:rsidR="00872381" w:rsidRDefault="00E4404C" w:rsidP="00E4404C">
      <w:r>
        <w:t>Only high-impact focal events were considered, defined as deep deletions or high-level amplifications according to GISTIC classifications. To avoid instability arising from extremely rare alterations, prevalence filtering was applied, with progressive threshold relaxation where necessary to retain informative features. Retained CNA events were encoded as binary predictors for survival modelling.</w:t>
      </w:r>
    </w:p>
    <w:p w14:paraId="37CFC635" w14:textId="301AF7D4" w:rsidR="00E4404C" w:rsidRDefault="00E4404C" w:rsidP="00E4404C">
      <w:pPr>
        <w:pStyle w:val="Heading3"/>
      </w:pPr>
      <w:r>
        <w:t>3.6 Survival Modelling and Cross-Validation</w:t>
      </w:r>
    </w:p>
    <w:p w14:paraId="79559C49" w14:textId="6B90E12A" w:rsidR="00E4404C" w:rsidRDefault="00E4404C" w:rsidP="00E4404C">
      <w:r>
        <w:t>Six Cox proportional hazards model configurations were evaluated:</w:t>
      </w:r>
    </w:p>
    <w:p w14:paraId="64598617" w14:textId="77777777" w:rsidR="00E4404C" w:rsidRDefault="00E4404C" w:rsidP="00E4404C">
      <w:pPr>
        <w:pStyle w:val="ListParagraph"/>
        <w:numPr>
          <w:ilvl w:val="0"/>
          <w:numId w:val="2"/>
        </w:numPr>
      </w:pPr>
      <w:r>
        <w:t>Clinical baseline model.</w:t>
      </w:r>
    </w:p>
    <w:p w14:paraId="597A1E02" w14:textId="77777777" w:rsidR="00E4404C" w:rsidRDefault="00E4404C" w:rsidP="00E4404C">
      <w:pPr>
        <w:pStyle w:val="ListParagraph"/>
        <w:numPr>
          <w:ilvl w:val="0"/>
          <w:numId w:val="2"/>
        </w:numPr>
      </w:pPr>
      <w:r>
        <w:t>Clinical plus RPPA proteomics.</w:t>
      </w:r>
    </w:p>
    <w:p w14:paraId="3CDE2405" w14:textId="77777777" w:rsidR="00E4404C" w:rsidRDefault="00E4404C" w:rsidP="00E4404C">
      <w:pPr>
        <w:pStyle w:val="ListParagraph"/>
        <w:numPr>
          <w:ilvl w:val="0"/>
          <w:numId w:val="2"/>
        </w:numPr>
      </w:pPr>
      <w:r>
        <w:t>Clinical plus curated RNA pathway scores.</w:t>
      </w:r>
    </w:p>
    <w:p w14:paraId="31189FDF" w14:textId="77777777" w:rsidR="00E4404C" w:rsidRDefault="00E4404C" w:rsidP="00E4404C">
      <w:pPr>
        <w:pStyle w:val="ListParagraph"/>
        <w:numPr>
          <w:ilvl w:val="0"/>
          <w:numId w:val="2"/>
        </w:numPr>
      </w:pPr>
      <w:r>
        <w:t>Clinical plus CNA features.</w:t>
      </w:r>
    </w:p>
    <w:p w14:paraId="18B9EF80" w14:textId="77777777" w:rsidR="00E4404C" w:rsidRDefault="00E4404C" w:rsidP="00E4404C">
      <w:pPr>
        <w:pStyle w:val="ListParagraph"/>
        <w:numPr>
          <w:ilvl w:val="0"/>
          <w:numId w:val="2"/>
        </w:numPr>
      </w:pPr>
      <w:r>
        <w:t>Clinical plus data-driven RNA score.</w:t>
      </w:r>
    </w:p>
    <w:p w14:paraId="35F23A93" w14:textId="23270557" w:rsidR="00E4404C" w:rsidRDefault="00E4404C" w:rsidP="00E4404C">
      <w:pPr>
        <w:pStyle w:val="ListParagraph"/>
        <w:numPr>
          <w:ilvl w:val="0"/>
          <w:numId w:val="2"/>
        </w:numPr>
      </w:pPr>
      <w:r>
        <w:t>Integrated multi-omics model.</w:t>
      </w:r>
    </w:p>
    <w:p w14:paraId="176C02C1" w14:textId="238E3F81" w:rsidR="00E4404C" w:rsidRDefault="00E4404C" w:rsidP="00E4404C">
      <w:r>
        <w:t>Model performance was assessed using stratified five-fold cross-validation. Folds were stratified by event status to preserve similar proportions of deaths across training and testing partitions. For each fold, models were trained on the training subset and evaluated on held-out samples.</w:t>
      </w:r>
    </w:p>
    <w:p w14:paraId="4748FA56" w14:textId="1FD7596C" w:rsidR="00E4404C" w:rsidRDefault="00E4404C" w:rsidP="00E4404C">
      <w:r>
        <w:lastRenderedPageBreak/>
        <w:t>Predictive discrimination was quantified using Harrell’s concordance index (C-index), calculated from out-of-fold predictions. Mean cross-validated C-indices and corresponding confidence intervals were used to compare model performance and estimate the incremental value contributed by each molecular data layer relative to the clinical baseline.</w:t>
      </w:r>
    </w:p>
    <w:p w14:paraId="2483E83C" w14:textId="7E94719C" w:rsidR="00E4404C" w:rsidRDefault="00E4404C" w:rsidP="00E4404C">
      <w:r>
        <w:t>Following model comparison, the final integrated model was fitted to the complete-case cohort to estimate hazard ratios and generate biological interpretations of the retained predictors.</w:t>
      </w:r>
    </w:p>
    <w:p w14:paraId="51A47241" w14:textId="424F13C5" w:rsidR="00E4404C" w:rsidRDefault="00E4404C" w:rsidP="00E4404C">
      <w:pPr>
        <w:pStyle w:val="Heading3"/>
      </w:pPr>
      <w:r>
        <w:t>3.7 Survival Assumption Testing</w:t>
      </w:r>
    </w:p>
    <w:p w14:paraId="39A52CB1" w14:textId="5DF605F3" w:rsidR="00C5345B" w:rsidRDefault="00E4404C" w:rsidP="00417F53">
      <w:pPr>
        <w:rPr>
          <w:rFonts w:eastAsiaTheme="majorEastAsia"/>
          <w:b/>
          <w:bCs/>
          <w:sz w:val="32"/>
          <w:szCs w:val="32"/>
        </w:rPr>
      </w:pPr>
      <w:r>
        <w:t>The proportional hazards assumption was assessed using Schoenfeld residual tests applied to the clinical baseline model. Any detected violations were reported and considered during interpretation of model coefficients and survival estimates.</w:t>
      </w:r>
      <w:r w:rsidR="00C5345B">
        <w:br w:type="page"/>
      </w:r>
    </w:p>
    <w:p w14:paraId="5A7CC705" w14:textId="5788E424" w:rsidR="00D27C42" w:rsidRPr="00D27C42" w:rsidRDefault="00D27C42" w:rsidP="000972D6">
      <w:pPr>
        <w:pStyle w:val="Heading2"/>
        <w:rPr>
          <w:sz w:val="20"/>
          <w:szCs w:val="20"/>
        </w:rPr>
      </w:pPr>
      <w:r>
        <w:lastRenderedPageBreak/>
        <w:t>4. References</w:t>
      </w:r>
    </w:p>
    <w:p w14:paraId="5EAE55FC" w14:textId="77777777" w:rsidR="00164DE6" w:rsidRPr="003A7A9B" w:rsidRDefault="00D27C42" w:rsidP="00164DE6">
      <w:pPr>
        <w:pStyle w:val="Bibliography"/>
        <w:rPr>
          <w:sz w:val="20"/>
          <w:szCs w:val="20"/>
        </w:rPr>
      </w:pPr>
      <w:r w:rsidRPr="003A7A9B">
        <w:rPr>
          <w:sz w:val="20"/>
          <w:szCs w:val="20"/>
        </w:rPr>
        <w:fldChar w:fldCharType="begin"/>
      </w:r>
      <w:r w:rsidR="00C5345B" w:rsidRPr="003A7A9B">
        <w:rPr>
          <w:sz w:val="20"/>
          <w:szCs w:val="20"/>
        </w:rPr>
        <w:instrText xml:space="preserve"> ADDIN ZOTERO_BIBL {"uncited":[],"omitted":[],"custom":[]} CSL_BIBLIOGRAPHY </w:instrText>
      </w:r>
      <w:r w:rsidRPr="003A7A9B">
        <w:rPr>
          <w:sz w:val="20"/>
          <w:szCs w:val="20"/>
        </w:rPr>
        <w:fldChar w:fldCharType="separate"/>
      </w:r>
      <w:r w:rsidR="00164DE6" w:rsidRPr="003A7A9B">
        <w:rPr>
          <w:sz w:val="20"/>
          <w:szCs w:val="20"/>
        </w:rPr>
        <w:t xml:space="preserve">1. </w:t>
      </w:r>
      <w:r w:rsidR="00164DE6" w:rsidRPr="003A7A9B">
        <w:rPr>
          <w:sz w:val="20"/>
          <w:szCs w:val="20"/>
        </w:rPr>
        <w:tab/>
        <w:t xml:space="preserve">Motzer RJ, </w:t>
      </w:r>
      <w:proofErr w:type="spellStart"/>
      <w:r w:rsidR="00164DE6" w:rsidRPr="003A7A9B">
        <w:rPr>
          <w:sz w:val="20"/>
          <w:szCs w:val="20"/>
        </w:rPr>
        <w:t>Jonasch</w:t>
      </w:r>
      <w:proofErr w:type="spellEnd"/>
      <w:r w:rsidR="00164DE6" w:rsidRPr="003A7A9B">
        <w:rPr>
          <w:sz w:val="20"/>
          <w:szCs w:val="20"/>
        </w:rPr>
        <w:t xml:space="preserve"> E, Agarwal N, Alva A, Baine M, Beckermann K, et al. Kidney Cancer, Version 3.2022, NCCN Clinical Practice Guidelines in Oncology. J Natl </w:t>
      </w:r>
      <w:proofErr w:type="spellStart"/>
      <w:r w:rsidR="00164DE6" w:rsidRPr="003A7A9B">
        <w:rPr>
          <w:sz w:val="20"/>
          <w:szCs w:val="20"/>
        </w:rPr>
        <w:t>Compr</w:t>
      </w:r>
      <w:proofErr w:type="spellEnd"/>
      <w:r w:rsidR="00164DE6" w:rsidRPr="003A7A9B">
        <w:rPr>
          <w:sz w:val="20"/>
          <w:szCs w:val="20"/>
        </w:rPr>
        <w:t xml:space="preserve"> </w:t>
      </w:r>
      <w:proofErr w:type="spellStart"/>
      <w:r w:rsidR="00164DE6" w:rsidRPr="003A7A9B">
        <w:rPr>
          <w:sz w:val="20"/>
          <w:szCs w:val="20"/>
        </w:rPr>
        <w:t>Canc</w:t>
      </w:r>
      <w:proofErr w:type="spellEnd"/>
      <w:r w:rsidR="00164DE6" w:rsidRPr="003A7A9B">
        <w:rPr>
          <w:sz w:val="20"/>
          <w:szCs w:val="20"/>
        </w:rPr>
        <w:t xml:space="preserve"> </w:t>
      </w:r>
      <w:proofErr w:type="spellStart"/>
      <w:r w:rsidR="00164DE6" w:rsidRPr="003A7A9B">
        <w:rPr>
          <w:sz w:val="20"/>
          <w:szCs w:val="20"/>
        </w:rPr>
        <w:t>Netw</w:t>
      </w:r>
      <w:proofErr w:type="spellEnd"/>
      <w:r w:rsidR="00164DE6" w:rsidRPr="003A7A9B">
        <w:rPr>
          <w:sz w:val="20"/>
          <w:szCs w:val="20"/>
        </w:rPr>
        <w:t xml:space="preserve"> [Internet]. 2022 Jan 1;20(1):71–90. Available from: https://doi.org/10.6004/jnccn.2022.0001</w:t>
      </w:r>
    </w:p>
    <w:p w14:paraId="612599F5" w14:textId="77777777" w:rsidR="00164DE6" w:rsidRPr="003A7A9B" w:rsidRDefault="00164DE6" w:rsidP="00164DE6">
      <w:pPr>
        <w:pStyle w:val="Bibliography"/>
        <w:rPr>
          <w:sz w:val="20"/>
          <w:szCs w:val="20"/>
        </w:rPr>
      </w:pPr>
      <w:r w:rsidRPr="003A7A9B">
        <w:rPr>
          <w:sz w:val="20"/>
          <w:szCs w:val="20"/>
        </w:rPr>
        <w:t xml:space="preserve">2. </w:t>
      </w:r>
      <w:r w:rsidRPr="003A7A9B">
        <w:rPr>
          <w:sz w:val="20"/>
          <w:szCs w:val="20"/>
        </w:rPr>
        <w:tab/>
      </w:r>
      <w:proofErr w:type="spellStart"/>
      <w:r w:rsidRPr="003A7A9B">
        <w:rPr>
          <w:sz w:val="20"/>
          <w:szCs w:val="20"/>
        </w:rPr>
        <w:t>Chifu</w:t>
      </w:r>
      <w:proofErr w:type="spellEnd"/>
      <w:r w:rsidRPr="003A7A9B">
        <w:rPr>
          <w:sz w:val="20"/>
          <w:szCs w:val="20"/>
        </w:rPr>
        <w:t xml:space="preserve"> MB, </w:t>
      </w:r>
      <w:proofErr w:type="spellStart"/>
      <w:r w:rsidRPr="003A7A9B">
        <w:rPr>
          <w:sz w:val="20"/>
          <w:szCs w:val="20"/>
        </w:rPr>
        <w:t>Giușcă</w:t>
      </w:r>
      <w:proofErr w:type="spellEnd"/>
      <w:r w:rsidRPr="003A7A9B">
        <w:rPr>
          <w:sz w:val="20"/>
          <w:szCs w:val="20"/>
        </w:rPr>
        <w:t xml:space="preserve"> SE, Timofte AD, Costin CA, Rusu A, </w:t>
      </w:r>
      <w:proofErr w:type="spellStart"/>
      <w:r w:rsidRPr="003A7A9B">
        <w:rPr>
          <w:sz w:val="20"/>
          <w:szCs w:val="20"/>
        </w:rPr>
        <w:t>Ipatov</w:t>
      </w:r>
      <w:proofErr w:type="spellEnd"/>
      <w:r w:rsidRPr="003A7A9B">
        <w:rPr>
          <w:sz w:val="20"/>
          <w:szCs w:val="20"/>
        </w:rPr>
        <w:t xml:space="preserve"> AM, et al. Refining prognostic stratification in clear cell renal cell carcinoma: genomic, tissue-based, circulating biomarkers and integrated models. Cancers [Internet]. 2026 Apr 25;18(9):1371. Available from: https://doi.org/10.3390/cancers18091371</w:t>
      </w:r>
    </w:p>
    <w:p w14:paraId="7A903E0B" w14:textId="77777777" w:rsidR="00164DE6" w:rsidRPr="003A7A9B" w:rsidRDefault="00164DE6" w:rsidP="00164DE6">
      <w:pPr>
        <w:pStyle w:val="Bibliography"/>
        <w:rPr>
          <w:sz w:val="20"/>
          <w:szCs w:val="20"/>
        </w:rPr>
      </w:pPr>
      <w:r w:rsidRPr="003A7A9B">
        <w:rPr>
          <w:sz w:val="20"/>
          <w:szCs w:val="20"/>
        </w:rPr>
        <w:t xml:space="preserve">3. </w:t>
      </w:r>
      <w:r w:rsidRPr="003A7A9B">
        <w:rPr>
          <w:sz w:val="20"/>
          <w:szCs w:val="20"/>
        </w:rPr>
        <w:tab/>
      </w:r>
      <w:proofErr w:type="spellStart"/>
      <w:r w:rsidRPr="003A7A9B">
        <w:rPr>
          <w:sz w:val="20"/>
          <w:szCs w:val="20"/>
        </w:rPr>
        <w:t>Gnarra</w:t>
      </w:r>
      <w:proofErr w:type="spellEnd"/>
      <w:r w:rsidRPr="003A7A9B">
        <w:rPr>
          <w:sz w:val="20"/>
          <w:szCs w:val="20"/>
        </w:rPr>
        <w:t xml:space="preserve"> JR, Tory K, Weng Y, Schmidt L, Wei MH, Li H, et al. Mutations of the VHL tumour suppressor gene in renal carcinoma. Nat Genet [Internet]. 1994 May;7(1):85–90. Available from: https://doi.org/10.1038/ng0594-85</w:t>
      </w:r>
    </w:p>
    <w:p w14:paraId="0AA9175F" w14:textId="77777777" w:rsidR="00164DE6" w:rsidRPr="003A7A9B" w:rsidRDefault="00164DE6" w:rsidP="00164DE6">
      <w:pPr>
        <w:pStyle w:val="Bibliography"/>
        <w:rPr>
          <w:sz w:val="20"/>
          <w:szCs w:val="20"/>
        </w:rPr>
      </w:pPr>
      <w:r w:rsidRPr="003A7A9B">
        <w:rPr>
          <w:sz w:val="20"/>
          <w:szCs w:val="20"/>
        </w:rPr>
        <w:t xml:space="preserve">4. </w:t>
      </w:r>
      <w:r w:rsidRPr="003A7A9B">
        <w:rPr>
          <w:sz w:val="20"/>
          <w:szCs w:val="20"/>
        </w:rPr>
        <w:tab/>
        <w:t>Cancer Genome Atlas Research Network. Comprehensive molecular characterization of clear cell renal cell carcinoma. Nature [Internet]. 2013 July 4;499(7456):43–9. Available from: https://doi.org/10.1038/nature12222</w:t>
      </w:r>
    </w:p>
    <w:p w14:paraId="13F2563B" w14:textId="77777777" w:rsidR="00164DE6" w:rsidRPr="003A7A9B" w:rsidRDefault="00164DE6" w:rsidP="00164DE6">
      <w:pPr>
        <w:pStyle w:val="Bibliography"/>
        <w:rPr>
          <w:sz w:val="20"/>
          <w:szCs w:val="20"/>
        </w:rPr>
      </w:pPr>
      <w:r w:rsidRPr="003A7A9B">
        <w:rPr>
          <w:sz w:val="20"/>
          <w:szCs w:val="20"/>
        </w:rPr>
        <w:t xml:space="preserve">5. </w:t>
      </w:r>
      <w:r w:rsidRPr="003A7A9B">
        <w:rPr>
          <w:sz w:val="20"/>
          <w:szCs w:val="20"/>
        </w:rPr>
        <w:tab/>
        <w:t xml:space="preserve">Németh T, Sperandio M, </w:t>
      </w:r>
      <w:proofErr w:type="spellStart"/>
      <w:r w:rsidRPr="003A7A9B">
        <w:rPr>
          <w:sz w:val="20"/>
          <w:szCs w:val="20"/>
        </w:rPr>
        <w:t>Mócsai</w:t>
      </w:r>
      <w:proofErr w:type="spellEnd"/>
      <w:r w:rsidRPr="003A7A9B">
        <w:rPr>
          <w:sz w:val="20"/>
          <w:szCs w:val="20"/>
        </w:rPr>
        <w:t xml:space="preserve"> A. Neutrophils as emerging therapeutic targets. Nat Rev Drug </w:t>
      </w:r>
      <w:proofErr w:type="spellStart"/>
      <w:r w:rsidRPr="003A7A9B">
        <w:rPr>
          <w:sz w:val="20"/>
          <w:szCs w:val="20"/>
        </w:rPr>
        <w:t>Discov</w:t>
      </w:r>
      <w:proofErr w:type="spellEnd"/>
      <w:r w:rsidRPr="003A7A9B">
        <w:rPr>
          <w:sz w:val="20"/>
          <w:szCs w:val="20"/>
        </w:rPr>
        <w:t xml:space="preserve"> [Internet]. 2020 Apr;19(4):253–75. Available from: https://doi.org/10.1038/s41573-019-0054-z</w:t>
      </w:r>
    </w:p>
    <w:p w14:paraId="52E2CA2F" w14:textId="77777777" w:rsidR="00164DE6" w:rsidRPr="003A7A9B" w:rsidRDefault="00164DE6" w:rsidP="00164DE6">
      <w:pPr>
        <w:pStyle w:val="Bibliography"/>
        <w:rPr>
          <w:sz w:val="20"/>
          <w:szCs w:val="20"/>
        </w:rPr>
      </w:pPr>
      <w:r w:rsidRPr="003A7A9B">
        <w:rPr>
          <w:sz w:val="20"/>
          <w:szCs w:val="20"/>
        </w:rPr>
        <w:t xml:space="preserve">6. </w:t>
      </w:r>
      <w:r w:rsidRPr="003A7A9B">
        <w:rPr>
          <w:sz w:val="20"/>
          <w:szCs w:val="20"/>
        </w:rPr>
        <w:tab/>
        <w:t xml:space="preserve">Cerami E, Gao J, </w:t>
      </w:r>
      <w:proofErr w:type="spellStart"/>
      <w:r w:rsidRPr="003A7A9B">
        <w:rPr>
          <w:sz w:val="20"/>
          <w:szCs w:val="20"/>
        </w:rPr>
        <w:t>Dogrusoz</w:t>
      </w:r>
      <w:proofErr w:type="spellEnd"/>
      <w:r w:rsidRPr="003A7A9B">
        <w:rPr>
          <w:sz w:val="20"/>
          <w:szCs w:val="20"/>
        </w:rPr>
        <w:t xml:space="preserve"> U, Gross BE, Sumer SO, Aksoy BA, et al. The </w:t>
      </w:r>
      <w:proofErr w:type="spellStart"/>
      <w:r w:rsidRPr="003A7A9B">
        <w:rPr>
          <w:sz w:val="20"/>
          <w:szCs w:val="20"/>
        </w:rPr>
        <w:t>cBio</w:t>
      </w:r>
      <w:proofErr w:type="spellEnd"/>
      <w:r w:rsidRPr="003A7A9B">
        <w:rPr>
          <w:sz w:val="20"/>
          <w:szCs w:val="20"/>
        </w:rPr>
        <w:t xml:space="preserve"> cancer genomics portal: an open platform for exploring multidimensional cancer genomics data. Cancer </w:t>
      </w:r>
      <w:proofErr w:type="spellStart"/>
      <w:r w:rsidRPr="003A7A9B">
        <w:rPr>
          <w:sz w:val="20"/>
          <w:szCs w:val="20"/>
        </w:rPr>
        <w:t>Discov</w:t>
      </w:r>
      <w:proofErr w:type="spellEnd"/>
      <w:r w:rsidRPr="003A7A9B">
        <w:rPr>
          <w:sz w:val="20"/>
          <w:szCs w:val="20"/>
        </w:rPr>
        <w:t xml:space="preserve"> [Internet]. 2012 May 9;2(5):401–4. Available from: https://doi.org/10.1158/2159-8290.CD-12-0095</w:t>
      </w:r>
    </w:p>
    <w:p w14:paraId="6173421E" w14:textId="77777777" w:rsidR="00164DE6" w:rsidRPr="003A7A9B" w:rsidRDefault="00164DE6" w:rsidP="00164DE6">
      <w:pPr>
        <w:pStyle w:val="Bibliography"/>
        <w:rPr>
          <w:sz w:val="20"/>
          <w:szCs w:val="20"/>
        </w:rPr>
      </w:pPr>
      <w:r w:rsidRPr="003A7A9B">
        <w:rPr>
          <w:sz w:val="20"/>
          <w:szCs w:val="20"/>
        </w:rPr>
        <w:t xml:space="preserve">7. </w:t>
      </w:r>
      <w:r w:rsidRPr="003A7A9B">
        <w:rPr>
          <w:sz w:val="20"/>
          <w:szCs w:val="20"/>
        </w:rPr>
        <w:tab/>
        <w:t xml:space="preserve">Gao J, Aksoy BA, </w:t>
      </w:r>
      <w:proofErr w:type="spellStart"/>
      <w:r w:rsidRPr="003A7A9B">
        <w:rPr>
          <w:sz w:val="20"/>
          <w:szCs w:val="20"/>
        </w:rPr>
        <w:t>Dogrusoz</w:t>
      </w:r>
      <w:proofErr w:type="spellEnd"/>
      <w:r w:rsidRPr="003A7A9B">
        <w:rPr>
          <w:sz w:val="20"/>
          <w:szCs w:val="20"/>
        </w:rPr>
        <w:t xml:space="preserve"> U, Dresdner G, Gross B, Sumer SO, et al. Integrative analysis of complex cancer genomics and clinical profiles using the cBioPortal. Sci Signal [Internet]. 2013 Apr 2;6(269):pl1. Available from: https://doi.org/10.1126/scisignal.2004088</w:t>
      </w:r>
    </w:p>
    <w:p w14:paraId="1DBC58F5" w14:textId="77777777" w:rsidR="00164DE6" w:rsidRPr="003A7A9B" w:rsidRDefault="00164DE6" w:rsidP="00164DE6">
      <w:pPr>
        <w:pStyle w:val="Bibliography"/>
        <w:rPr>
          <w:sz w:val="20"/>
          <w:szCs w:val="20"/>
        </w:rPr>
      </w:pPr>
      <w:r w:rsidRPr="003A7A9B">
        <w:rPr>
          <w:sz w:val="20"/>
          <w:szCs w:val="20"/>
        </w:rPr>
        <w:t xml:space="preserve">8. </w:t>
      </w:r>
      <w:r w:rsidRPr="003A7A9B">
        <w:rPr>
          <w:sz w:val="20"/>
          <w:szCs w:val="20"/>
        </w:rPr>
        <w:tab/>
        <w:t>de Bruijn I, Kundra R, Mastrogiacomo B, Tran TN, Sikina L, Mazor T, et al. Analysis and visualization of longitudinal genomic and clinical data from the AACR project GENIE biopharma collaborative in cBioPortal. Cancer Res [Internet]. 2023 Dec 1;83(23):3861–7. Available from: https://doi.org/10.1158/0008-5472.CAN-23-0816</w:t>
      </w:r>
    </w:p>
    <w:p w14:paraId="5DAD8399" w14:textId="77777777" w:rsidR="00164DE6" w:rsidRPr="003A7A9B" w:rsidRDefault="00164DE6" w:rsidP="00164DE6">
      <w:pPr>
        <w:pStyle w:val="Bibliography"/>
        <w:rPr>
          <w:sz w:val="20"/>
          <w:szCs w:val="20"/>
        </w:rPr>
      </w:pPr>
      <w:r w:rsidRPr="003A7A9B">
        <w:rPr>
          <w:sz w:val="20"/>
          <w:szCs w:val="20"/>
        </w:rPr>
        <w:t xml:space="preserve">9. </w:t>
      </w:r>
      <w:r w:rsidRPr="003A7A9B">
        <w:rPr>
          <w:sz w:val="20"/>
          <w:szCs w:val="20"/>
        </w:rPr>
        <w:tab/>
        <w:t xml:space="preserve">Royston P, Altman DG. External validation of a Cox prognostic model: principles and methods. BMC Med Res </w:t>
      </w:r>
      <w:proofErr w:type="spellStart"/>
      <w:r w:rsidRPr="003A7A9B">
        <w:rPr>
          <w:sz w:val="20"/>
          <w:szCs w:val="20"/>
        </w:rPr>
        <w:t>Methodol</w:t>
      </w:r>
      <w:proofErr w:type="spellEnd"/>
      <w:r w:rsidRPr="003A7A9B">
        <w:rPr>
          <w:sz w:val="20"/>
          <w:szCs w:val="20"/>
        </w:rPr>
        <w:t xml:space="preserve"> [Internet]. 2013 Mar 6;13(1):33. Available from: https://doi.org/10.1186/1471-2288-13-33</w:t>
      </w:r>
    </w:p>
    <w:p w14:paraId="649E6131" w14:textId="77777777" w:rsidR="00164DE6" w:rsidRPr="003A7A9B" w:rsidRDefault="00164DE6" w:rsidP="00164DE6">
      <w:pPr>
        <w:pStyle w:val="Bibliography"/>
        <w:rPr>
          <w:sz w:val="20"/>
          <w:szCs w:val="20"/>
        </w:rPr>
      </w:pPr>
      <w:r w:rsidRPr="003A7A9B">
        <w:rPr>
          <w:sz w:val="20"/>
          <w:szCs w:val="20"/>
        </w:rPr>
        <w:t xml:space="preserve">10. </w:t>
      </w:r>
      <w:r w:rsidRPr="003A7A9B">
        <w:rPr>
          <w:sz w:val="20"/>
          <w:szCs w:val="20"/>
        </w:rPr>
        <w:tab/>
        <w:t xml:space="preserve">Koca D, </w:t>
      </w:r>
      <w:proofErr w:type="spellStart"/>
      <w:r w:rsidRPr="003A7A9B">
        <w:rPr>
          <w:sz w:val="20"/>
          <w:szCs w:val="20"/>
        </w:rPr>
        <w:t>Séraudie</w:t>
      </w:r>
      <w:proofErr w:type="spellEnd"/>
      <w:r w:rsidRPr="003A7A9B">
        <w:rPr>
          <w:sz w:val="20"/>
          <w:szCs w:val="20"/>
        </w:rPr>
        <w:t xml:space="preserve"> I, </w:t>
      </w:r>
      <w:proofErr w:type="spellStart"/>
      <w:r w:rsidRPr="003A7A9B">
        <w:rPr>
          <w:sz w:val="20"/>
          <w:szCs w:val="20"/>
        </w:rPr>
        <w:t>Jardillier</w:t>
      </w:r>
      <w:proofErr w:type="spellEnd"/>
      <w:r w:rsidRPr="003A7A9B">
        <w:rPr>
          <w:sz w:val="20"/>
          <w:szCs w:val="20"/>
        </w:rPr>
        <w:t xml:space="preserve"> R, Cochet C, </w:t>
      </w:r>
      <w:proofErr w:type="spellStart"/>
      <w:r w:rsidRPr="003A7A9B">
        <w:rPr>
          <w:sz w:val="20"/>
          <w:szCs w:val="20"/>
        </w:rPr>
        <w:t>Filhol</w:t>
      </w:r>
      <w:proofErr w:type="spellEnd"/>
      <w:r w:rsidRPr="003A7A9B">
        <w:rPr>
          <w:sz w:val="20"/>
          <w:szCs w:val="20"/>
        </w:rPr>
        <w:t xml:space="preserve"> O, Guyon L. COL7A1 expression improves prognosis prediction for patients with clear cell renal cell carcinoma atop of stage. Cancers [Internet]. 2023 May 10;15(10):2701. Available from: https://doi.org/10.3390/cancers15102701</w:t>
      </w:r>
    </w:p>
    <w:p w14:paraId="2B03821F" w14:textId="77777777" w:rsidR="00164DE6" w:rsidRPr="003A7A9B" w:rsidRDefault="00164DE6" w:rsidP="00164DE6">
      <w:pPr>
        <w:pStyle w:val="Bibliography"/>
        <w:rPr>
          <w:sz w:val="20"/>
          <w:szCs w:val="20"/>
        </w:rPr>
      </w:pPr>
      <w:r w:rsidRPr="003A7A9B">
        <w:rPr>
          <w:sz w:val="20"/>
          <w:szCs w:val="20"/>
        </w:rPr>
        <w:t xml:space="preserve">11. </w:t>
      </w:r>
      <w:r w:rsidRPr="003A7A9B">
        <w:rPr>
          <w:sz w:val="20"/>
          <w:szCs w:val="20"/>
        </w:rPr>
        <w:tab/>
      </w:r>
      <w:proofErr w:type="spellStart"/>
      <w:r w:rsidRPr="003A7A9B">
        <w:rPr>
          <w:sz w:val="20"/>
          <w:szCs w:val="20"/>
        </w:rPr>
        <w:t>Lv</w:t>
      </w:r>
      <w:proofErr w:type="spellEnd"/>
      <w:r w:rsidRPr="003A7A9B">
        <w:rPr>
          <w:sz w:val="20"/>
          <w:szCs w:val="20"/>
        </w:rPr>
        <w:t xml:space="preserve"> Z, Wang M, Hou H, Tang G, Xu H, Wang X, et al. FOXM1-regulated ZIC2 promotes the malignant phenotype of renal clear cell carcinoma by activating UBE2C/mTOR </w:t>
      </w:r>
      <w:proofErr w:type="spellStart"/>
      <w:r w:rsidRPr="003A7A9B">
        <w:rPr>
          <w:sz w:val="20"/>
          <w:szCs w:val="20"/>
        </w:rPr>
        <w:t>signaling</w:t>
      </w:r>
      <w:proofErr w:type="spellEnd"/>
      <w:r w:rsidRPr="003A7A9B">
        <w:rPr>
          <w:sz w:val="20"/>
          <w:szCs w:val="20"/>
        </w:rPr>
        <w:t xml:space="preserve"> pathway. Int J </w:t>
      </w:r>
      <w:proofErr w:type="spellStart"/>
      <w:r w:rsidRPr="003A7A9B">
        <w:rPr>
          <w:sz w:val="20"/>
          <w:szCs w:val="20"/>
        </w:rPr>
        <w:t>Biol</w:t>
      </w:r>
      <w:proofErr w:type="spellEnd"/>
      <w:r w:rsidRPr="003A7A9B">
        <w:rPr>
          <w:sz w:val="20"/>
          <w:szCs w:val="20"/>
        </w:rPr>
        <w:t xml:space="preserve"> Sci [Internet]. 2023 June 26;19(11):3293–306. Available from: https://doi.org/10.7150/ijbs.84067</w:t>
      </w:r>
    </w:p>
    <w:p w14:paraId="40A3B9A0" w14:textId="77777777" w:rsidR="00164DE6" w:rsidRPr="003A7A9B" w:rsidRDefault="00164DE6" w:rsidP="00164DE6">
      <w:pPr>
        <w:pStyle w:val="Bibliography"/>
        <w:rPr>
          <w:sz w:val="20"/>
          <w:szCs w:val="20"/>
        </w:rPr>
      </w:pPr>
      <w:r w:rsidRPr="003A7A9B">
        <w:rPr>
          <w:sz w:val="20"/>
          <w:szCs w:val="20"/>
        </w:rPr>
        <w:t xml:space="preserve">12. </w:t>
      </w:r>
      <w:r w:rsidRPr="003A7A9B">
        <w:rPr>
          <w:sz w:val="20"/>
          <w:szCs w:val="20"/>
        </w:rPr>
        <w:tab/>
        <w:t xml:space="preserve">Herrmann M, Probst P, Hornung R, </w:t>
      </w:r>
      <w:proofErr w:type="spellStart"/>
      <w:r w:rsidRPr="003A7A9B">
        <w:rPr>
          <w:sz w:val="20"/>
          <w:szCs w:val="20"/>
        </w:rPr>
        <w:t>Jurinovic</w:t>
      </w:r>
      <w:proofErr w:type="spellEnd"/>
      <w:r w:rsidRPr="003A7A9B">
        <w:rPr>
          <w:sz w:val="20"/>
          <w:szCs w:val="20"/>
        </w:rPr>
        <w:t xml:space="preserve"> V, Boulesteix AL. Large-scale benchmark study of survival prediction methods using multi-omics data. Brief </w:t>
      </w:r>
      <w:proofErr w:type="spellStart"/>
      <w:r w:rsidRPr="003A7A9B">
        <w:rPr>
          <w:sz w:val="20"/>
          <w:szCs w:val="20"/>
        </w:rPr>
        <w:t>Bioinform</w:t>
      </w:r>
      <w:proofErr w:type="spellEnd"/>
      <w:r w:rsidRPr="003A7A9B">
        <w:rPr>
          <w:sz w:val="20"/>
          <w:szCs w:val="20"/>
        </w:rPr>
        <w:t xml:space="preserve"> [Internet]. 2021 May 20;22(3</w:t>
      </w:r>
      <w:proofErr w:type="gramStart"/>
      <w:r w:rsidRPr="003A7A9B">
        <w:rPr>
          <w:sz w:val="20"/>
          <w:szCs w:val="20"/>
        </w:rPr>
        <w:t>):bbaa</w:t>
      </w:r>
      <w:proofErr w:type="gramEnd"/>
      <w:r w:rsidRPr="003A7A9B">
        <w:rPr>
          <w:sz w:val="20"/>
          <w:szCs w:val="20"/>
        </w:rPr>
        <w:t>167. Available from: https://doi.org/10.1093/bib/bbaa167</w:t>
      </w:r>
    </w:p>
    <w:p w14:paraId="64150B36" w14:textId="77777777" w:rsidR="00164DE6" w:rsidRPr="003A7A9B" w:rsidRDefault="00164DE6" w:rsidP="00164DE6">
      <w:pPr>
        <w:pStyle w:val="Bibliography"/>
        <w:rPr>
          <w:sz w:val="20"/>
          <w:szCs w:val="20"/>
        </w:rPr>
      </w:pPr>
      <w:r w:rsidRPr="003A7A9B">
        <w:rPr>
          <w:sz w:val="20"/>
          <w:szCs w:val="20"/>
        </w:rPr>
        <w:t xml:space="preserve">13. </w:t>
      </w:r>
      <w:r w:rsidRPr="003A7A9B">
        <w:rPr>
          <w:sz w:val="20"/>
          <w:szCs w:val="20"/>
        </w:rPr>
        <w:tab/>
        <w:t xml:space="preserve">Li Y, Herold T, Mansmann U, Hornung R. Does combining numerous data types in multi-omics data improve or hinder performance in survival prediction? Insights from a large-scale benchmark </w:t>
      </w:r>
      <w:r w:rsidRPr="003A7A9B">
        <w:rPr>
          <w:sz w:val="20"/>
          <w:szCs w:val="20"/>
        </w:rPr>
        <w:lastRenderedPageBreak/>
        <w:t xml:space="preserve">study. BMC Med Inform </w:t>
      </w:r>
      <w:proofErr w:type="spellStart"/>
      <w:r w:rsidRPr="003A7A9B">
        <w:rPr>
          <w:sz w:val="20"/>
          <w:szCs w:val="20"/>
        </w:rPr>
        <w:t>Decis</w:t>
      </w:r>
      <w:proofErr w:type="spellEnd"/>
      <w:r w:rsidRPr="003A7A9B">
        <w:rPr>
          <w:sz w:val="20"/>
          <w:szCs w:val="20"/>
        </w:rPr>
        <w:t xml:space="preserve"> Mak [Internet]. 2024 Sept 2;24(1):244. Available from: https://doi.org/10.1186/s12911-024-02642-9</w:t>
      </w:r>
    </w:p>
    <w:p w14:paraId="165BF987" w14:textId="77777777" w:rsidR="00164DE6" w:rsidRPr="003A7A9B" w:rsidRDefault="00164DE6" w:rsidP="00164DE6">
      <w:pPr>
        <w:pStyle w:val="Bibliography"/>
        <w:rPr>
          <w:sz w:val="20"/>
          <w:szCs w:val="20"/>
        </w:rPr>
      </w:pPr>
      <w:r w:rsidRPr="003A7A9B">
        <w:rPr>
          <w:sz w:val="20"/>
          <w:szCs w:val="20"/>
        </w:rPr>
        <w:t xml:space="preserve">14. </w:t>
      </w:r>
      <w:r w:rsidRPr="003A7A9B">
        <w:rPr>
          <w:sz w:val="20"/>
          <w:szCs w:val="20"/>
        </w:rPr>
        <w:tab/>
        <w:t xml:space="preserve">Chu G, Xu T, Zhu G, Liu S, Niu H, Zhang M. Identification of a Novel Protein-Based Signature to Improve Prognosis Prediction in Renal Clear Cell Carcinoma. Front Mol </w:t>
      </w:r>
      <w:proofErr w:type="spellStart"/>
      <w:r w:rsidRPr="003A7A9B">
        <w:rPr>
          <w:sz w:val="20"/>
          <w:szCs w:val="20"/>
        </w:rPr>
        <w:t>Biosci</w:t>
      </w:r>
      <w:proofErr w:type="spellEnd"/>
      <w:r w:rsidRPr="003A7A9B">
        <w:rPr>
          <w:sz w:val="20"/>
          <w:szCs w:val="20"/>
        </w:rPr>
        <w:t xml:space="preserve"> [Internet]. </w:t>
      </w:r>
      <w:proofErr w:type="gramStart"/>
      <w:r w:rsidRPr="003A7A9B">
        <w:rPr>
          <w:sz w:val="20"/>
          <w:szCs w:val="20"/>
        </w:rPr>
        <w:t>2021;8:623120</w:t>
      </w:r>
      <w:proofErr w:type="gramEnd"/>
      <w:r w:rsidRPr="003A7A9B">
        <w:rPr>
          <w:sz w:val="20"/>
          <w:szCs w:val="20"/>
        </w:rPr>
        <w:t>. Available from: https://doi.org/10.3389/fmolb.2021.623120</w:t>
      </w:r>
    </w:p>
    <w:p w14:paraId="61805A87" w14:textId="77777777" w:rsidR="00164DE6" w:rsidRPr="003A7A9B" w:rsidRDefault="00164DE6" w:rsidP="00164DE6">
      <w:pPr>
        <w:pStyle w:val="Bibliography"/>
        <w:rPr>
          <w:sz w:val="20"/>
          <w:szCs w:val="20"/>
        </w:rPr>
      </w:pPr>
      <w:r w:rsidRPr="003A7A9B">
        <w:rPr>
          <w:sz w:val="20"/>
          <w:szCs w:val="20"/>
        </w:rPr>
        <w:t xml:space="preserve">15. </w:t>
      </w:r>
      <w:r w:rsidRPr="003A7A9B">
        <w:rPr>
          <w:sz w:val="20"/>
          <w:szCs w:val="20"/>
        </w:rPr>
        <w:tab/>
        <w:t>Xu D, Li C. Gene 33/Mig6/ERRFI1, an Adapter Protein with Complex Functions in Cell Biology and Human Diseases. Cells [Internet]. 2021 June 22;10(7):1574. Available from: https://doi.org/10.3390/cells10071574</w:t>
      </w:r>
    </w:p>
    <w:p w14:paraId="141DC683" w14:textId="77777777" w:rsidR="00164DE6" w:rsidRPr="003A7A9B" w:rsidRDefault="00164DE6" w:rsidP="00164DE6">
      <w:pPr>
        <w:pStyle w:val="Bibliography"/>
        <w:rPr>
          <w:sz w:val="20"/>
          <w:szCs w:val="20"/>
        </w:rPr>
      </w:pPr>
      <w:r w:rsidRPr="003A7A9B">
        <w:rPr>
          <w:sz w:val="20"/>
          <w:szCs w:val="20"/>
        </w:rPr>
        <w:t xml:space="preserve">16. </w:t>
      </w:r>
      <w:r w:rsidRPr="003A7A9B">
        <w:rPr>
          <w:sz w:val="20"/>
          <w:szCs w:val="20"/>
        </w:rPr>
        <w:tab/>
        <w:t xml:space="preserve">Nakai Y, Miyake M, </w:t>
      </w:r>
      <w:proofErr w:type="spellStart"/>
      <w:r w:rsidRPr="003A7A9B">
        <w:rPr>
          <w:sz w:val="20"/>
          <w:szCs w:val="20"/>
        </w:rPr>
        <w:t>Morizawa</w:t>
      </w:r>
      <w:proofErr w:type="spellEnd"/>
      <w:r w:rsidRPr="003A7A9B">
        <w:rPr>
          <w:sz w:val="20"/>
          <w:szCs w:val="20"/>
        </w:rPr>
        <w:t xml:space="preserve"> Y, Hori S, Tatsumi Y, Anai S, et al. Potential biomarkers for the therapeutic efficacy of sorafenib, sunitinib and everolimus. Oncol Rep [Internet]. 2017 Jan;37(1):227–34. Available from: https://doi.org/10.3892/or.2016.5232</w:t>
      </w:r>
    </w:p>
    <w:p w14:paraId="55553E6B" w14:textId="77777777" w:rsidR="00164DE6" w:rsidRPr="003A7A9B" w:rsidRDefault="00164DE6" w:rsidP="00164DE6">
      <w:pPr>
        <w:pStyle w:val="Bibliography"/>
        <w:rPr>
          <w:sz w:val="20"/>
          <w:szCs w:val="20"/>
        </w:rPr>
      </w:pPr>
      <w:r w:rsidRPr="003A7A9B">
        <w:rPr>
          <w:sz w:val="20"/>
          <w:szCs w:val="20"/>
        </w:rPr>
        <w:t xml:space="preserve">17. </w:t>
      </w:r>
      <w:r w:rsidRPr="003A7A9B">
        <w:rPr>
          <w:sz w:val="20"/>
          <w:szCs w:val="20"/>
        </w:rPr>
        <w:tab/>
        <w:t>R Core Team. R: A language and environment for statistical computing [Internet]. Vienna, Austria: R Foundation for Statistical Computing; 2019 [cited 2026 June 8]. Available from: https://www.r-project.org/</w:t>
      </w:r>
    </w:p>
    <w:p w14:paraId="42487CDE" w14:textId="77777777" w:rsidR="00164DE6" w:rsidRPr="003A7A9B" w:rsidRDefault="00164DE6" w:rsidP="00164DE6">
      <w:pPr>
        <w:pStyle w:val="Bibliography"/>
        <w:rPr>
          <w:sz w:val="20"/>
          <w:szCs w:val="20"/>
        </w:rPr>
      </w:pPr>
      <w:r w:rsidRPr="003A7A9B">
        <w:rPr>
          <w:sz w:val="20"/>
          <w:szCs w:val="20"/>
        </w:rPr>
        <w:t xml:space="preserve">18. </w:t>
      </w:r>
      <w:r w:rsidRPr="003A7A9B">
        <w:rPr>
          <w:sz w:val="20"/>
          <w:szCs w:val="20"/>
        </w:rPr>
        <w:tab/>
        <w:t xml:space="preserve">Wickham H, Averick M, Bryan J, Chang W, McGowan LD, François R, et al. Welcome to the </w:t>
      </w:r>
      <w:proofErr w:type="spellStart"/>
      <w:r w:rsidRPr="003A7A9B">
        <w:rPr>
          <w:sz w:val="20"/>
          <w:szCs w:val="20"/>
        </w:rPr>
        <w:t>Tidyverse</w:t>
      </w:r>
      <w:proofErr w:type="spellEnd"/>
      <w:r w:rsidRPr="003A7A9B">
        <w:rPr>
          <w:sz w:val="20"/>
          <w:szCs w:val="20"/>
        </w:rPr>
        <w:t xml:space="preserve">. J Open Source </w:t>
      </w:r>
      <w:proofErr w:type="spellStart"/>
      <w:r w:rsidRPr="003A7A9B">
        <w:rPr>
          <w:sz w:val="20"/>
          <w:szCs w:val="20"/>
        </w:rPr>
        <w:t>Softw</w:t>
      </w:r>
      <w:proofErr w:type="spellEnd"/>
      <w:r w:rsidRPr="003A7A9B">
        <w:rPr>
          <w:sz w:val="20"/>
          <w:szCs w:val="20"/>
        </w:rPr>
        <w:t xml:space="preserve"> [Internet]. 2019 Nov 21;4(43):1686. Available from: https://doi.org/10.21105/joss.01686</w:t>
      </w:r>
    </w:p>
    <w:p w14:paraId="71EB1CFF" w14:textId="77777777" w:rsidR="00164DE6" w:rsidRPr="003A7A9B" w:rsidRDefault="00164DE6" w:rsidP="00164DE6">
      <w:pPr>
        <w:pStyle w:val="Bibliography"/>
        <w:rPr>
          <w:sz w:val="20"/>
          <w:szCs w:val="20"/>
        </w:rPr>
      </w:pPr>
      <w:r w:rsidRPr="003A7A9B">
        <w:rPr>
          <w:sz w:val="20"/>
          <w:szCs w:val="20"/>
        </w:rPr>
        <w:t xml:space="preserve">19. </w:t>
      </w:r>
      <w:r w:rsidRPr="003A7A9B">
        <w:rPr>
          <w:sz w:val="20"/>
          <w:szCs w:val="20"/>
        </w:rPr>
        <w:tab/>
      </w:r>
      <w:proofErr w:type="spellStart"/>
      <w:r w:rsidRPr="003A7A9B">
        <w:rPr>
          <w:sz w:val="20"/>
          <w:szCs w:val="20"/>
        </w:rPr>
        <w:t>Therneau</w:t>
      </w:r>
      <w:proofErr w:type="spellEnd"/>
      <w:r w:rsidRPr="003A7A9B">
        <w:rPr>
          <w:sz w:val="20"/>
          <w:szCs w:val="20"/>
        </w:rPr>
        <w:t xml:space="preserve"> T. A Package for Survival Analysis in R [Internet]. 2026. (R package version 3.8-6). Available from: https://CRAN.R-project.org/package=survival</w:t>
      </w:r>
    </w:p>
    <w:p w14:paraId="63C4665C" w14:textId="77777777" w:rsidR="00164DE6" w:rsidRPr="003A7A9B" w:rsidRDefault="00164DE6" w:rsidP="00164DE6">
      <w:pPr>
        <w:pStyle w:val="Bibliography"/>
        <w:rPr>
          <w:sz w:val="20"/>
          <w:szCs w:val="20"/>
        </w:rPr>
      </w:pPr>
      <w:r w:rsidRPr="003A7A9B">
        <w:rPr>
          <w:sz w:val="20"/>
          <w:szCs w:val="20"/>
        </w:rPr>
        <w:t xml:space="preserve">20. </w:t>
      </w:r>
      <w:r w:rsidRPr="003A7A9B">
        <w:rPr>
          <w:sz w:val="20"/>
          <w:szCs w:val="20"/>
        </w:rPr>
        <w:tab/>
      </w:r>
      <w:proofErr w:type="spellStart"/>
      <w:r w:rsidRPr="003A7A9B">
        <w:rPr>
          <w:sz w:val="20"/>
          <w:szCs w:val="20"/>
        </w:rPr>
        <w:t>Therneau</w:t>
      </w:r>
      <w:proofErr w:type="spellEnd"/>
      <w:r w:rsidRPr="003A7A9B">
        <w:rPr>
          <w:sz w:val="20"/>
          <w:szCs w:val="20"/>
        </w:rPr>
        <w:t xml:space="preserve"> TM, </w:t>
      </w:r>
      <w:proofErr w:type="spellStart"/>
      <w:r w:rsidRPr="003A7A9B">
        <w:rPr>
          <w:sz w:val="20"/>
          <w:szCs w:val="20"/>
        </w:rPr>
        <w:t>Grambsch</w:t>
      </w:r>
      <w:proofErr w:type="spellEnd"/>
      <w:r w:rsidRPr="003A7A9B">
        <w:rPr>
          <w:sz w:val="20"/>
          <w:szCs w:val="20"/>
        </w:rPr>
        <w:t xml:space="preserve"> PM. </w:t>
      </w:r>
      <w:proofErr w:type="spellStart"/>
      <w:r w:rsidRPr="003A7A9B">
        <w:rPr>
          <w:sz w:val="20"/>
          <w:szCs w:val="20"/>
        </w:rPr>
        <w:t>Modeling</w:t>
      </w:r>
      <w:proofErr w:type="spellEnd"/>
      <w:r w:rsidRPr="003A7A9B">
        <w:rPr>
          <w:sz w:val="20"/>
          <w:szCs w:val="20"/>
        </w:rPr>
        <w:t xml:space="preserve"> Survival Data: Extending the Cox Model. New York: Springer; 2000. </w:t>
      </w:r>
    </w:p>
    <w:p w14:paraId="0097BDDA" w14:textId="77777777" w:rsidR="00164DE6" w:rsidRPr="003A7A9B" w:rsidRDefault="00164DE6" w:rsidP="00164DE6">
      <w:pPr>
        <w:pStyle w:val="Bibliography"/>
        <w:rPr>
          <w:sz w:val="20"/>
          <w:szCs w:val="20"/>
        </w:rPr>
      </w:pPr>
      <w:r w:rsidRPr="003A7A9B">
        <w:rPr>
          <w:sz w:val="20"/>
          <w:szCs w:val="20"/>
        </w:rPr>
        <w:t xml:space="preserve">21. </w:t>
      </w:r>
      <w:r w:rsidRPr="003A7A9B">
        <w:rPr>
          <w:sz w:val="20"/>
          <w:szCs w:val="20"/>
        </w:rPr>
        <w:tab/>
      </w:r>
      <w:proofErr w:type="spellStart"/>
      <w:r w:rsidRPr="003A7A9B">
        <w:rPr>
          <w:sz w:val="20"/>
          <w:szCs w:val="20"/>
        </w:rPr>
        <w:t>Kassambara</w:t>
      </w:r>
      <w:proofErr w:type="spellEnd"/>
      <w:r w:rsidRPr="003A7A9B">
        <w:rPr>
          <w:sz w:val="20"/>
          <w:szCs w:val="20"/>
        </w:rPr>
        <w:t xml:space="preserve"> A, Kosinski M, </w:t>
      </w:r>
      <w:proofErr w:type="spellStart"/>
      <w:r w:rsidRPr="003A7A9B">
        <w:rPr>
          <w:sz w:val="20"/>
          <w:szCs w:val="20"/>
        </w:rPr>
        <w:t>Biecek</w:t>
      </w:r>
      <w:proofErr w:type="spellEnd"/>
      <w:r w:rsidRPr="003A7A9B">
        <w:rPr>
          <w:sz w:val="20"/>
          <w:szCs w:val="20"/>
        </w:rPr>
        <w:t xml:space="preserve"> P. </w:t>
      </w:r>
      <w:proofErr w:type="spellStart"/>
      <w:r w:rsidRPr="003A7A9B">
        <w:rPr>
          <w:sz w:val="20"/>
          <w:szCs w:val="20"/>
        </w:rPr>
        <w:t>survminer</w:t>
      </w:r>
      <w:proofErr w:type="spellEnd"/>
      <w:r w:rsidRPr="003A7A9B">
        <w:rPr>
          <w:sz w:val="20"/>
          <w:szCs w:val="20"/>
        </w:rPr>
        <w:t>: Drawing Survival Curves using ‘ggplot2’ [Internet]. 2026 [cited 2026 June 8]. (R package version 0.5.2). Available from: https://doi.org/10.32614/CRAN.package.survminer</w:t>
      </w:r>
    </w:p>
    <w:p w14:paraId="585B1349" w14:textId="77777777" w:rsidR="00164DE6" w:rsidRPr="003A7A9B" w:rsidRDefault="00164DE6" w:rsidP="00164DE6">
      <w:pPr>
        <w:pStyle w:val="Bibliography"/>
        <w:rPr>
          <w:sz w:val="20"/>
          <w:szCs w:val="20"/>
        </w:rPr>
      </w:pPr>
      <w:r w:rsidRPr="003A7A9B">
        <w:rPr>
          <w:sz w:val="20"/>
          <w:szCs w:val="20"/>
        </w:rPr>
        <w:t xml:space="preserve">22. </w:t>
      </w:r>
      <w:r w:rsidRPr="003A7A9B">
        <w:rPr>
          <w:sz w:val="20"/>
          <w:szCs w:val="20"/>
        </w:rPr>
        <w:tab/>
        <w:t xml:space="preserve">Friedman JH, Hastie T, </w:t>
      </w:r>
      <w:proofErr w:type="spellStart"/>
      <w:r w:rsidRPr="003A7A9B">
        <w:rPr>
          <w:sz w:val="20"/>
          <w:szCs w:val="20"/>
        </w:rPr>
        <w:t>Tibshirani</w:t>
      </w:r>
      <w:proofErr w:type="spellEnd"/>
      <w:r w:rsidRPr="003A7A9B">
        <w:rPr>
          <w:sz w:val="20"/>
          <w:szCs w:val="20"/>
        </w:rPr>
        <w:t xml:space="preserve"> R. Regularization paths for generalized linear models via coordinate descent. J Stat </w:t>
      </w:r>
      <w:proofErr w:type="spellStart"/>
      <w:r w:rsidRPr="003A7A9B">
        <w:rPr>
          <w:sz w:val="20"/>
          <w:szCs w:val="20"/>
        </w:rPr>
        <w:t>Softw</w:t>
      </w:r>
      <w:proofErr w:type="spellEnd"/>
      <w:r w:rsidRPr="003A7A9B">
        <w:rPr>
          <w:sz w:val="20"/>
          <w:szCs w:val="20"/>
        </w:rPr>
        <w:t xml:space="preserve"> [Internet]. 2010 Feb </w:t>
      </w:r>
      <w:proofErr w:type="gramStart"/>
      <w:r w:rsidRPr="003A7A9B">
        <w:rPr>
          <w:sz w:val="20"/>
          <w:szCs w:val="20"/>
        </w:rPr>
        <w:t>2;33:1</w:t>
      </w:r>
      <w:proofErr w:type="gramEnd"/>
      <w:r w:rsidRPr="003A7A9B">
        <w:rPr>
          <w:sz w:val="20"/>
          <w:szCs w:val="20"/>
        </w:rPr>
        <w:t>–22. Available from: https://doi.org/10.18637/jss.v033.i01</w:t>
      </w:r>
    </w:p>
    <w:p w14:paraId="38FFAF1D" w14:textId="77777777" w:rsidR="00164DE6" w:rsidRPr="003A7A9B" w:rsidRDefault="00164DE6" w:rsidP="00164DE6">
      <w:pPr>
        <w:pStyle w:val="Bibliography"/>
        <w:rPr>
          <w:sz w:val="20"/>
          <w:szCs w:val="20"/>
        </w:rPr>
      </w:pPr>
      <w:r w:rsidRPr="003A7A9B">
        <w:rPr>
          <w:sz w:val="20"/>
          <w:szCs w:val="20"/>
        </w:rPr>
        <w:t xml:space="preserve">23. </w:t>
      </w:r>
      <w:r w:rsidRPr="003A7A9B">
        <w:rPr>
          <w:sz w:val="20"/>
          <w:szCs w:val="20"/>
        </w:rPr>
        <w:tab/>
        <w:t xml:space="preserve">Tay JK, Narasimhan B, Hastie T. Elastic net regularization paths for all generalized linear models. J Stat </w:t>
      </w:r>
      <w:proofErr w:type="spellStart"/>
      <w:r w:rsidRPr="003A7A9B">
        <w:rPr>
          <w:sz w:val="20"/>
          <w:szCs w:val="20"/>
        </w:rPr>
        <w:t>Softw</w:t>
      </w:r>
      <w:proofErr w:type="spellEnd"/>
      <w:r w:rsidRPr="003A7A9B">
        <w:rPr>
          <w:sz w:val="20"/>
          <w:szCs w:val="20"/>
        </w:rPr>
        <w:t xml:space="preserve"> [Internet]. 2023 Mar </w:t>
      </w:r>
      <w:proofErr w:type="gramStart"/>
      <w:r w:rsidRPr="003A7A9B">
        <w:rPr>
          <w:sz w:val="20"/>
          <w:szCs w:val="20"/>
        </w:rPr>
        <w:t>23;106:1</w:t>
      </w:r>
      <w:proofErr w:type="gramEnd"/>
      <w:r w:rsidRPr="003A7A9B">
        <w:rPr>
          <w:sz w:val="20"/>
          <w:szCs w:val="20"/>
        </w:rPr>
        <w:t>–31. Available from: https://doi.org/10.18637/jss.v106.i01</w:t>
      </w:r>
    </w:p>
    <w:p w14:paraId="43EDB770" w14:textId="77777777" w:rsidR="00164DE6" w:rsidRPr="003A7A9B" w:rsidRDefault="00164DE6" w:rsidP="00164DE6">
      <w:pPr>
        <w:pStyle w:val="Bibliography"/>
        <w:rPr>
          <w:sz w:val="20"/>
          <w:szCs w:val="20"/>
        </w:rPr>
      </w:pPr>
      <w:r w:rsidRPr="003A7A9B">
        <w:rPr>
          <w:sz w:val="20"/>
          <w:szCs w:val="20"/>
        </w:rPr>
        <w:t xml:space="preserve">24. </w:t>
      </w:r>
      <w:r w:rsidRPr="003A7A9B">
        <w:rPr>
          <w:sz w:val="20"/>
          <w:szCs w:val="20"/>
        </w:rPr>
        <w:tab/>
        <w:t xml:space="preserve">Robinson D, Hayes A, Couch S, </w:t>
      </w:r>
      <w:proofErr w:type="spellStart"/>
      <w:r w:rsidRPr="003A7A9B">
        <w:rPr>
          <w:sz w:val="20"/>
          <w:szCs w:val="20"/>
        </w:rPr>
        <w:t>Hvitfeldt</w:t>
      </w:r>
      <w:proofErr w:type="spellEnd"/>
      <w:r w:rsidRPr="003A7A9B">
        <w:rPr>
          <w:sz w:val="20"/>
          <w:szCs w:val="20"/>
        </w:rPr>
        <w:t xml:space="preserve"> E, Posit Software PBC, Patil I, et al. broom: Convert Statistical Objects into Tidy Tibbles [Internet]. 2026 [cited 2026 June 8]. (R package version 1.0.13). Available from: https://doi.org/10.32614/CRAN.package.broom</w:t>
      </w:r>
    </w:p>
    <w:p w14:paraId="11A31D9B" w14:textId="77777777" w:rsidR="00164DE6" w:rsidRPr="003A7A9B" w:rsidRDefault="00164DE6" w:rsidP="00164DE6">
      <w:pPr>
        <w:pStyle w:val="Bibliography"/>
        <w:rPr>
          <w:sz w:val="20"/>
          <w:szCs w:val="20"/>
        </w:rPr>
      </w:pPr>
      <w:r w:rsidRPr="003A7A9B">
        <w:rPr>
          <w:sz w:val="20"/>
          <w:szCs w:val="20"/>
        </w:rPr>
        <w:t xml:space="preserve">25. </w:t>
      </w:r>
      <w:r w:rsidRPr="003A7A9B">
        <w:rPr>
          <w:sz w:val="20"/>
          <w:szCs w:val="20"/>
        </w:rPr>
        <w:tab/>
      </w:r>
      <w:proofErr w:type="spellStart"/>
      <w:r w:rsidRPr="003A7A9B">
        <w:rPr>
          <w:sz w:val="20"/>
          <w:szCs w:val="20"/>
        </w:rPr>
        <w:t>Dolgalev</w:t>
      </w:r>
      <w:proofErr w:type="spellEnd"/>
      <w:r w:rsidRPr="003A7A9B">
        <w:rPr>
          <w:sz w:val="20"/>
          <w:szCs w:val="20"/>
        </w:rPr>
        <w:t xml:space="preserve"> I. </w:t>
      </w:r>
      <w:proofErr w:type="spellStart"/>
      <w:r w:rsidRPr="003A7A9B">
        <w:rPr>
          <w:sz w:val="20"/>
          <w:szCs w:val="20"/>
        </w:rPr>
        <w:t>msigdbr</w:t>
      </w:r>
      <w:proofErr w:type="spellEnd"/>
      <w:r w:rsidRPr="003A7A9B">
        <w:rPr>
          <w:sz w:val="20"/>
          <w:szCs w:val="20"/>
        </w:rPr>
        <w:t xml:space="preserve">: </w:t>
      </w:r>
      <w:proofErr w:type="spellStart"/>
      <w:r w:rsidRPr="003A7A9B">
        <w:rPr>
          <w:sz w:val="20"/>
          <w:szCs w:val="20"/>
        </w:rPr>
        <w:t>MSigDB</w:t>
      </w:r>
      <w:proofErr w:type="spellEnd"/>
      <w:r w:rsidRPr="003A7A9B">
        <w:rPr>
          <w:sz w:val="20"/>
          <w:szCs w:val="20"/>
        </w:rPr>
        <w:t xml:space="preserve"> gene sets for multiple organisms in a tidy data format [Internet]. 2026 [cited 2026 June 8]. (R package version 26.1.0). Available from: https://doi.org/10.32614/CRAN.package.msigdbr</w:t>
      </w:r>
    </w:p>
    <w:p w14:paraId="39B37596" w14:textId="77777777" w:rsidR="00164DE6" w:rsidRPr="003A7A9B" w:rsidRDefault="00164DE6" w:rsidP="00164DE6">
      <w:pPr>
        <w:pStyle w:val="Bibliography"/>
        <w:rPr>
          <w:sz w:val="20"/>
          <w:szCs w:val="20"/>
        </w:rPr>
      </w:pPr>
      <w:r w:rsidRPr="003A7A9B">
        <w:rPr>
          <w:sz w:val="20"/>
          <w:szCs w:val="20"/>
        </w:rPr>
        <w:t xml:space="preserve">26. </w:t>
      </w:r>
      <w:r w:rsidRPr="003A7A9B">
        <w:rPr>
          <w:sz w:val="20"/>
          <w:szCs w:val="20"/>
        </w:rPr>
        <w:tab/>
        <w:t>Hakimi AA, Reznik E, Lee CH, Creighton CJ, Brannon AR, Luna A, et al. An integrated metabolic atlas of clear cell renal cell carcinoma. Cancer Cell [Internet]. 2016 Jan 11;29(1):104–16. Available from: https://doi.org/10.1016/j.ccell.2015.12.004</w:t>
      </w:r>
    </w:p>
    <w:p w14:paraId="7AFB2578" w14:textId="4AFF9770" w:rsidR="00D27C42" w:rsidRPr="00D27C42" w:rsidRDefault="00D27C42" w:rsidP="00706259">
      <w:pPr>
        <w:spacing w:after="120" w:line="240" w:lineRule="auto"/>
      </w:pPr>
      <w:r w:rsidRPr="003A7A9B">
        <w:rPr>
          <w:sz w:val="20"/>
          <w:szCs w:val="20"/>
        </w:rPr>
        <w:fldChar w:fldCharType="end"/>
      </w:r>
    </w:p>
    <w:sectPr w:rsidR="00D27C42" w:rsidRPr="00D27C42" w:rsidSect="00A94471">
      <w:pgSz w:w="11906" w:h="16838"/>
      <w:pgMar w:top="1134"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837B9" w14:textId="77777777" w:rsidR="00245AA3" w:rsidRDefault="00245AA3" w:rsidP="00B82FDC">
      <w:r>
        <w:separator/>
      </w:r>
    </w:p>
  </w:endnote>
  <w:endnote w:type="continuationSeparator" w:id="0">
    <w:p w14:paraId="54AD6D1A" w14:textId="77777777" w:rsidR="00245AA3" w:rsidRDefault="00245AA3" w:rsidP="00B82F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Open Sans">
    <w:panose1 w:val="00000000000000000000"/>
    <w:charset w:val="00"/>
    <w:family w:val="auto"/>
    <w:pitch w:val="variable"/>
    <w:sig w:usb0="E00002FF" w:usb1="4000201B" w:usb2="00000028"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0EB23" w14:textId="7F17FA6F" w:rsidR="00B82FDC" w:rsidRPr="00706259" w:rsidRDefault="00B82FDC" w:rsidP="00B82FDC">
    <w:pPr>
      <w:pStyle w:val="Footer"/>
      <w:rPr>
        <w:sz w:val="18"/>
        <w:szCs w:val="18"/>
      </w:rPr>
    </w:pPr>
    <w:r w:rsidRPr="00706259">
      <w:rPr>
        <w:sz w:val="18"/>
        <w:szCs w:val="18"/>
      </w:rPr>
      <w:t>TCGA-KIRC machine learning project</w:t>
    </w:r>
    <w:r w:rsidRPr="00706259">
      <w:rPr>
        <w:sz w:val="18"/>
        <w:szCs w:val="18"/>
      </w:rPr>
      <w:t xml:space="preserve">. </w:t>
    </w:r>
    <w:r w:rsidRPr="00706259">
      <w:rPr>
        <w:sz w:val="18"/>
        <w:szCs w:val="18"/>
      </w:rPr>
      <w:t>Amanda Dominy 25271694</w:t>
    </w:r>
    <w:r w:rsidRPr="00706259">
      <w:rPr>
        <w:sz w:val="18"/>
        <w:szCs w:val="18"/>
      </w:rPr>
      <w:ptab w:relativeTo="margin" w:alignment="right" w:leader="none"/>
    </w:r>
    <w:r w:rsidRPr="00706259">
      <w:rPr>
        <w:sz w:val="18"/>
        <w:szCs w:val="18"/>
      </w:rPr>
      <w:fldChar w:fldCharType="begin"/>
    </w:r>
    <w:r w:rsidRPr="00706259">
      <w:rPr>
        <w:sz w:val="18"/>
        <w:szCs w:val="18"/>
      </w:rPr>
      <w:instrText>PAGE   \* MERGEFORMAT</w:instrText>
    </w:r>
    <w:r w:rsidRPr="00706259">
      <w:rPr>
        <w:sz w:val="18"/>
        <w:szCs w:val="18"/>
      </w:rPr>
      <w:fldChar w:fldCharType="separate"/>
    </w:r>
    <w:r w:rsidRPr="00706259">
      <w:rPr>
        <w:sz w:val="18"/>
        <w:szCs w:val="18"/>
      </w:rPr>
      <w:t>1</w:t>
    </w:r>
    <w:r w:rsidRPr="00706259">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8B548" w14:textId="77777777" w:rsidR="00245AA3" w:rsidRDefault="00245AA3" w:rsidP="00B82FDC">
      <w:r>
        <w:separator/>
      </w:r>
    </w:p>
  </w:footnote>
  <w:footnote w:type="continuationSeparator" w:id="0">
    <w:p w14:paraId="5EE9C72C" w14:textId="77777777" w:rsidR="00245AA3" w:rsidRDefault="00245AA3" w:rsidP="00B82F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03067"/>
    <w:multiLevelType w:val="multilevel"/>
    <w:tmpl w:val="355ED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F81573"/>
    <w:multiLevelType w:val="hybridMultilevel"/>
    <w:tmpl w:val="122694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04396205">
    <w:abstractNumId w:val="0"/>
  </w:num>
  <w:num w:numId="2" w16cid:durableId="19283451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FDC"/>
    <w:rsid w:val="00012549"/>
    <w:rsid w:val="000972D6"/>
    <w:rsid w:val="000B7451"/>
    <w:rsid w:val="00150AFE"/>
    <w:rsid w:val="00164DE6"/>
    <w:rsid w:val="0022059B"/>
    <w:rsid w:val="00244BD3"/>
    <w:rsid w:val="00245AA3"/>
    <w:rsid w:val="002C44B4"/>
    <w:rsid w:val="002F0C49"/>
    <w:rsid w:val="003A7A9B"/>
    <w:rsid w:val="003F394E"/>
    <w:rsid w:val="0041114D"/>
    <w:rsid w:val="00417F53"/>
    <w:rsid w:val="00486244"/>
    <w:rsid w:val="00651523"/>
    <w:rsid w:val="0066351B"/>
    <w:rsid w:val="0068182D"/>
    <w:rsid w:val="006D7B80"/>
    <w:rsid w:val="00706259"/>
    <w:rsid w:val="008176B8"/>
    <w:rsid w:val="00861B1F"/>
    <w:rsid w:val="00872381"/>
    <w:rsid w:val="008A35C5"/>
    <w:rsid w:val="00946805"/>
    <w:rsid w:val="00977CDB"/>
    <w:rsid w:val="00A14AAB"/>
    <w:rsid w:val="00A74AF8"/>
    <w:rsid w:val="00A94471"/>
    <w:rsid w:val="00B82FDC"/>
    <w:rsid w:val="00C11FF7"/>
    <w:rsid w:val="00C416FC"/>
    <w:rsid w:val="00C5345B"/>
    <w:rsid w:val="00C71C3E"/>
    <w:rsid w:val="00C734A8"/>
    <w:rsid w:val="00D27C42"/>
    <w:rsid w:val="00DC67B9"/>
    <w:rsid w:val="00E4404C"/>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2EFFA"/>
  <w15:chartTrackingRefBased/>
  <w15:docId w15:val="{A6F527B9-EFB5-4BE9-976E-273EC768D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FDC"/>
    <w:pPr>
      <w:spacing w:after="240" w:line="360" w:lineRule="auto"/>
    </w:pPr>
    <w:rPr>
      <w:rFonts w:ascii="Open Sans" w:hAnsi="Open Sans" w:cs="Open Sans"/>
    </w:rPr>
  </w:style>
  <w:style w:type="paragraph" w:styleId="Heading1">
    <w:name w:val="heading 1"/>
    <w:basedOn w:val="Normal"/>
    <w:next w:val="Normal"/>
    <w:link w:val="Heading1Char"/>
    <w:uiPriority w:val="9"/>
    <w:qFormat/>
    <w:rsid w:val="00150AFE"/>
    <w:pPr>
      <w:keepNext/>
      <w:keepLines/>
      <w:spacing w:before="360" w:after="80"/>
      <w:jc w:val="center"/>
      <w:outlineLvl w:val="0"/>
    </w:pPr>
    <w:rPr>
      <w:rFonts w:eastAsiaTheme="majorEastAsia"/>
      <w:sz w:val="40"/>
      <w:szCs w:val="40"/>
    </w:rPr>
  </w:style>
  <w:style w:type="paragraph" w:styleId="Heading2">
    <w:name w:val="heading 2"/>
    <w:basedOn w:val="Normal"/>
    <w:next w:val="Normal"/>
    <w:link w:val="Heading2Char"/>
    <w:uiPriority w:val="9"/>
    <w:unhideWhenUsed/>
    <w:qFormat/>
    <w:rsid w:val="000972D6"/>
    <w:pPr>
      <w:keepNext/>
      <w:keepLines/>
      <w:spacing w:after="0"/>
      <w:outlineLvl w:val="1"/>
    </w:pPr>
    <w:rPr>
      <w:rFonts w:eastAsiaTheme="majorEastAsia"/>
      <w:b/>
      <w:bCs/>
      <w:sz w:val="32"/>
      <w:szCs w:val="32"/>
    </w:rPr>
  </w:style>
  <w:style w:type="paragraph" w:styleId="Heading3">
    <w:name w:val="heading 3"/>
    <w:basedOn w:val="Normal"/>
    <w:next w:val="Normal"/>
    <w:link w:val="Heading3Char"/>
    <w:uiPriority w:val="9"/>
    <w:unhideWhenUsed/>
    <w:qFormat/>
    <w:rsid w:val="00D27C42"/>
    <w:pPr>
      <w:keepNext/>
      <w:keepLines/>
      <w:spacing w:before="360" w:after="80"/>
      <w:outlineLvl w:val="2"/>
    </w:pPr>
    <w:rPr>
      <w:rFonts w:eastAsiaTheme="majorEastAsia" w:cstheme="majorBidi"/>
      <w:b/>
      <w:bCs/>
      <w:sz w:val="24"/>
      <w:szCs w:val="24"/>
    </w:rPr>
  </w:style>
  <w:style w:type="paragraph" w:styleId="Heading4">
    <w:name w:val="heading 4"/>
    <w:basedOn w:val="Normal"/>
    <w:next w:val="Normal"/>
    <w:link w:val="Heading4Char"/>
    <w:uiPriority w:val="9"/>
    <w:semiHidden/>
    <w:unhideWhenUsed/>
    <w:qFormat/>
    <w:rsid w:val="00B82F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F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F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F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F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F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0AFE"/>
    <w:rPr>
      <w:rFonts w:ascii="Open Sans" w:eastAsiaTheme="majorEastAsia" w:hAnsi="Open Sans" w:cs="Open Sans"/>
      <w:sz w:val="40"/>
      <w:szCs w:val="40"/>
    </w:rPr>
  </w:style>
  <w:style w:type="character" w:customStyle="1" w:styleId="Heading2Char">
    <w:name w:val="Heading 2 Char"/>
    <w:basedOn w:val="DefaultParagraphFont"/>
    <w:link w:val="Heading2"/>
    <w:uiPriority w:val="9"/>
    <w:rsid w:val="000972D6"/>
    <w:rPr>
      <w:rFonts w:ascii="Open Sans" w:eastAsiaTheme="majorEastAsia" w:hAnsi="Open Sans" w:cs="Open Sans"/>
      <w:b/>
      <w:bCs/>
      <w:sz w:val="32"/>
      <w:szCs w:val="32"/>
    </w:rPr>
  </w:style>
  <w:style w:type="character" w:customStyle="1" w:styleId="Heading3Char">
    <w:name w:val="Heading 3 Char"/>
    <w:basedOn w:val="DefaultParagraphFont"/>
    <w:link w:val="Heading3"/>
    <w:uiPriority w:val="9"/>
    <w:rsid w:val="00D27C42"/>
    <w:rPr>
      <w:rFonts w:ascii="Open Sans" w:eastAsiaTheme="majorEastAsia" w:hAnsi="Open Sans" w:cstheme="majorBidi"/>
      <w:b/>
      <w:bCs/>
      <w:sz w:val="24"/>
      <w:szCs w:val="24"/>
    </w:rPr>
  </w:style>
  <w:style w:type="character" w:customStyle="1" w:styleId="Heading4Char">
    <w:name w:val="Heading 4 Char"/>
    <w:basedOn w:val="DefaultParagraphFont"/>
    <w:link w:val="Heading4"/>
    <w:uiPriority w:val="9"/>
    <w:semiHidden/>
    <w:rsid w:val="00B82F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F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F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F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F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FDC"/>
    <w:rPr>
      <w:rFonts w:eastAsiaTheme="majorEastAsia" w:cstheme="majorBidi"/>
      <w:color w:val="272727" w:themeColor="text1" w:themeTint="D8"/>
    </w:rPr>
  </w:style>
  <w:style w:type="paragraph" w:styleId="Title">
    <w:name w:val="Title"/>
    <w:basedOn w:val="Normal"/>
    <w:next w:val="Normal"/>
    <w:link w:val="TitleChar"/>
    <w:uiPriority w:val="10"/>
    <w:qFormat/>
    <w:rsid w:val="00B82F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F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F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F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FDC"/>
    <w:pPr>
      <w:spacing w:before="160"/>
      <w:jc w:val="center"/>
    </w:pPr>
    <w:rPr>
      <w:i/>
      <w:iCs/>
      <w:color w:val="404040" w:themeColor="text1" w:themeTint="BF"/>
    </w:rPr>
  </w:style>
  <w:style w:type="character" w:customStyle="1" w:styleId="QuoteChar">
    <w:name w:val="Quote Char"/>
    <w:basedOn w:val="DefaultParagraphFont"/>
    <w:link w:val="Quote"/>
    <w:uiPriority w:val="29"/>
    <w:rsid w:val="00B82FDC"/>
    <w:rPr>
      <w:i/>
      <w:iCs/>
      <w:color w:val="404040" w:themeColor="text1" w:themeTint="BF"/>
    </w:rPr>
  </w:style>
  <w:style w:type="paragraph" w:styleId="ListParagraph">
    <w:name w:val="List Paragraph"/>
    <w:basedOn w:val="Normal"/>
    <w:uiPriority w:val="34"/>
    <w:qFormat/>
    <w:rsid w:val="00B82FDC"/>
    <w:pPr>
      <w:ind w:left="720"/>
      <w:contextualSpacing/>
    </w:pPr>
  </w:style>
  <w:style w:type="character" w:styleId="IntenseEmphasis">
    <w:name w:val="Intense Emphasis"/>
    <w:basedOn w:val="DefaultParagraphFont"/>
    <w:uiPriority w:val="21"/>
    <w:qFormat/>
    <w:rsid w:val="00B82FDC"/>
    <w:rPr>
      <w:i/>
      <w:iCs/>
      <w:color w:val="0F4761" w:themeColor="accent1" w:themeShade="BF"/>
    </w:rPr>
  </w:style>
  <w:style w:type="paragraph" w:styleId="IntenseQuote">
    <w:name w:val="Intense Quote"/>
    <w:basedOn w:val="Normal"/>
    <w:next w:val="Normal"/>
    <w:link w:val="IntenseQuoteChar"/>
    <w:uiPriority w:val="30"/>
    <w:qFormat/>
    <w:rsid w:val="00B82F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FDC"/>
    <w:rPr>
      <w:i/>
      <w:iCs/>
      <w:color w:val="0F4761" w:themeColor="accent1" w:themeShade="BF"/>
    </w:rPr>
  </w:style>
  <w:style w:type="character" w:styleId="IntenseReference">
    <w:name w:val="Intense Reference"/>
    <w:basedOn w:val="DefaultParagraphFont"/>
    <w:uiPriority w:val="32"/>
    <w:qFormat/>
    <w:rsid w:val="00B82FDC"/>
    <w:rPr>
      <w:b/>
      <w:bCs/>
      <w:smallCaps/>
      <w:color w:val="0F4761" w:themeColor="accent1" w:themeShade="BF"/>
      <w:spacing w:val="5"/>
    </w:rPr>
  </w:style>
  <w:style w:type="paragraph" w:styleId="Header">
    <w:name w:val="header"/>
    <w:basedOn w:val="Normal"/>
    <w:link w:val="HeaderChar"/>
    <w:uiPriority w:val="99"/>
    <w:unhideWhenUsed/>
    <w:rsid w:val="00B82FD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FDC"/>
  </w:style>
  <w:style w:type="paragraph" w:styleId="Footer">
    <w:name w:val="footer"/>
    <w:basedOn w:val="Normal"/>
    <w:link w:val="FooterChar"/>
    <w:uiPriority w:val="99"/>
    <w:unhideWhenUsed/>
    <w:rsid w:val="00B82FD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2FDC"/>
  </w:style>
  <w:style w:type="paragraph" w:styleId="Caption">
    <w:name w:val="caption"/>
    <w:basedOn w:val="Normal"/>
    <w:next w:val="Normal"/>
    <w:uiPriority w:val="35"/>
    <w:unhideWhenUsed/>
    <w:qFormat/>
    <w:rsid w:val="00861B1F"/>
    <w:pPr>
      <w:keepLines/>
      <w:spacing w:before="120" w:after="480" w:line="240" w:lineRule="auto"/>
      <w:jc w:val="center"/>
    </w:pPr>
    <w:rPr>
      <w:i/>
      <w:iCs/>
      <w:sz w:val="20"/>
      <w:szCs w:val="20"/>
    </w:rPr>
  </w:style>
  <w:style w:type="paragraph" w:styleId="Bibliography">
    <w:name w:val="Bibliography"/>
    <w:basedOn w:val="Normal"/>
    <w:next w:val="Normal"/>
    <w:uiPriority w:val="37"/>
    <w:unhideWhenUsed/>
    <w:rsid w:val="00D27C42"/>
    <w:pPr>
      <w:tabs>
        <w:tab w:val="left" w:pos="504"/>
      </w:tabs>
      <w:spacing w:line="240" w:lineRule="auto"/>
      <w:ind w:left="504" w:hanging="504"/>
    </w:pPr>
  </w:style>
  <w:style w:type="character" w:styleId="Hyperlink">
    <w:name w:val="Hyperlink"/>
    <w:basedOn w:val="DefaultParagraphFont"/>
    <w:uiPriority w:val="99"/>
    <w:unhideWhenUsed/>
    <w:rsid w:val="00D27C42"/>
    <w:rPr>
      <w:color w:val="467886" w:themeColor="hyperlink"/>
      <w:u w:val="single"/>
    </w:rPr>
  </w:style>
  <w:style w:type="character" w:styleId="UnresolvedMention">
    <w:name w:val="Unresolved Mention"/>
    <w:basedOn w:val="DefaultParagraphFont"/>
    <w:uiPriority w:val="99"/>
    <w:semiHidden/>
    <w:unhideWhenUsed/>
    <w:rsid w:val="00D27C42"/>
    <w:rPr>
      <w:color w:val="605E5C"/>
      <w:shd w:val="clear" w:color="auto" w:fill="E1DFDD"/>
    </w:rPr>
  </w:style>
  <w:style w:type="character" w:styleId="Strong">
    <w:name w:val="Strong"/>
    <w:basedOn w:val="DefaultParagraphFont"/>
    <w:uiPriority w:val="22"/>
    <w:qFormat/>
    <w:rsid w:val="00C11FF7"/>
    <w:rPr>
      <w:b/>
      <w:bCs/>
    </w:rPr>
  </w:style>
  <w:style w:type="paragraph" w:customStyle="1" w:styleId="Code">
    <w:name w:val="Code"/>
    <w:basedOn w:val="Normal"/>
    <w:link w:val="CodeChar"/>
    <w:qFormat/>
    <w:rsid w:val="00C11FF7"/>
    <w:rPr>
      <w:rFonts w:ascii="Courier New" w:hAnsi="Courier New"/>
      <w:b/>
    </w:rPr>
  </w:style>
  <w:style w:type="character" w:customStyle="1" w:styleId="CodeChar">
    <w:name w:val="Code Char"/>
    <w:basedOn w:val="DefaultParagraphFont"/>
    <w:link w:val="Code"/>
    <w:rsid w:val="00C11FF7"/>
    <w:rPr>
      <w:rFonts w:ascii="Courier New" w:hAnsi="Courier New" w:cs="Open Sans"/>
      <w:b/>
    </w:rPr>
  </w:style>
  <w:style w:type="table" w:styleId="TableGrid">
    <w:name w:val="Table Grid"/>
    <w:basedOn w:val="TableNormal"/>
    <w:uiPriority w:val="39"/>
    <w:rsid w:val="00706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A35C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gillespieza/tcga-kirc-survival-omic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20</Pages>
  <Words>16607</Words>
  <Characters>94662</Characters>
  <Application>Microsoft Office Word</Application>
  <DocSecurity>0</DocSecurity>
  <Lines>788</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Dominy</dc:creator>
  <cp:keywords/>
  <dc:description/>
  <cp:lastModifiedBy>Amanda Dominy</cp:lastModifiedBy>
  <cp:revision>14</cp:revision>
  <dcterms:created xsi:type="dcterms:W3CDTF">2026-06-08T14:15:00Z</dcterms:created>
  <dcterms:modified xsi:type="dcterms:W3CDTF">2026-06-08T18:20:00Z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id="mIKilyJx"/&gt;&lt;style id="http://www.zotero.org/styles/vancouver-superscript" locale="en-GB" hasBibliography="1" bibliographyStyleHasBeenSet="1"/&gt;&lt;prefs&gt;&lt;pref name="fieldType" value="Field"/&gt;&lt;pref nam</vt:lpwstr>
  </property>
  <property fmtid="{D5CDD505-2E9C-101B-9397-08002B2CF9AE}" pid="3" name="ZOTERO_PREF_2">
    <vt:lpwstr>e="automaticJournalAbbreviations" value="true"/&gt;&lt;/prefs&gt;&lt;/data&gt;</vt:lpwstr>
  </property>
</Properties>
</file>