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Light" w:cs="Calibri Light" w:eastAsia="Calibri Light" w:hAnsi="Calibri Light"/>
          <w:b/>
          <w:bCs/>
          <w:color w:val="2C3E50"/>
          <w:sz w:val="72"/>
          <w:szCs w:val="72"/>
        </w:rPr>
        <w:t xml:space="preserve">KoNote</w:t>
      </w:r>
    </w:p>
    <w:p>
      <w:pPr>
        <w:spacing w:after="400"/>
        <w:jc w:val="center"/>
      </w:pPr>
      <w:r>
        <w:rPr>
          <w:rFonts w:ascii="Calibri Light" w:cs="Calibri Light" w:eastAsia="Calibri Light" w:hAnsi="Calibri Light"/>
          <w:color w:val="3498DB"/>
          <w:sz w:val="36"/>
          <w:szCs w:val="36"/>
        </w:rPr>
        <w:t xml:space="preserve">Requirements Analysis &amp; Platform Comparison</w:t>
      </w:r>
    </w:p>
    <w:p>
      <w:pPr>
        <w:spacing w:after="80"/>
        <w:jc w:val="center"/>
      </w:pPr>
      <w:r>
        <w:rPr>
          <w:rFonts w:ascii="Calibri" w:cs="Calibri" w:eastAsia="Calibri" w:hAnsi="Calibri"/>
          <w:color w:val="7F8C8D"/>
          <w:sz w:val="22"/>
          <w:szCs w:val="22"/>
        </w:rPr>
        <w:t xml:space="preserve">Prepared for prospective agency partner</w:t>
      </w:r>
    </w:p>
    <w:p>
      <w:pPr>
        <w:spacing w:after="80"/>
        <w:jc w:val="center"/>
      </w:pPr>
      <w:r>
        <w:rPr>
          <w:rFonts w:ascii="Calibri" w:cs="Calibri" w:eastAsia="Calibri" w:hAnsi="Calibri"/>
          <w:color w:val="7F8C8D"/>
          <w:sz w:val="22"/>
          <w:szCs w:val="22"/>
        </w:rPr>
        <w:t xml:space="preserve">February 2026</w:t>
      </w:r>
    </w:p>
    <w:p>
      <w:pPr>
        <w:spacing w:after="1200"/>
        <w:jc w:val="center"/>
      </w:pPr>
      <w:r>
        <w:rPr>
          <w:rFonts w:ascii="Calibri" w:cs="Calibri" w:eastAsia="Calibri" w:hAnsi="Calibri"/>
          <w:i/>
          <w:iCs/>
          <w:color w:val="7F8C8D"/>
          <w:sz w:val="20"/>
          <w:szCs w:val="20"/>
        </w:rPr>
        <w:t xml:space="preserve">Confidential</w:t>
      </w:r>
    </w:p>
    <w:p>
      <w:pPr>
        <w:shd w:fill="E8F4FD" w:val="clear"/>
        <w:spacing w:before="120" w:after="120" w:line="276"/>
        <w:ind w:left="200" w:right="200"/>
      </w:pPr>
      <w:r>
        <w:rPr>
          <w:rFonts w:ascii="Calibri" w:cs="Calibri" w:eastAsia="Calibri" w:hAnsi="Calibri"/>
          <w:color w:val="34495E"/>
          <w:sz w:val="22"/>
          <w:szCs w:val="22"/>
        </w:rPr>
        <w:t xml:space="preserve">  Your data, your modules, your infrastructure, your country.  </w:t>
      </w:r>
    </w:p>
    <w:p>
      <w:r>
        <w:br/>
      </w:r>
      <w:r>
        <w:r>
          <w:br w:type="page"/>
        </w:r>
      </w:r>
    </w:p>
    <w:p>
      <w:pPr>
        <w:pStyle w:val="Heading1"/>
      </w:pPr>
      <w:r>
        <w:t xml:space="preserve">1. Understanding Your Needs</w:t>
      </w:r>
    </w:p>
    <w:p>
      <w:pPr>
        <w:spacing w:after="160" w:line="276"/>
      </w:pPr>
      <w:r>
        <w:rPr>
          <w:rFonts w:ascii="Calibri" w:cs="Calibri" w:eastAsia="Calibri" w:hAnsi="Calibri"/>
          <w:color w:val="34495E"/>
          <w:sz w:val="22"/>
          <w:szCs w:val="22"/>
        </w:rPr>
        <w:t xml:space="preserve">We listened carefully to your feedback and translated your notes into a structured requirements analysis. This document maps each requirement to KoNote’s current or planned capabilities and compares KoNote to Monday.com as an alternative platform.</w:t>
      </w:r>
    </w:p>
    <w:p>
      <w:pPr>
        <w:spacing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6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Requirement</w:t>
            </w:r>
          </w:p>
        </w:tc>
        <w:tc>
          <w:tcPr>
            <w:tcW w:type="dxa" w:w="12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c>
          <w:tcPr>
            <w:tcW w:type="dxa" w:w="42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KoNote Status</w:t>
            </w:r>
          </w:p>
        </w:tc>
      </w:tr>
      <w:tr>
        <w:tc>
          <w:tcPr>
            <w:tcW w:type="dxa" w:w="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1</w:t>
            </w:r>
          </w:p>
        </w:tc>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Simplified workflow for coaches — less clicking, less bureaucratic feel</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27AE60"/>
                <w:sz w:val="20"/>
                <w:szCs w:val="20"/>
              </w:rPr>
              <w:t xml:space="preserve">Core</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Available now — KoNote is designed around the coach-participant relationship, not project management</w:t>
            </w:r>
          </w:p>
        </w:tc>
      </w:tr>
      <w:tr>
        <w:tc>
          <w:tcPr>
            <w:tcW w:type="dxa" w:w="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2</w:t>
            </w:r>
          </w:p>
        </w:tc>
        <w:tc>
          <w:tcPr>
            <w:tcW w:type="dxa" w:w="3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Longitudinal outcome data — number of sessions, changes since session X, trends over time</w:t>
            </w:r>
          </w:p>
        </w:tc>
        <w:tc>
          <w:tcPr>
            <w:tcW w:type="dxa" w:w="1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27AE60"/>
                <w:sz w:val="20"/>
                <w:szCs w:val="20"/>
              </w:rPr>
              <w:t xml:space="preserve">Core</w:t>
            </w:r>
          </w:p>
        </w:tc>
        <w:tc>
          <w:tcPr>
            <w:tcW w:type="dxa" w:w="4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Available now — outcome tracking with Chart.js visualisation is KoNote’s core feature</w:t>
            </w:r>
          </w:p>
        </w:tc>
      </w:tr>
      <w:tr>
        <w:tc>
          <w:tcPr>
            <w:tcW w:type="dxa" w:w="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3</w:t>
            </w:r>
          </w:p>
        </w:tc>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Coach planning and goal-setting space — somewhere to capture plans collaboratively with participants</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27AE60"/>
                <w:sz w:val="20"/>
                <w:szCs w:val="20"/>
              </w:rPr>
              <w:t xml:space="preserve">Core</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Available now — outcomes with measurable indicators, progress notes with narrative</w:t>
            </w:r>
          </w:p>
        </w:tc>
      </w:tr>
      <w:tr>
        <w:tc>
          <w:tcPr>
            <w:tcW w:type="dxa" w:w="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4</w:t>
            </w:r>
          </w:p>
        </w:tc>
        <w:tc>
          <w:tcPr>
            <w:tcW w:type="dxa" w:w="3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Referral source tracking — where the person came from</w:t>
            </w:r>
          </w:p>
        </w:tc>
        <w:tc>
          <w:tcPr>
            <w:tcW w:type="dxa" w:w="1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27AE60"/>
                <w:sz w:val="20"/>
                <w:szCs w:val="20"/>
              </w:rPr>
              <w:t xml:space="preserve">Core</w:t>
            </w:r>
          </w:p>
        </w:tc>
        <w:tc>
          <w:tcPr>
            <w:tcW w:type="dxa" w:w="4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Available now — referral source field on client intake</w:t>
            </w:r>
          </w:p>
        </w:tc>
      </w:tr>
      <w:tr>
        <w:tc>
          <w:tcPr>
            <w:tcW w:type="dxa" w:w="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5</w:t>
            </w:r>
          </w:p>
        </w:tc>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Appointment and visit tracking — future visits saved in the database</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27AE60"/>
                <w:sz w:val="20"/>
                <w:szCs w:val="20"/>
              </w:rPr>
              <w:t xml:space="preserve">Core</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In development — native meeting model with status tracking (scheduled, completed, cancelled, no-show)</w:t>
            </w:r>
          </w:p>
        </w:tc>
      </w:tr>
      <w:tr>
        <w:tc>
          <w:tcPr>
            <w:tcW w:type="dxa" w:w="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6</w:t>
            </w:r>
          </w:p>
        </w:tc>
        <w:tc>
          <w:tcPr>
            <w:tcW w:type="dxa" w:w="3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Usable reporting out of the box — no Power BI needed</w:t>
            </w:r>
          </w:p>
        </w:tc>
        <w:tc>
          <w:tcPr>
            <w:tcW w:type="dxa" w:w="1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27AE60"/>
                <w:sz w:val="20"/>
                <w:szCs w:val="20"/>
              </w:rPr>
              <w:t xml:space="preserve">Core</w:t>
            </w:r>
          </w:p>
        </w:tc>
        <w:tc>
          <w:tcPr>
            <w:tcW w:type="dxa" w:w="4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Available now — built-in outcome visualisation, funder reporting templates, exportable data</w:t>
            </w:r>
          </w:p>
        </w:tc>
      </w:tr>
      <w:tr>
        <w:tc>
          <w:tcPr>
            <w:tcW w:type="dxa" w:w="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7</w:t>
            </w:r>
          </w:p>
        </w:tc>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Data sovereignty — all data stays in Canada</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27AE60"/>
                <w:sz w:val="20"/>
                <w:szCs w:val="20"/>
              </w:rPr>
              <w:t xml:space="preserve">Core</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Available now — self-hosted on Canadian infrastructure (Fullhost.com or equivalent). You control where your data lives.</w:t>
            </w:r>
          </w:p>
        </w:tc>
      </w:tr>
      <w:tr>
        <w:tc>
          <w:tcPr>
            <w:tcW w:type="dxa" w:w="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8</w:t>
            </w:r>
          </w:p>
        </w:tc>
        <w:tc>
          <w:tcPr>
            <w:tcW w:type="dxa" w:w="3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Two-way email within the progress timeline</w:t>
            </w:r>
          </w:p>
        </w:tc>
        <w:tc>
          <w:tcPr>
            <w:tcW w:type="dxa" w:w="1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98DB"/>
                <w:sz w:val="20"/>
                <w:szCs w:val="20"/>
              </w:rPr>
              <w:t xml:space="preserve">High</w:t>
            </w:r>
          </w:p>
        </w:tc>
        <w:tc>
          <w:tcPr>
            <w:tcW w:type="dxa" w:w="4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Planned module — integration with Microsoft 365 or Google Workspace. Emails appear in the participant timeline alongside progress notes.</w:t>
            </w:r>
          </w:p>
        </w:tc>
      </w:tr>
      <w:tr>
        <w:tc>
          <w:tcPr>
            <w:tcW w:type="dxa" w:w="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9</w:t>
            </w:r>
          </w:p>
        </w:tc>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Participant portal — clients can input their own data</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7F8C8D"/>
                <w:sz w:val="20"/>
                <w:szCs w:val="20"/>
              </w:rPr>
              <w:t xml:space="preserve">Medium</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Future module — separate login for participants to view their progress and enter information</w:t>
            </w:r>
          </w:p>
        </w:tc>
      </w:tr>
      <w:tr>
        <w:tc>
          <w:tcPr>
            <w:tcW w:type="dxa" w:w="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10</w:t>
            </w:r>
          </w:p>
        </w:tc>
        <w:tc>
          <w:tcPr>
            <w:tcW w:type="dxa" w:w="3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SMS communication — send and receive texts with participants</w:t>
            </w:r>
          </w:p>
        </w:tc>
        <w:tc>
          <w:tcPr>
            <w:tcW w:type="dxa" w:w="1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7F8C8D"/>
                <w:sz w:val="20"/>
                <w:szCs w:val="20"/>
              </w:rPr>
              <w:t xml:space="preserve">Medium</w:t>
            </w:r>
          </w:p>
        </w:tc>
        <w:tc>
          <w:tcPr>
            <w:tcW w:type="dxa" w:w="4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Planned module — appointment reminders and notifications. Canadian provider option available (Swift SMS Gateway).</w:t>
            </w:r>
          </w:p>
        </w:tc>
      </w:tr>
      <w:tr>
        <w:tc>
          <w:tcPr>
            <w:tcW w:type="dxa" w:w="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11</w:t>
            </w:r>
          </w:p>
        </w:tc>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Surveys — collect structured feedback from participants</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7F8C8D"/>
                <w:sz w:val="20"/>
                <w:szCs w:val="20"/>
              </w:rPr>
              <w:t xml:space="preserve">Medium</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Future consideration — could be built as lightweight forms or integrated with an external survey tool</w:t>
            </w:r>
          </w:p>
        </w:tc>
      </w:tr>
      <w:tr>
        <w:tc>
          <w:tcPr>
            <w:tcW w:type="dxa" w:w="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12</w:t>
            </w:r>
          </w:p>
        </w:tc>
        <w:tc>
          <w:tcPr>
            <w:tcW w:type="dxa" w:w="36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Financial coaching workflow</w:t>
            </w:r>
          </w:p>
        </w:tc>
        <w:tc>
          <w:tcPr>
            <w:tcW w:type="dxa" w:w="1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7F8C8D"/>
                <w:sz w:val="20"/>
                <w:szCs w:val="20"/>
              </w:rPr>
              <w:t xml:space="preserve">Nice-to-have</w:t>
            </w:r>
          </w:p>
        </w:tc>
        <w:tc>
          <w:tcPr>
            <w:tcW w:type="dxa" w:w="4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KoNote’s outcome and progress note system is flexible enough to support financial coaching workflows without custom development</w:t>
            </w:r>
          </w:p>
        </w:tc>
      </w:tr>
      <w:tr>
        <w:tc>
          <w:tcPr>
            <w:tcW w:type="dxa" w:w="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13</w:t>
            </w:r>
          </w:p>
        </w:tc>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Affordable to maintain and update</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7F8C8D"/>
                <w:sz w:val="20"/>
                <w:szCs w:val="20"/>
              </w:rPr>
              <w:t xml:space="preserve">Implicit</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Open source, no per-seat licensing, no vendor lock-in. Hosting cost only.</w:t>
            </w:r>
          </w:p>
        </w:tc>
      </w:tr>
    </w:tbl>
    <w:p>
      <w:pPr>
        <w:spacing w:before="80"/>
      </w:pPr>
    </w:p>
    <w:p>
      <w:pPr>
        <w:shd w:fill="E8F4FD" w:val="clear"/>
        <w:spacing w:before="120" w:after="120" w:line="276"/>
        <w:ind w:left="200" w:right="200"/>
      </w:pPr>
      <w:r>
        <w:rPr>
          <w:rFonts w:ascii="Calibri" w:cs="Calibri" w:eastAsia="Calibri" w:hAnsi="Calibri"/>
          <w:color w:val="34495E"/>
          <w:sz w:val="22"/>
          <w:szCs w:val="22"/>
        </w:rPr>
        <w:t xml:space="preserve">  7 of 13 requirements are available today. The remaining 6 are planned modules or future considerations — none require fundamental changes to KoNote’s architecture.  </w:t>
      </w:r>
    </w:p>
    <w:p>
      <w:r>
        <w:r>
          <w:br w:type="page"/>
        </w:r>
      </w:r>
    </w:p>
    <w:p>
      <w:pPr>
        <w:pStyle w:val="Heading1"/>
      </w:pPr>
      <w:r>
        <w:t xml:space="preserve">2. KoNote vs. Monday.com</w:t>
      </w:r>
    </w:p>
    <w:p>
      <w:pPr>
        <w:spacing w:after="160" w:line="276"/>
      </w:pPr>
      <w:r>
        <w:rPr>
          <w:rFonts w:ascii="Calibri" w:cs="Calibri" w:eastAsia="Calibri" w:hAnsi="Calibri"/>
          <w:color w:val="34495E"/>
          <w:sz w:val="22"/>
          <w:szCs w:val="22"/>
        </w:rPr>
        <w:t xml:space="preserve">Monday.com is a powerful general-purpose work management platform. It excels at project tracking, automations, and team collaboration. However, it was designed for project managers, not case workers. Here is how the two platforms compare for participant outcome management.</w:t>
      </w:r>
    </w:p>
    <w:p>
      <w:pPr>
        <w:spacing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Dimension</w:t>
            </w:r>
          </w:p>
        </w:tc>
        <w:tc>
          <w:tcPr>
            <w:tcW w:type="dxa" w:w="40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KoNote</w:t>
            </w:r>
          </w:p>
        </w:tc>
        <w:tc>
          <w:tcPr>
            <w:tcW w:type="dxa" w:w="40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Monday.com</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Purpose</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Built specifically for participant outcome management in nonprofits</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General work management platform adapted to any use case</w:t>
            </w:r>
          </w:p>
        </w:tc>
      </w:tr>
      <w:tr>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Data sovereignty</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Self-hosted in Canada — you choose the hosting provider and control where your data lives</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US-based company with global data centres. Canadian data residency options are limited and expensive (Enterprise tier).</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PII security</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Field-level Fernet (AES) encryption for all personally identifiable information, separate audit database, PIPEDA-aware design</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No field-level encryption. Client data is stored in plain text on Monday.com’s servers.</w:t>
            </w:r>
          </w:p>
        </w:tc>
      </w:tr>
      <w:tr>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Cost</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Hosting only — approximately $20–50 CAD/month. No per-seat licensing.</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$16–32 CAD/seat/month. Ten coaches = $160–320/month. Enterprise features cost significantly more.</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Simplicity</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Purpose-built interface for coaches and participants. Minimal training needed.</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Feature-rich but complex — boards, automations, integrations, views. Staff require training and ongoing support.</w:t>
            </w:r>
          </w:p>
        </w:tc>
      </w:tr>
      <w:tr>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Reporting</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Built-in outcome visualisation with longitudinal tracking, funder report templates, exportable data — no Power BI needed</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Would require custom dashboard configuration or export to Power BI (which has not delivered good data extraction)</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Customisation</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You own the code. Any feature can be changed or added.</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Limited to what the Monday.com platform allows through its interface and marketplace.</w:t>
            </w:r>
          </w:p>
        </w:tc>
      </w:tr>
      <w:tr>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Coach experience</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Designed around the coach-participant relationship — progress notes, outcomes, communication timeline</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Designed around project management. Human services would be fitted into a Kanban board or table.</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Participant portal</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Planned module — separate secure login for participants</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Not a core feature. Monday.com is designed for internal teams.</w:t>
            </w:r>
          </w:p>
        </w:tc>
      </w:tr>
      <w:tr>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Email integration</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Planned module — two-way email tied to participant records, using your existing Microsoft 365 or Google Workspace</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Has email integrations, but they are tied to board items, not participant relationships.</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Bilingual support</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Full English and French interface. Participant communications sent in the client’s preferred language.</w:t>
            </w:r>
          </w:p>
        </w:tc>
        <w:tc>
          <w:tcPr>
            <w:tcW w:type="dxa" w:w="4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Interface available in French. No built-in bilingual communication workflows.</w:t>
            </w:r>
          </w:p>
        </w:tc>
      </w:tr>
      <w:tr>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Accessibility</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WCAG 2.2 AA compliant by design. AODA-ready.</w:t>
            </w:r>
          </w:p>
        </w:tc>
        <w:tc>
          <w:tcPr>
            <w:tcW w:type="dxa" w:w="4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Monday.com’s VPAT indicates partial WCAG 2.1 AA conformance with known gaps.</w:t>
            </w:r>
          </w:p>
        </w:tc>
      </w:tr>
    </w:tbl>
    <w:p>
      <w:r>
        <w:r>
          <w:br w:type="page"/>
        </w:r>
      </w:r>
    </w:p>
    <w:p>
      <w:pPr>
        <w:pStyle w:val="Heading1"/>
      </w:pPr>
      <w:r>
        <w:t xml:space="preserve">3. Data Sovereignty</w:t>
      </w:r>
    </w:p>
    <w:p>
      <w:pPr>
        <w:spacing w:after="160" w:line="276"/>
      </w:pPr>
      <w:r>
        <w:rPr>
          <w:rFonts w:ascii="Calibri" w:cs="Calibri" w:eastAsia="Calibri" w:hAnsi="Calibri"/>
          <w:color w:val="34495E"/>
          <w:sz w:val="22"/>
          <w:szCs w:val="22"/>
        </w:rPr>
        <w:t xml:space="preserve">Data sovereignty means your organisation controls where participant data is stored and who can access it. For nonprofits serving vulnerable populations, this is not optional — it is a legal and ethical obligation under PIPEDA and Ontario’s privacy framework.</w:t>
      </w:r>
    </w:p>
    <w:p>
      <w:pPr>
        <w:pStyle w:val="Heading2"/>
      </w:pPr>
      <w:r>
        <w:t xml:space="preserve">KoNote’s Approach</w:t>
      </w:r>
    </w:p>
    <w:p>
      <w:pPr>
        <w:spacing w:after="160" w:line="276"/>
      </w:pPr>
      <w:r>
        <w:rPr>
          <w:rFonts w:ascii="Calibri" w:cs="Calibri" w:eastAsia="Calibri" w:hAnsi="Calibri"/>
          <w:color w:val="34495E"/>
          <w:sz w:val="22"/>
          <w:szCs w:val="22"/>
        </w:rPr>
        <w:t xml:space="preserve">KoNote is self-hosted using Docker containers. You choose the hosting provider. For Canadian data sovereignty, we recommend Fullhost.com (based in Ontario) or any PIPEDA-compliant Canadian hosting provider. Your data never leaves Canadian infrastructure. No US company has access to your participant records, encryption keys, or audit logs. You hold the encryption keys.</w:t>
      </w:r>
    </w:p>
    <w:p>
      <w:pPr>
        <w:pStyle w:val="Heading2"/>
      </w:pPr>
      <w:r>
        <w:t xml:space="preserve">Monday.com’s Challenge</w:t>
      </w:r>
    </w:p>
    <w:p>
      <w:pPr>
        <w:spacing w:after="160" w:line="276"/>
      </w:pPr>
      <w:r>
        <w:rPr>
          <w:rFonts w:ascii="Calibri" w:cs="Calibri" w:eastAsia="Calibri" w:hAnsi="Calibri"/>
          <w:color w:val="34495E"/>
          <w:sz w:val="22"/>
          <w:szCs w:val="22"/>
        </w:rPr>
        <w:t xml:space="preserve">Monday.com is a US-based SaaS platform (publicly traded on NASDAQ). While they offer data residency options, these are limited to Enterprise-tier pricing and do not cover all data types. Metadata, search indexes, and AI features may process data outside Canada.</w:t>
      </w:r>
    </w:p>
    <w:p>
      <w:pPr>
        <w:shd w:fill="E8F4FD" w:val="clear"/>
        <w:spacing w:before="120" w:after="120" w:line="276"/>
        <w:ind w:left="200" w:right="200"/>
      </w:pPr>
      <w:r>
        <w:rPr>
          <w:rFonts w:ascii="Calibri" w:cs="Calibri" w:eastAsia="Calibri" w:hAnsi="Calibri"/>
          <w:color w:val="34495E"/>
          <w:sz w:val="22"/>
          <w:szCs w:val="22"/>
        </w:rPr>
        <w:t xml:space="preserve">  Under the US CLOUD Act, US authorities can compel disclosure of data held by US companies regardless of where the data is physically stored. For organisations serving participants in sensitive situations (mental health, addiction, domestic violence, immigration), this is a material risk.  </w:t>
      </w:r>
    </w:p>
    <w:p>
      <w:pPr>
        <w:pStyle w:val="Heading2"/>
      </w:pPr>
      <w:r>
        <w:t xml:space="preserve">Email and SMS Considerations</w:t>
      </w:r>
    </w:p>
    <w:p>
      <w:pPr>
        <w:spacing w:after="160" w:line="276"/>
      </w:pPr>
      <w:r>
        <w:rPr>
          <w:rFonts w:ascii="Calibri" w:cs="Calibri" w:eastAsia="Calibri" w:hAnsi="Calibri"/>
          <w:color w:val="34495E"/>
          <w:sz w:val="22"/>
          <w:szCs w:val="22"/>
        </w:rPr>
        <w:t xml:space="preserve">When KoNote sends an email through Microsoft 365 or Google Workspace, the email travels through your existing email infrastructure — the same system your staff already uses daily. For Canadian Microsoft 365 and Google Workspace tenants, data residency is honoured within Canada.</w:t>
      </w:r>
    </w:p>
    <w:p>
      <w:pPr>
        <w:spacing w:after="160" w:line="276"/>
      </w:pPr>
      <w:r>
        <w:rPr>
          <w:rFonts w:ascii="Calibri" w:cs="Calibri" w:eastAsia="Calibri" w:hAnsi="Calibri"/>
          <w:color w:val="34495E"/>
          <w:sz w:val="22"/>
          <w:szCs w:val="22"/>
        </w:rPr>
        <w:t xml:space="preserve">SMS is different. Text messages travel through telecom carrier networks and are stored by the SMS provider. Currently, most SMS API providers (including Twilio, the industry standard) are US-based. There is one Canadian option — Swift SMS Gateway, based in Canada with data stored in Canadian data centres. KoNote can integrate with either. We recommend discussing SMS data sovereignty requirements with your privacy officer before enabling SMS features.</w:t>
      </w:r>
    </w:p>
    <w:p>
      <w:r>
        <w:r>
          <w:br w:type="page"/>
        </w:r>
      </w:r>
    </w:p>
    <w:p>
      <w:pPr>
        <w:pStyle w:val="Heading1"/>
      </w:pPr>
      <w:r>
        <w:t xml:space="preserve">4. Communication Modules — A Modular Approach</w:t>
      </w:r>
    </w:p>
    <w:p>
      <w:pPr>
        <w:spacing w:after="160" w:line="276"/>
      </w:pPr>
      <w:r>
        <w:rPr>
          <w:rFonts w:ascii="Calibri" w:cs="Calibri" w:eastAsia="Calibri" w:hAnsi="Calibri"/>
          <w:color w:val="34495E"/>
          <w:sz w:val="22"/>
          <w:szCs w:val="22"/>
        </w:rPr>
        <w:t xml:space="preserve">Rather than bundling all communication features together, KoNote takes a modular approach. Each communication channel (email, appointments, SMS) is an optional module that can be enabled independently. This lets your organisation adopt features at your own pace, with clear understanding of the costs, benefits, and confidentiality implications of each module.</w:t>
      </w:r>
    </w:p>
    <w:p>
      <w:pPr>
        <w:spacing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8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Module</w:t>
            </w:r>
          </w:p>
        </w:tc>
        <w:tc>
          <w:tcPr>
            <w:tcW w:type="dxa" w:w="20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External Dependency</w:t>
            </w:r>
          </w:p>
        </w:tc>
        <w:tc>
          <w:tcPr>
            <w:tcW w:type="dxa" w:w="20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Cost to Agency</w:t>
            </w:r>
          </w:p>
        </w:tc>
        <w:tc>
          <w:tcPr>
            <w:tcW w:type="dxa" w:w="20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Confidentiality Risk</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Email Integration</w:t>
            </w:r>
          </w:p>
        </w:tc>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Your existing Microsoft 365 or Google Workspace</w:t>
            </w:r>
          </w:p>
        </w:tc>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$0 (uses existing subscription)</w:t>
            </w:r>
          </w:p>
        </w:tc>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Low — encrypted in transit, stays in your email system</w:t>
            </w:r>
          </w:p>
        </w:tc>
      </w:tr>
      <w:tr>
        <w:tc>
          <w:tcPr>
            <w:tcW w:type="dxa" w:w="18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Appointment Tracking</w:t>
            </w:r>
          </w:p>
        </w:tc>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None</w:t>
            </w:r>
          </w:p>
        </w:tc>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$0</w:t>
            </w:r>
          </w:p>
        </w:tc>
        <w:tc>
          <w:tcPr>
            <w:tcW w:type="dxa" w:w="20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None — data stays entirely within KoNote</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SMS Notifications</w:t>
            </w:r>
          </w:p>
        </w:tc>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Swift SMS Gateway (Canadian) or Twilio (US-based)</w:t>
            </w:r>
          </w:p>
        </w:tc>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$15–50 CAD/month</w:t>
            </w:r>
          </w:p>
        </w:tc>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High — unencrypted in transit, visible on device</w:t>
            </w:r>
          </w:p>
        </w:tc>
      </w:tr>
    </w:tbl>
    <w:p>
      <w:pPr>
        <w:spacing w:before="80"/>
      </w:pPr>
    </w:p>
    <w:p>
      <w:pPr>
        <w:pStyle w:val="Heading2"/>
      </w:pPr>
      <w:r>
        <w:t xml:space="preserve">Email Integration</w:t>
      </w:r>
    </w:p>
    <w:p>
      <w:pPr>
        <w:spacing w:after="160" w:line="276"/>
      </w:pPr>
      <w:r>
        <w:rPr>
          <w:rFonts w:ascii="Calibri" w:cs="Calibri" w:eastAsia="Calibri" w:hAnsi="Calibri"/>
          <w:color w:val="34495E"/>
          <w:sz w:val="22"/>
          <w:szCs w:val="22"/>
        </w:rPr>
        <w:t xml:space="preserve">This module connects KoNote to your existing Microsoft 365 or Google Workspace account. Coaches can send and receive emails from within KoNote, and all correspondence appears in the participant’s timeline alongside progress notes and outcome measurements.</w:t>
      </w:r>
    </w:p>
    <w:p>
      <w:pPr>
        <w:spacing w:after="160" w:line="276"/>
      </w:pPr>
      <w:r>
        <w:rPr>
          <w:rFonts w:ascii="Calibri" w:cs="Calibri" w:eastAsia="Calibri" w:hAnsi="Calibri"/>
          <w:color w:val="34495E"/>
          <w:sz w:val="22"/>
          <w:szCs w:val="22"/>
        </w:rPr>
        <w:t xml:space="preserve">Emails are sent from the coach’s real email address (or a shared mailbox like reminders@yourorg.ca). Replies from participants are captured and displayed in the timeline. The coach’s Outlook or Gmail also retains a copy — there is no shadow communication channel.</w:t>
      </w:r>
    </w:p>
    <w:p>
      <w:pPr>
        <w:pStyle w:val="ListParagraph"/>
        <w:numPr>
          <w:ilvl w:val="0"/>
          <w:numId w:val="2"/>
        </w:numPr>
        <w:spacing w:after="80" w:line="276"/>
      </w:pPr>
      <w:r>
        <w:rPr>
          <w:rFonts w:ascii="Calibri" w:cs="Calibri" w:eastAsia="Calibri" w:hAnsi="Calibri"/>
          <w:color w:val="34495E"/>
          <w:sz w:val="22"/>
          <w:szCs w:val="22"/>
        </w:rPr>
        <w:t xml:space="preserve">Technical requirements: your Microsoft 365 or Google Workspace administrator grants KoNote permission to send and read email on behalf of designated accounts. This is a one-time setup.</w:t>
      </w:r>
    </w:p>
    <w:p>
      <w:pPr>
        <w:pStyle w:val="ListParagraph"/>
        <w:numPr>
          <w:ilvl w:val="0"/>
          <w:numId w:val="2"/>
        </w:numPr>
        <w:spacing w:after="80" w:line="276"/>
      </w:pPr>
      <w:r>
        <w:rPr>
          <w:rFonts w:ascii="Calibri" w:cs="Calibri" w:eastAsia="Calibri" w:hAnsi="Calibri"/>
          <w:color w:val="34495E"/>
          <w:sz w:val="22"/>
          <w:szCs w:val="22"/>
        </w:rPr>
        <w:t xml:space="preserve">Cost: no additional cost — uses your existing email subscription.</w:t>
      </w:r>
    </w:p>
    <w:p>
      <w:pPr>
        <w:pStyle w:val="ListParagraph"/>
        <w:numPr>
          <w:ilvl w:val="0"/>
          <w:numId w:val="2"/>
        </w:numPr>
        <w:spacing w:after="80" w:line="276"/>
      </w:pPr>
      <w:r>
        <w:rPr>
          <w:rFonts w:ascii="Calibri" w:cs="Calibri" w:eastAsia="Calibri" w:hAnsi="Calibri"/>
          <w:color w:val="34495E"/>
          <w:sz w:val="22"/>
          <w:szCs w:val="22"/>
        </w:rPr>
        <w:t xml:space="preserve">Confidentiality: emails travel through your existing email infrastructure and are encrypted in transit by your email provider.</w:t>
      </w:r>
    </w:p>
    <w:p>
      <w:pPr>
        <w:pStyle w:val="ListParagraph"/>
        <w:numPr>
          <w:ilvl w:val="0"/>
          <w:numId w:val="2"/>
        </w:numPr>
        <w:spacing w:after="80" w:line="276"/>
      </w:pPr>
      <w:r>
        <w:rPr>
          <w:rFonts w:ascii="Calibri" w:cs="Calibri" w:eastAsia="Calibri" w:hAnsi="Calibri"/>
          <w:color w:val="34495E"/>
          <w:sz w:val="22"/>
          <w:szCs w:val="22"/>
        </w:rPr>
        <w:t xml:space="preserve">Data sovereignty: same as your current email — for Canadian tenants, data stays in Canada.</w:t>
      </w:r>
    </w:p>
    <w:p>
      <w:pPr>
        <w:pStyle w:val="Heading2"/>
      </w:pPr>
      <w:r>
        <w:t xml:space="preserve">Appointment Tracking</w:t>
      </w:r>
    </w:p>
    <w:p>
      <w:pPr>
        <w:spacing w:after="160" w:line="276"/>
      </w:pPr>
      <w:r>
        <w:rPr>
          <w:rFonts w:ascii="Calibri" w:cs="Calibri" w:eastAsia="Calibri" w:hAnsi="Calibri"/>
          <w:color w:val="34495E"/>
          <w:sz w:val="22"/>
          <w:szCs w:val="22"/>
        </w:rPr>
        <w:t xml:space="preserve">This module adds a simple meeting record to each participant: date, time, location, status (scheduled, completed, cancelled, no-show), and which coach is assigned. It is not a full calendaring system.</w:t>
      </w:r>
    </w:p>
    <w:p>
      <w:pPr>
        <w:spacing w:after="160" w:line="276"/>
      </w:pPr>
      <w:r>
        <w:rPr>
          <w:rFonts w:ascii="Calibri" w:cs="Calibri" w:eastAsia="Calibri" w:hAnsi="Calibri"/>
          <w:color w:val="34495E"/>
          <w:sz w:val="22"/>
          <w:szCs w:val="22"/>
        </w:rPr>
        <w:t xml:space="preserve">Coaches can see their upcoming appointments on a dashboard and on each participant’s page. An “Add to Calendar” button generates a standard .ics file that can be opened in Outlook, Google Calendar, or Apple Calendar. Optionally, KoNote can provide a private calendar feed URL that syncs meetings to the coach’s calendar automatically (read-only, refreshed periodically, containing initials and record IDs only — no personally identifiable information).</w:t>
      </w:r>
    </w:p>
    <w:p>
      <w:pPr>
        <w:pStyle w:val="ListParagraph"/>
        <w:numPr>
          <w:ilvl w:val="0"/>
          <w:numId w:val="2"/>
        </w:numPr>
        <w:spacing w:after="80" w:line="276"/>
      </w:pPr>
      <w:r>
        <w:rPr>
          <w:rFonts w:ascii="Calibri" w:cs="Calibri" w:eastAsia="Calibri" w:hAnsi="Calibri"/>
          <w:color w:val="34495E"/>
          <w:sz w:val="22"/>
          <w:szCs w:val="22"/>
        </w:rPr>
        <w:t xml:space="preserve">Cost: no additional cost. No external service required.</w:t>
      </w:r>
    </w:p>
    <w:p>
      <w:pPr>
        <w:pStyle w:val="ListParagraph"/>
        <w:numPr>
          <w:ilvl w:val="0"/>
          <w:numId w:val="2"/>
        </w:numPr>
        <w:spacing w:after="80" w:line="276"/>
      </w:pPr>
      <w:r>
        <w:rPr>
          <w:rFonts w:ascii="Calibri" w:cs="Calibri" w:eastAsia="Calibri" w:hAnsi="Calibri"/>
          <w:color w:val="34495E"/>
          <w:sz w:val="22"/>
          <w:szCs w:val="22"/>
        </w:rPr>
        <w:t xml:space="preserve">Confidentiality: appointment data stays entirely within KoNote. Calendar feeds contain only initials and record identifiers, never names or contact information.</w:t>
      </w:r>
    </w:p>
    <w:p>
      <w:pPr>
        <w:pStyle w:val="Heading2"/>
      </w:pPr>
      <w:r>
        <w:t xml:space="preserve">SMS Notifications</w:t>
      </w:r>
    </w:p>
    <w:p>
      <w:pPr>
        <w:spacing w:after="160" w:line="276"/>
      </w:pPr>
      <w:r>
        <w:rPr>
          <w:rFonts w:ascii="Calibri" w:cs="Calibri" w:eastAsia="Calibri" w:hAnsi="Calibri"/>
          <w:color w:val="34495E"/>
          <w:sz w:val="22"/>
          <w:szCs w:val="22"/>
        </w:rPr>
        <w:t xml:space="preserve">This module enables outbound text message reminders for appointments. Messages are short, contain no personally identifiable information, and include an opt-out instruction as required by CASL (Canada’s Anti-Spam Legislation).</w:t>
      </w:r>
    </w:p>
    <w:p>
      <w:pPr>
        <w:spacing w:after="160" w:line="276"/>
      </w:pPr>
      <w:r>
        <w:rPr>
          <w:rFonts w:ascii="Calibri" w:cs="Calibri" w:eastAsia="Calibri" w:hAnsi="Calibri"/>
          <w:color w:val="34495E"/>
          <w:sz w:val="22"/>
          <w:szCs w:val="22"/>
        </w:rPr>
        <w:t xml:space="preserve">Requires a third-party SMS provider:</w:t>
      </w:r>
    </w:p>
    <w:p>
      <w:pPr>
        <w:pStyle w:val="ListParagraph"/>
        <w:numPr>
          <w:ilvl w:val="0"/>
          <w:numId w:val="2"/>
        </w:numPr>
        <w:spacing w:after="80" w:line="276"/>
      </w:pPr>
      <w:r>
        <w:rPr>
          <w:rFonts w:ascii="Calibri" w:cs="Calibri" w:eastAsia="Calibri" w:hAnsi="Calibri"/>
          <w:b/>
          <w:bCs/>
          <w:color w:val="34495E"/>
          <w:sz w:val="22"/>
          <w:szCs w:val="22"/>
        </w:rPr>
        <w:t xml:space="preserve">Canadian option: </w:t>
      </w:r>
      <w:r>
        <w:rPr>
          <w:rFonts w:ascii="Calibri" w:cs="Calibri" w:eastAsia="Calibri" w:hAnsi="Calibri"/>
          <w:color w:val="34495E"/>
          <w:sz w:val="22"/>
          <w:szCs w:val="22"/>
        </w:rPr>
        <w:t xml:space="preserve">Swift SMS Gateway — data stays in Canada.</w:t>
      </w:r>
    </w:p>
    <w:p>
      <w:pPr>
        <w:pStyle w:val="ListParagraph"/>
        <w:numPr>
          <w:ilvl w:val="0"/>
          <w:numId w:val="2"/>
        </w:numPr>
        <w:spacing w:after="80" w:line="276"/>
      </w:pPr>
      <w:r>
        <w:rPr>
          <w:rFonts w:ascii="Calibri" w:cs="Calibri" w:eastAsia="Calibri" w:hAnsi="Calibri"/>
          <w:b/>
          <w:bCs/>
          <w:color w:val="34495E"/>
          <w:sz w:val="22"/>
          <w:szCs w:val="22"/>
        </w:rPr>
        <w:t xml:space="preserve">US-based option: </w:t>
      </w:r>
      <w:r>
        <w:rPr>
          <w:rFonts w:ascii="Calibri" w:cs="Calibri" w:eastAsia="Calibri" w:hAnsi="Calibri"/>
          <w:color w:val="34495E"/>
          <w:sz w:val="22"/>
          <w:szCs w:val="22"/>
        </w:rPr>
        <w:t xml:space="preserve">Twilio — industry standard, lower cost, but data transits US infrastructure.</w:t>
      </w:r>
    </w:p>
    <w:p>
      <w:pPr>
        <w:pStyle w:val="ListParagraph"/>
        <w:numPr>
          <w:ilvl w:val="0"/>
          <w:numId w:val="2"/>
        </w:numPr>
        <w:spacing w:after="80" w:line="276"/>
      </w:pPr>
      <w:r>
        <w:rPr>
          <w:rFonts w:ascii="Calibri" w:cs="Calibri" w:eastAsia="Calibri" w:hAnsi="Calibri"/>
          <w:b/>
          <w:bCs/>
          <w:color w:val="34495E"/>
          <w:sz w:val="22"/>
          <w:szCs w:val="22"/>
        </w:rPr>
        <w:t xml:space="preserve">Estimated cost: </w:t>
      </w:r>
      <w:r>
        <w:rPr>
          <w:rFonts w:ascii="Calibri" w:cs="Calibri" w:eastAsia="Calibri" w:hAnsi="Calibri"/>
          <w:color w:val="34495E"/>
          <w:sz w:val="22"/>
          <w:szCs w:val="22"/>
        </w:rPr>
        <w:t xml:space="preserve">$15–50 CAD/month depending on volume. Per-message cost is approximately 1–5 cents.</w:t>
      </w:r>
    </w:p>
    <w:p>
      <w:pPr>
        <w:spacing w:before="80"/>
      </w:pPr>
    </w:p>
    <w:p>
      <w:pPr>
        <w:spacing w:after="160" w:line="276"/>
      </w:pPr>
      <w:r>
        <w:rPr>
          <w:rFonts w:ascii="Calibri" w:cs="Calibri" w:eastAsia="Calibri" w:hAnsi="Calibri"/>
          <w:b/>
          <w:bCs/>
          <w:color w:val="34495E"/>
          <w:sz w:val="22"/>
          <w:szCs w:val="22"/>
        </w:rPr>
        <w:t xml:space="preserve">Confidentiality considerations: </w:t>
      </w:r>
      <w:r>
        <w:rPr>
          <w:rFonts w:ascii="Calibri" w:cs="Calibri" w:eastAsia="Calibri" w:hAnsi="Calibri"/>
          <w:color w:val="34495E"/>
          <w:sz w:val="22"/>
          <w:szCs w:val="22"/>
        </w:rPr>
        <w:t xml:space="preserve">SMS messages are not encrypted in transit — the telecom carrier and SMS provider can read them. Messages appear on the participant’s phone lock screen and are visible to anyone with physical access to the device. If a participant shares a phone (common in low-income households), other household members will see the messages. The sender display name should be generic (e.g., “Appt Reminder”) rather than the organisation name for agencies providing sensitive services.</w:t>
      </w:r>
    </w:p>
    <w:p>
      <w:pPr>
        <w:spacing w:before="80"/>
      </w:pPr>
    </w:p>
    <w:p>
      <w:pPr>
        <w:spacing w:after="160" w:line="276"/>
      </w:pPr>
      <w:r>
        <w:rPr>
          <w:rFonts w:ascii="Calibri" w:cs="Calibri" w:eastAsia="Calibri" w:hAnsi="Calibri"/>
          <w:b/>
          <w:bCs/>
          <w:color w:val="34495E"/>
          <w:sz w:val="22"/>
          <w:szCs w:val="22"/>
        </w:rPr>
        <w:t xml:space="preserve">Consent: </w:t>
      </w:r>
      <w:r>
        <w:rPr>
          <w:rFonts w:ascii="Calibri" w:cs="Calibri" w:eastAsia="Calibri" w:hAnsi="Calibri"/>
          <w:color w:val="34495E"/>
          <w:sz w:val="22"/>
          <w:szCs w:val="22"/>
        </w:rPr>
        <w:t xml:space="preserve">KoNote enforces explicit consent before sending any SMS. Consent is tracked with dates and audit logging for CASL compliance.</w:t>
      </w:r>
    </w:p>
    <w:p>
      <w:r>
        <w:r>
          <w:br w:type="page"/>
        </w:r>
      </w:r>
    </w:p>
    <w:p>
      <w:pPr>
        <w:pStyle w:val="Heading1"/>
      </w:pPr>
      <w:r>
        <w:t xml:space="preserve">5. What We Are Not Trying to Be</w:t>
      </w:r>
    </w:p>
    <w:p>
      <w:pPr>
        <w:spacing w:after="160" w:line="276"/>
      </w:pPr>
      <w:r>
        <w:rPr>
          <w:rFonts w:ascii="Calibri" w:cs="Calibri" w:eastAsia="Calibri" w:hAnsi="Calibri"/>
          <w:color w:val="34495E"/>
          <w:sz w:val="22"/>
          <w:szCs w:val="22"/>
        </w:rPr>
        <w:t xml:space="preserve">KoNote is not trying to be everything. We are not a CRM, not a project management tool, not a full calendaring system, and not a communication platform. We are a participant outcome management system — designed to help coaches and participants track progress, set goals, and document the work they do together.</w:t>
      </w:r>
    </w:p>
    <w:p>
      <w:pPr>
        <w:spacing w:after="160" w:line="276"/>
      </w:pPr>
      <w:r>
        <w:rPr>
          <w:rFonts w:ascii="Calibri" w:cs="Calibri" w:eastAsia="Calibri" w:hAnsi="Calibri"/>
          <w:color w:val="34495E"/>
          <w:sz w:val="22"/>
          <w:szCs w:val="22"/>
        </w:rPr>
        <w:t xml:space="preserve">The communication modules described above exist to reduce the number of tools a coach needs open at the same time and to create a single, secure record of the coach-participant relationship. If your organisation needs advanced marketing automation, complex project workflows, or enterprise resource planning, those tools exist — and KoNote can coexist alongside them.</w:t>
      </w:r>
    </w:p>
    <w:p>
      <w:pPr>
        <w:shd w:fill="E8F4FD" w:val="clear"/>
        <w:spacing w:before="120" w:after="120" w:line="276"/>
        <w:ind w:left="200" w:right="200"/>
      </w:pPr>
      <w:r>
        <w:rPr>
          <w:rFonts w:ascii="Calibri" w:cs="Calibri" w:eastAsia="Calibri" w:hAnsi="Calibri"/>
          <w:color w:val="34495E"/>
          <w:sz w:val="22"/>
          <w:szCs w:val="22"/>
        </w:rPr>
        <w:t xml:space="preserve">  Every design decision is evaluated by asking: “Does this make it easier for a coach with 35 clients and 5 minutes of training to do their job and demonstrate outcomes?” If the answer is no, we do not build it.  </w:t>
      </w:r>
    </w:p>
    <w:p>
      <w:pPr>
        <w:pStyle w:val="Heading1"/>
      </w:pPr>
      <w:r>
        <w:t xml:space="preserve">6. Security Summary</w:t>
      </w:r>
    </w:p>
    <w:p>
      <w:pPr>
        <w:spacing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Feature</w:t>
            </w:r>
          </w:p>
        </w:tc>
        <w:tc>
          <w:tcPr>
            <w:tcW w:type="dxa" w:w="7200"/>
            <w:tcBorders>
              <w:top w:val="single" w:color="BDC3C7" w:sz="1"/>
              <w:left w:val="single" w:color="BDC3C7" w:sz="1"/>
              <w:bottom w:val="single" w:color="BDC3C7" w:sz="1"/>
              <w:right w:val="single" w:color="BDC3C7" w:sz="1"/>
            </w:tcBorders>
            <w:shd w:fill="34495E"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Field-level encryption</w:t>
            </w:r>
          </w:p>
        </w:tc>
        <w:tc>
          <w:tcPr>
            <w:tcW w:type="dxa" w:w="7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All personally identifiable information (names, phone numbers, email addresses, notes) encrypted with Fernet (AES-128) at rest</w:t>
            </w:r>
          </w:p>
        </w:tc>
      </w:tr>
      <w:tr>
        <w:tc>
          <w:tcPr>
            <w:tcW w:type="dxa" w:w="24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Separate audit database</w:t>
            </w:r>
          </w:p>
        </w:tc>
        <w:tc>
          <w:tcPr>
            <w:tcW w:type="dxa" w:w="7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Every access and change is logged to an isolated database that cannot be tampered with from the main application</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Role-based access control</w:t>
            </w:r>
          </w:p>
        </w:tc>
        <w:tc>
          <w:tcPr>
            <w:tcW w:type="dxa" w:w="7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Staff see only participants in their assigned programs. Program managers see their programs. Administrators see everything. Front desk staff see contact information only.</w:t>
            </w:r>
          </w:p>
        </w:tc>
      </w:tr>
      <w:tr>
        <w:tc>
          <w:tcPr>
            <w:tcW w:type="dxa" w:w="24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Authentication</w:t>
            </w:r>
          </w:p>
        </w:tc>
        <w:tc>
          <w:tcPr>
            <w:tcW w:type="dxa" w:w="7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Azure AD single sign-on (primary) or local accounts with Argon2 password hashing. Multi-factor authentication planned.</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Data erasure</w:t>
            </w:r>
          </w:p>
        </w:tc>
        <w:tc>
          <w:tcPr>
            <w:tcW w:type="dxa" w:w="7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PIPEDA-compliant data erasure workflow with tiered approach (immediate, scheduled, complete) and audit trail</w:t>
            </w:r>
          </w:p>
        </w:tc>
      </w:tr>
      <w:tr>
        <w:tc>
          <w:tcPr>
            <w:tcW w:type="dxa" w:w="24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Session security</w:t>
            </w:r>
          </w:p>
        </w:tc>
        <w:tc>
          <w:tcPr>
            <w:tcW w:type="dxa" w:w="7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Secure cookies, CSRF protection, session timeout, concurrent session management</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Canadian hosting</w:t>
            </w:r>
          </w:p>
        </w:tc>
        <w:tc>
          <w:tcPr>
            <w:tcW w:type="dxa" w:w="7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line="276"/>
            </w:pPr>
            <w:r>
              <w:rPr>
                <w:rFonts w:ascii="Calibri" w:cs="Calibri" w:eastAsia="Calibri" w:hAnsi="Calibri"/>
                <w:color w:val="34495E"/>
                <w:sz w:val="20"/>
                <w:szCs w:val="20"/>
              </w:rPr>
              <w:t xml:space="preserve">Self-hosted on Canadian infrastructure. You hold the encryption keys.</w:t>
            </w:r>
          </w:p>
        </w:tc>
      </w:tr>
      <w:tr>
        <w:tc>
          <w:tcPr>
            <w:tcW w:type="dxa" w:w="24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b/>
                <w:bCs/>
                <w:color w:val="34495E"/>
                <w:sz w:val="20"/>
                <w:szCs w:val="20"/>
              </w:rPr>
              <w:t xml:space="preserve">Open source</w:t>
            </w:r>
          </w:p>
        </w:tc>
        <w:tc>
          <w:tcPr>
            <w:tcW w:type="dxa" w:w="7200"/>
            <w:tcBorders>
              <w:top w:val="single" w:color="BDC3C7" w:sz="1"/>
              <w:left w:val="single" w:color="BDC3C7" w:sz="1"/>
              <w:bottom w:val="single" w:color="BDC3C7" w:sz="1"/>
              <w:right w:val="single" w:color="BDC3C7" w:sz="1"/>
            </w:tcBorders>
            <w:shd w:fill="F8F9F9" w:val="clear"/>
            <w:tcMar>
              <w:top w:type="dxa" w:w="80"/>
              <w:left w:type="dxa" w:w="120"/>
              <w:bottom w:type="dxa" w:w="80"/>
              <w:right w:type="dxa" w:w="120"/>
            </w:tcMar>
          </w:tcPr>
          <w:p>
            <w:pPr>
              <w:spacing w:line="276"/>
            </w:pPr>
            <w:r>
              <w:rPr>
                <w:rFonts w:ascii="Calibri" w:cs="Calibri" w:eastAsia="Calibri" w:hAnsi="Calibri"/>
                <w:color w:val="34495E"/>
                <w:sz w:val="20"/>
                <w:szCs w:val="20"/>
              </w:rPr>
              <w:t xml:space="preserve">Full source code available for security review by your IT advisor or privacy officer</w:t>
            </w:r>
          </w:p>
        </w:tc>
      </w:tr>
    </w:tbl>
    <w:p>
      <w:pPr>
        <w:pStyle w:val="Heading1"/>
      </w:pPr>
      <w:r>
        <w:t xml:space="preserve">7. Next Steps</w:t>
      </w:r>
    </w:p>
    <w:p>
      <w:pPr>
        <w:pStyle w:val="ListParagraph"/>
        <w:numPr>
          <w:ilvl w:val="0"/>
          <w:numId w:val="3"/>
        </w:numPr>
        <w:spacing w:after="80" w:line="276"/>
      </w:pPr>
      <w:r>
        <w:rPr>
          <w:rFonts w:ascii="Calibri" w:cs="Calibri" w:eastAsia="Calibri" w:hAnsi="Calibri"/>
          <w:color w:val="34495E"/>
          <w:sz w:val="22"/>
          <w:szCs w:val="22"/>
        </w:rPr>
        <w:t xml:space="preserve">Review this document and let us know if we have captured your requirements accurately.</w:t>
      </w:r>
    </w:p>
    <w:p>
      <w:pPr>
        <w:pStyle w:val="ListParagraph"/>
        <w:numPr>
          <w:ilvl w:val="0"/>
          <w:numId w:val="3"/>
        </w:numPr>
        <w:spacing w:after="80" w:line="276"/>
      </w:pPr>
      <w:r>
        <w:rPr>
          <w:rFonts w:ascii="Calibri" w:cs="Calibri" w:eastAsia="Calibri" w:hAnsi="Calibri"/>
          <w:color w:val="34495E"/>
          <w:sz w:val="22"/>
          <w:szCs w:val="22"/>
        </w:rPr>
        <w:t xml:space="preserve">If you would like a demonstration of KoNote’s current features, we can arrange a walkthrough.</w:t>
      </w:r>
    </w:p>
    <w:p>
      <w:pPr>
        <w:pStyle w:val="ListParagraph"/>
        <w:numPr>
          <w:ilvl w:val="0"/>
          <w:numId w:val="3"/>
        </w:numPr>
        <w:spacing w:after="80" w:line="276"/>
      </w:pPr>
      <w:r>
        <w:rPr>
          <w:rFonts w:ascii="Calibri" w:cs="Calibri" w:eastAsia="Calibri" w:hAnsi="Calibri"/>
          <w:color w:val="34495E"/>
          <w:sz w:val="22"/>
          <w:szCs w:val="22"/>
        </w:rPr>
        <w:t xml:space="preserve">We can discuss hosting options (Fullhost.com or alternatives) and timeline for the email integration module.</w:t>
      </w:r>
    </w:p>
    <w:p>
      <w:pPr>
        <w:pStyle w:val="ListParagraph"/>
        <w:numPr>
          <w:ilvl w:val="0"/>
          <w:numId w:val="3"/>
        </w:numPr>
        <w:spacing w:after="80" w:line="276"/>
      </w:pPr>
      <w:r>
        <w:rPr>
          <w:rFonts w:ascii="Calibri" w:cs="Calibri" w:eastAsia="Calibri" w:hAnsi="Calibri"/>
          <w:color w:val="34495E"/>
          <w:sz w:val="22"/>
          <w:szCs w:val="22"/>
        </w:rPr>
        <w:t xml:space="preserve">If SMS is a priority, we will arrange a consultation with Swift SMS Gateway to confirm pricing and data residency guarantees.</w:t>
      </w:r>
    </w:p>
    <w:p>
      <w:pPr>
        <w:spacing w:before="80"/>
      </w:pPr>
    </w:p>
    <w:p>
      <w:pPr>
        <w:spacing w:after="160" w:line="276"/>
      </w:pPr>
      <w:r>
        <w:rPr>
          <w:rFonts w:ascii="Calibri" w:cs="Calibri" w:eastAsia="Calibri" w:hAnsi="Calibri"/>
          <w:color w:val="34495E"/>
          <w:sz w:val="22"/>
          <w:szCs w:val="22"/>
        </w:rPr>
        <w:t xml:space="preserve">We believe KoNote is the right fit for an organisation that values simplicity, security, and the coach-participant relationship above feature count. We would rather do fewer things exceptionally well than do everything adequately.</w:t>
      </w: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8C8D"/>
        <w:sz w:val="18"/>
        <w:szCs w:val="18"/>
      </w:rPr>
      <w:t xml:space="preserve">Confidential  —  Page </w:t>
    </w:r>
    <w:r>
      <w:rPr>
        <w:rFonts w:ascii="Calibri" w:cs="Calibri" w:eastAsia="Calibri" w:hAnsi="Calibri"/>
        <w:color w:val="7F8C8D"/>
        <w:sz w:val="18"/>
        <w:szCs w:val="18"/>
      </w:rPr>
      <w:fldChar w:fldCharType="begin"/>
      <w:instrText xml:space="preserve">PAGE</w:instrText>
      <w:fldChar w:fldCharType="separate"/>
      <w:fldChar w:fldCharType="end"/>
    </w:r>
    <w:r>
      <w:rPr>
        <w:rFonts w:ascii="Calibri" w:cs="Calibri" w:eastAsia="Calibri" w:hAnsi="Calibri"/>
        <w:color w:val="7F8C8D"/>
        <w:sz w:val="18"/>
        <w:szCs w:val="18"/>
      </w:rPr>
      <w:t xml:space="preserve"> of </w:t>
    </w:r>
    <w:r>
      <w:rPr>
        <w:rFonts w:ascii="Calibri" w:cs="Calibri" w:eastAsia="Calibri" w:hAnsi="Calibri"/>
        <w:color w:val="7F8C8D"/>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8C8D"/>
        <w:sz w:val="18"/>
        <w:szCs w:val="18"/>
      </w:rPr>
      <w:t xml:space="preserve">KoNote  |  Requirements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3498DB"/>
      </w:r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120"/>
      <w:jc w:val="center"/>
    </w:pPr>
    <w:rPr>
      <w:rFonts w:ascii="Calibri Light" w:cs="Calibri Light" w:eastAsia="Calibri Light" w:hAnsi="Calibri Light"/>
      <w:b/>
      <w:bCs/>
      <w:color w:val="2C3E50"/>
      <w:sz w:val="56"/>
      <w:szCs w:val="56"/>
    </w:rPr>
  </w:style>
  <w:style w:type="paragraph" w:styleId="Heading1">
    <w:name w:val="Heading 1"/>
    <w:basedOn w:val="Normal"/>
    <w:next w:val="Normal"/>
    <w:qFormat/>
    <w:pPr>
      <w:pBdr>
        <w:bottom w:val="single" w:color="3498DB" w:sz="6" w:space="4"/>
      </w:pBdr>
      <w:spacing w:before="360" w:after="160"/>
      <w:outlineLvl w:val="0"/>
    </w:pPr>
    <w:rPr>
      <w:rFonts w:ascii="Calibri Light" w:cs="Calibri Light" w:eastAsia="Calibri Light" w:hAnsi="Calibri Light"/>
      <w:b/>
      <w:bCs/>
      <w:color w:val="2C3E50"/>
      <w:sz w:val="28"/>
      <w:szCs w:val="28"/>
    </w:rPr>
  </w:style>
  <w:style w:type="paragraph" w:styleId="Heading2">
    <w:name w:val="Heading 2"/>
    <w:basedOn w:val="Normal"/>
    <w:next w:val="Normal"/>
    <w:qFormat/>
    <w:pPr>
      <w:spacing w:before="280" w:after="120"/>
      <w:outlineLvl w:val="1"/>
    </w:pPr>
    <w:rPr>
      <w:rFonts w:ascii="Calibri" w:cs="Calibri" w:eastAsia="Calibri" w:hAnsi="Calibri"/>
      <w:b/>
      <w:bCs/>
      <w:color w:val="34495E"/>
      <w:sz w:val="24"/>
      <w:szCs w:val="24"/>
    </w:rPr>
  </w:style>
  <w:style w:type="paragraph" w:styleId="Heading3">
    <w:name w:val="Heading 3"/>
    <w:basedOn w:val="Normal"/>
    <w:next w:val="Normal"/>
    <w:qFormat/>
    <w:pPr>
      <w:spacing w:before="200" w:after="80"/>
      <w:outlineLvl w:val="2"/>
    </w:pPr>
    <w:rPr>
      <w:rFonts w:ascii="Calibri" w:cs="Calibri" w:eastAsia="Calibri" w:hAnsi="Calibri"/>
      <w:b/>
      <w:bCs/>
      <w:color w:val="3498D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2026-02-15T19:07:38.713Z</dcterms:created>
  <dcterms:modified xsi:type="dcterms:W3CDTF">2026-02-15T19:07:38.714Z</dcterms:modified>
</cp:coreProperties>
</file>

<file path=docProps/custom.xml><?xml version="1.0" encoding="utf-8"?>
<Properties xmlns="http://schemas.openxmlformats.org/officeDocument/2006/custom-properties" xmlns:vt="http://schemas.openxmlformats.org/officeDocument/2006/docPropsVTypes"/>
</file>