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EB"/>
          <w:sz w:val="30"/>
          <w:szCs w:val="30"/>
        </w:rPr>
        <w:t xml:space="preserve">Nuclear &amp; Clean-Energy Innovation Opportunity Intelligence Platform</w:t>
      </w:r>
    </w:p>
    <w:p>
      <w:pPr>
        <w:spacing w:after="200"/>
      </w:pPr>
      <w:r>
        <w:rPr>
          <w:i/>
          <w:iCs/>
          <w:color w:val="5B6B7A"/>
          <w:sz w:val="19"/>
          <w:szCs w:val="19"/>
        </w:rPr>
        <w:t xml:space="preserve">Executive Brief — One Page  |  Karan Gill  |  July 2026</w:t>
      </w:r>
    </w:p>
    <w:p>
      <w:pPr>
        <w:spacing w:after="80" w:before="180"/>
      </w:pPr>
      <w:r>
        <w:rPr>
          <w:b/>
          <w:bCs/>
          <w:color w:val="1F6FEB"/>
          <w:sz w:val="24"/>
          <w:szCs w:val="24"/>
        </w:rPr>
        <w:t xml:space="preserve">Purpose</w:t>
      </w:r>
    </w:p>
    <w:p>
      <w:pPr>
        <w:spacing w:after="100"/>
      </w:pPr>
      <w:r>
        <w:rPr>
          <w:sz w:val="19"/>
          <w:szCs w:val="19"/>
        </w:rPr>
        <w:t xml:space="preserve">A decision-support platform that identifies, scores, and prioritizes 14 emerging nuclear and clean-energy technologies for research, investment, partnership, or commercialization — built as an independent portfolio project demonstrating the analytical workflow used by innovation and business-development teams in the nuclear sector.</w:t>
      </w:r>
    </w:p>
    <w:p>
      <w:pPr>
        <w:spacing w:after="80" w:before="180"/>
      </w:pPr>
      <w:r>
        <w:rPr>
          <w:b/>
          <w:bCs/>
          <w:color w:val="1F6FEB"/>
          <w:sz w:val="24"/>
          <w:szCs w:val="24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Structured a 14-technology dataset from public sources (IAEA, OECD NEA, CNSC, DOE, NWMO, peer-reviewed literature), with every field tagged VERIFIED / ESTIMATED / ASSUMPTION.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 transparent, weighted scoring model (10 criteria, adjustable weights, min-max normalization) with a full sensitivity analysis — the #1 ranking is stable under ±20% perturbation of every individual weight.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Applied an NLP pipeline (TF-IDF + KMeans clustering, cosine-similarity semantic search) to a real, source-linked research corpus, validated at 100% category-purity against known technology labels.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 interactive dashboard (Power BI-ready data model + build guide, plus a working HTML preview) covering executive overview, ranked portfolio, TRL-vs-market matrix, cost-vs-impact, and risk analysis.</w:t>
      </w:r>
    </w:p>
    <w:p>
      <w:pPr>
        <w:spacing w:after="80" w:before="180"/>
      </w:pPr>
      <w:r>
        <w:rPr>
          <w:b/>
          <w:bCs/>
          <w:color w:val="1F6FEB"/>
          <w:sz w:val="24"/>
          <w:szCs w:val="24"/>
        </w:rPr>
        <w:t xml:space="preserve">Top-Ranked Opportunities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600"/>
      </w:tblGrid>
      <w:tr>
        <w:tc>
          <w:tcPr>
            <w:tcW w:type="dxa" w:w="900"/>
            <w:shd w:fill="1F6F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6600"/>
            <w:shd w:fill="1F6F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shd w:fill="1F6F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AI/ML for Predictive Maintenance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77.2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Advanced Sensor Technologies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65.3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Small Modular Reactors (SMRs)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63.8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Robotic Nuclear Inspection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63.6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Digital Twins for Nuclear Plants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63.5</w:t>
            </w:r>
          </w:p>
        </w:tc>
      </w:tr>
    </w:tbl>
    <w:p>
      <w:pPr>
        <w:spacing w:after="80" w:before="180"/>
      </w:pPr>
      <w:r>
        <w:rPr>
          <w:b/>
          <w:bCs/>
          <w:color w:val="1F6FEB"/>
          <w:sz w:val="24"/>
          <w:szCs w:val="24"/>
        </w:rPr>
        <w:t xml:space="preserve">Recommendation</w:t>
      </w:r>
    </w:p>
    <w:p>
      <w:pPr>
        <w:spacing w:after="100"/>
      </w:pPr>
      <w:r>
        <w:rPr>
          <w:sz w:val="19"/>
          <w:szCs w:val="19"/>
        </w:rPr>
        <w:t xml:space="preserve">Proceed with a scoped, low-capital proof-of-concept on AI/ML-based predictive maintenance (full business case in business_case_ai_predictive_maintenance.docx), conditional on confirming historical maintenance/sensor data availability — the one material unknown a desk-based analysis cannot resolve.</w:t>
      </w:r>
    </w:p>
    <w:p>
      <w:pPr>
        <w:spacing w:after="80" w:before="180"/>
      </w:pPr>
      <w:r>
        <w:rPr>
          <w:b/>
          <w:bCs/>
          <w:color w:val="1F6FEB"/>
          <w:sz w:val="24"/>
          <w:szCs w:val="24"/>
        </w:rPr>
        <w:t xml:space="preserve">What This Demonstrates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Investigating emerging technologies and synthesizing complex technical information into a defensible ranking.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Market/competitive analysis and commercialization judgment grounded in named, checkable public sources.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Applied AI/ML and data analytics used to solve a real triage problem, not added for its own sake.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Clear, honest separation of verified fact, estimate, and assumption throughout — including where the project's own research method hit real constraints (see technical_white_paper.docx, Limitations).</w:t>
      </w:r>
    </w:p>
    <w:p>
      <w:pPr>
        <w:spacing w:before="200"/>
      </w:pPr>
      <w:r>
        <w:rPr>
          <w:i/>
          <w:iCs/>
          <w:color w:val="5B6B7A"/>
          <w:sz w:val="17"/>
          <w:szCs w:val="17"/>
        </w:rPr>
        <w:t xml:space="preserve">Full repository, dashboard, white paper, market assessment, roadmap, and risk register available on request.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2026-07-17T17:44:19.304Z</dcterms:created>
  <dcterms:modified xsi:type="dcterms:W3CDTF">2026-07-17T17:44:19.304Z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