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88" w:lineRule="auto"/>
        <w:jc w:val="center"/>
      </w:pPr>
      <w:r>
        <w:rPr>
          <w:rFonts w:ascii="Cambria" w:hAnsi="Cambria"/>
          <w:b/>
          <w:i w:val="0"/>
          <w:color w:val="1E2A52"/>
          <w:sz w:val="36"/>
        </w:rPr>
        <w:t>INDUSTRIAL TRAINING — PROGRESS REPORT</w:t>
      </w:r>
    </w:p>
    <w:p>
      <w:pPr>
        <w:spacing w:before="0" w:after="20" w:line="288" w:lineRule="auto"/>
        <w:jc w:val="center"/>
      </w:pPr>
      <w:r>
        <w:rPr>
          <w:rFonts w:ascii="Calibri" w:hAnsi="Calibri"/>
          <w:b/>
          <w:i w:val="0"/>
          <w:sz w:val="26"/>
        </w:rPr>
        <w:t>Smart Paper Mill Production Monitoring Dashboard</w:t>
      </w:r>
    </w:p>
    <w:p>
      <w:pPr>
        <w:spacing w:before="0" w:after="200" w:line="288" w:lineRule="auto"/>
        <w:jc w:val="center"/>
      </w:pPr>
      <w:r>
        <w:rPr>
          <w:rFonts w:ascii="Calibri" w:hAnsi="Calibri"/>
          <w:b w:val="0"/>
          <w:i/>
          <w:color w:val="555555"/>
          <w:sz w:val="21"/>
        </w:rPr>
        <w:t>Industrial training carried out at Satia Industries Limited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160"/>
            <w:shd w:val="clear" w:fill="1E2A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Student Name</w:t>
            </w:r>
          </w:p>
        </w:tc>
        <w:tc>
          <w:tcPr>
            <w:tcW w:type="dxa" w:w="345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1"/>
              </w:rPr>
              <w:t>Manreet Gill</w:t>
            </w:r>
          </w:p>
        </w:tc>
        <w:tc>
          <w:tcPr>
            <w:tcW w:type="dxa" w:w="2160"/>
            <w:shd w:val="clear" w:fill="1E2A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UID / Roll No.</w:t>
            </w:r>
          </w:p>
        </w:tc>
        <w:tc>
          <w:tcPr>
            <w:tcW w:type="dxa" w:w="345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1"/>
              </w:rPr>
              <w:t>24BCS10479</w:t>
            </w:r>
          </w:p>
        </w:tc>
      </w:tr>
      <w:tr>
        <w:tc>
          <w:tcPr>
            <w:tcW w:type="dxa" w:w="2160"/>
            <w:shd w:val="clear" w:fill="1E2A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Programme</w:t>
            </w:r>
          </w:p>
        </w:tc>
        <w:tc>
          <w:tcPr>
            <w:tcW w:type="dxa" w:w="345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1"/>
              </w:rPr>
              <w:t>B.E. Computer Science &amp; Engineering</w:t>
            </w:r>
          </w:p>
        </w:tc>
        <w:tc>
          <w:tcPr>
            <w:tcW w:type="dxa" w:w="2160"/>
            <w:shd w:val="clear" w:fill="1E2A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Institution</w:t>
            </w:r>
          </w:p>
        </w:tc>
        <w:tc>
          <w:tcPr>
            <w:tcW w:type="dxa" w:w="345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1"/>
              </w:rPr>
              <w:t>Chandigarh University</w:t>
            </w:r>
          </w:p>
        </w:tc>
      </w:tr>
      <w:tr>
        <w:tc>
          <w:tcPr>
            <w:tcW w:type="dxa" w:w="2160"/>
            <w:shd w:val="clear" w:fill="1E2A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Organisation</w:t>
            </w:r>
          </w:p>
        </w:tc>
        <w:tc>
          <w:tcPr>
            <w:tcW w:type="dxa" w:w="345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1"/>
              </w:rPr>
              <w:t>Satia Industries Limited</w:t>
            </w:r>
          </w:p>
        </w:tc>
        <w:tc>
          <w:tcPr>
            <w:tcW w:type="dxa" w:w="2160"/>
            <w:shd w:val="clear" w:fill="1E2A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Department</w:t>
            </w:r>
          </w:p>
        </w:tc>
        <w:tc>
          <w:tcPr>
            <w:tcW w:type="dxa" w:w="345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1"/>
              </w:rPr>
              <w:t>Information Technology (IT)</w:t>
            </w:r>
          </w:p>
        </w:tc>
      </w:tr>
      <w:tr>
        <w:tc>
          <w:tcPr>
            <w:tcW w:type="dxa" w:w="2160"/>
            <w:shd w:val="clear" w:fill="1E2A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Industry Supervisor</w:t>
            </w:r>
          </w:p>
        </w:tc>
        <w:tc>
          <w:tcPr>
            <w:tcW w:type="dxa" w:w="345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1"/>
              </w:rPr>
              <w:t>Mr. Surinder Mehra (IT Head)</w:t>
            </w:r>
          </w:p>
        </w:tc>
        <w:tc>
          <w:tcPr>
            <w:tcW w:type="dxa" w:w="2160"/>
            <w:shd w:val="clear" w:fill="1E2A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Internship Period</w:t>
            </w:r>
          </w:p>
        </w:tc>
        <w:tc>
          <w:tcPr>
            <w:tcW w:type="dxa" w:w="3456"/>
          </w:tcPr>
          <w:p>
            <w:pPr>
              <w:spacing w:after="40" w:before="40"/>
            </w:pPr>
            <w:r>
              <w:t>25 May 2026 – 10 July 2026</w:t>
            </w:r>
            <w:r>
              <w:rPr>
                <w:rFonts w:ascii="Calibri" w:hAnsi="Calibri"/>
                <w:b w:val="0"/>
                <w:sz w:val="21"/>
              </w:rPr>
            </w:r>
          </w:p>
        </w:tc>
      </w:tr>
      <w:tr>
        <w:tc>
          <w:tcPr>
            <w:tcW w:type="dxa" w:w="2160"/>
            <w:shd w:val="clear" w:fill="1E2A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Report Type</w:t>
            </w:r>
          </w:p>
        </w:tc>
        <w:tc>
          <w:tcPr>
            <w:tcW w:type="dxa" w:w="345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1"/>
              </w:rPr>
              <w:t>Progress Report</w:t>
            </w:r>
          </w:p>
        </w:tc>
        <w:tc>
          <w:tcPr>
            <w:tcW w:type="dxa" w:w="2160"/>
            <w:shd w:val="clear" w:fill="1E2A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Report Date</w:t>
            </w:r>
          </w:p>
        </w:tc>
        <w:tc>
          <w:tcPr>
            <w:tcW w:type="dxa" w:w="345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1"/>
              </w:rPr>
              <w:t>08 July 2026</w:t>
            </w:r>
          </w:p>
        </w:tc>
      </w:tr>
    </w:tbl>
    <w:p>
      <w:pPr>
        <w:spacing w:before="280" w:after="80" w:line="288" w:lineRule="auto"/>
        <w:jc w:val="left"/>
        <w:pBdr>
          <w:bottom w:val="single" w:sz="6" w:space="2" w:color="C9D2E3"/>
        </w:pBdr>
      </w:pPr>
      <w:r>
        <w:rPr>
          <w:rFonts w:ascii="Cambria" w:hAnsi="Cambria"/>
          <w:b/>
          <w:i w:val="0"/>
          <w:color w:val="1E2A52"/>
          <w:sz w:val="28"/>
        </w:rPr>
        <w:t>1. Project Overview &amp; Objective</w:t>
      </w:r>
    </w:p>
    <w:p>
      <w:pPr>
        <w:spacing w:before="0" w:after="120" w:line="288" w:lineRule="auto"/>
        <w:jc w:val="left"/>
      </w:pPr>
      <w:r>
        <w:rPr>
          <w:rFonts w:ascii="Calibri" w:hAnsi="Calibri"/>
          <w:b w:val="0"/>
          <w:i w:val="0"/>
          <w:sz w:val="22"/>
        </w:rPr>
        <w:t>This report summarises the progress of the industrial-training project undertaken at Satia Industries Limited. The project delivers a web-based, real-time, role-based dashboard that replaces manual, paper-based production logging with a single digital platform for monitoring production output, quality (GSM, moisture, speed), machine status, downtime, maintenance and Overall Equipment Effectiveness (OEE). It is built entirely with free, open-source tools — a Python (Flask) REST API with an SQLite database, secured with bcrypt password hashing and JWT-based role access, and an HTML/CSS/JavaScript front-end using Chart.js, with live machine telemetry delivered over Server-Sent Events (SSE).</w:t>
      </w:r>
    </w:p>
    <w:p>
      <w:pPr>
        <w:spacing w:before="280" w:after="80" w:line="288" w:lineRule="auto"/>
        <w:jc w:val="left"/>
        <w:pBdr>
          <w:bottom w:val="single" w:sz="6" w:space="2" w:color="C9D2E3"/>
        </w:pBdr>
      </w:pPr>
      <w:r>
        <w:rPr>
          <w:rFonts w:ascii="Cambria" w:hAnsi="Cambria"/>
          <w:b/>
          <w:i w:val="0"/>
          <w:color w:val="1E2A52"/>
          <w:sz w:val="28"/>
        </w:rPr>
        <w:t>2. Work Completed to Date</w:t>
      </w:r>
    </w:p>
    <w:p>
      <w:pPr>
        <w:spacing w:before="0" w:after="80" w:line="288" w:lineRule="auto"/>
        <w:jc w:val="left"/>
      </w:pPr>
      <w:r>
        <w:rPr>
          <w:rFonts w:ascii="Calibri" w:hAnsi="Calibri"/>
          <w:b w:val="0"/>
          <w:i w:val="0"/>
          <w:sz w:val="22"/>
        </w:rPr>
        <w:t>The following functional modules have been implemented and are working end-to-end: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2160"/>
            <w:shd w:val="clear" w:fill="1E2A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Module</w:t>
            </w:r>
          </w:p>
        </w:tc>
        <w:tc>
          <w:tcPr>
            <w:tcW w:type="dxa" w:w="5904"/>
            <w:shd w:val="clear" w:fill="1E2A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Function delivered</w:t>
            </w:r>
          </w:p>
        </w:tc>
        <w:tc>
          <w:tcPr>
            <w:tcW w:type="dxa" w:w="1728"/>
            <w:shd w:val="clear" w:fill="1E2A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Status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1"/>
              </w:rPr>
              <w:t>Authentication</w:t>
            </w:r>
          </w:p>
        </w:tc>
        <w:tc>
          <w:tcPr>
            <w:tcW w:type="dxa" w:w="590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1"/>
              </w:rPr>
              <w:t>JWT login, bcrypt hashing, role-based route protection</w:t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1"/>
              </w:rPr>
              <w:t>Completed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1"/>
              </w:rPr>
              <w:t>Admin Panel</w:t>
            </w:r>
          </w:p>
        </w:tc>
        <w:tc>
          <w:tcPr>
            <w:tcW w:type="dxa" w:w="590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1"/>
              </w:rPr>
              <w:t>Manage users, machines and thresholds; audit log (live API)</w:t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1"/>
              </w:rPr>
              <w:t>Completed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1"/>
              </w:rPr>
              <w:t>Production Entry</w:t>
            </w:r>
          </w:p>
        </w:tc>
        <w:tc>
          <w:tcPr>
            <w:tcW w:type="dxa" w:w="590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1"/>
              </w:rPr>
              <w:t>Output + GSM / moisture / speed; out-of-spec flagging (live API)</w:t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1"/>
              </w:rPr>
              <w:t>Completed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1"/>
              </w:rPr>
              <w:t>Downtime Logging</w:t>
            </w:r>
          </w:p>
        </w:tc>
        <w:tc>
          <w:tcPr>
            <w:tcW w:type="dxa" w:w="590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1"/>
              </w:rPr>
              <w:t>Events with reason and auto-computed duration (live API)</w:t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1"/>
              </w:rPr>
              <w:t>Completed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1"/>
              </w:rPr>
              <w:t>Maintenance</w:t>
            </w:r>
          </w:p>
        </w:tc>
        <w:tc>
          <w:tcPr>
            <w:tcW w:type="dxa" w:w="590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1"/>
              </w:rPr>
              <w:t>Log and track jobs by priority and status (live API)</w:t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1"/>
              </w:rPr>
              <w:t>Completed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1"/>
              </w:rPr>
              <w:t>Machine Monitoring</w:t>
            </w:r>
          </w:p>
        </w:tc>
        <w:tc>
          <w:tcPr>
            <w:tcW w:type="dxa" w:w="590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1"/>
              </w:rPr>
              <w:t>Status board with live temperature &amp; efficiency over SSE</w:t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1"/>
              </w:rPr>
              <w:t>Completed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1"/>
              </w:rPr>
              <w:t>Dashboard</w:t>
            </w:r>
          </w:p>
        </w:tc>
        <w:tc>
          <w:tcPr>
            <w:tcW w:type="dxa" w:w="590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1"/>
              </w:rPr>
              <w:t>KPI cards (incl. avg OEE), trend &amp; status charts, live feed</w:t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1"/>
              </w:rPr>
              <w:t>Completed (UI)*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1"/>
              </w:rPr>
              <w:t>Reports</w:t>
            </w:r>
          </w:p>
        </w:tc>
        <w:tc>
          <w:tcPr>
            <w:tcW w:type="dxa" w:w="590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1"/>
              </w:rPr>
              <w:t>Period / machine / shift filters, OEE by machine, CSV &amp; PDF export</w:t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1"/>
              </w:rPr>
              <w:t>Completed (UI)*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1"/>
              </w:rPr>
              <w:t>Alerts</w:t>
            </w:r>
          </w:p>
        </w:tc>
        <w:tc>
          <w:tcPr>
            <w:tcW w:type="dxa" w:w="590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1"/>
              </w:rPr>
              <w:t>Threshold-driven alert panel with acknowledgement &amp; filters</w:t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1"/>
              </w:rPr>
              <w:t>Completed (UI)*</w:t>
            </w:r>
          </w:p>
        </w:tc>
      </w:tr>
    </w:tbl>
    <w:p>
      <w:pPr>
        <w:spacing w:before="80" w:after="120" w:line="288" w:lineRule="auto"/>
        <w:jc w:val="left"/>
      </w:pPr>
      <w:r>
        <w:rPr>
          <w:rFonts w:ascii="Calibri" w:hAnsi="Calibri"/>
          <w:b w:val="0"/>
          <w:i/>
          <w:color w:val="555555"/>
          <w:sz w:val="19"/>
        </w:rPr>
        <w:t>* UI, charts and export are complete; these three screens currently read the seeded demonstration dataset and are being switched to the live REST API (see Section 5).</w:t>
      </w:r>
    </w:p>
    <w:p>
      <w:pPr>
        <w:spacing w:before="280" w:after="80" w:line="288" w:lineRule="auto"/>
        <w:jc w:val="left"/>
        <w:pBdr>
          <w:bottom w:val="single" w:sz="6" w:space="2" w:color="C9D2E3"/>
        </w:pBdr>
      </w:pPr>
      <w:r>
        <w:rPr>
          <w:rFonts w:ascii="Cambria" w:hAnsi="Cambria"/>
          <w:b/>
          <w:i w:val="0"/>
          <w:color w:val="1E2A52"/>
          <w:sz w:val="28"/>
        </w:rPr>
        <w:t>3. Testing &amp; Validation</w:t>
      </w:r>
    </w:p>
    <w:p>
      <w:pPr>
        <w:spacing w:before="0" w:after="80" w:line="288" w:lineRule="auto"/>
        <w:jc w:val="left"/>
      </w:pPr>
      <w:r>
        <w:rPr>
          <w:rFonts w:ascii="Calibri" w:hAnsi="Calibri"/>
          <w:b w:val="0"/>
          <w:i w:val="0"/>
          <w:sz w:val="22"/>
        </w:rPr>
        <w:t xml:space="preserve">The backend is validated by an automated test suite executed with pytest, each test using an isolated temporary database. </w:t>
      </w:r>
      <w:r>
        <w:rPr>
          <w:rFonts w:ascii="Calibri" w:hAnsi="Calibri"/>
          <w:b/>
          <w:i w:val="0"/>
          <w:sz w:val="22"/>
        </w:rPr>
        <w:t>All 36 test cases pass.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5760"/>
            <w:shd w:val="clear" w:fill="1E2A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Test category</w:t>
            </w:r>
          </w:p>
        </w:tc>
        <w:tc>
          <w:tcPr>
            <w:tcW w:type="dxa" w:w="2016"/>
            <w:shd w:val="clear" w:fill="1E2A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Cases</w:t>
            </w:r>
          </w:p>
        </w:tc>
        <w:tc>
          <w:tcPr>
            <w:tcW w:type="dxa" w:w="2016"/>
            <w:shd w:val="clear" w:fill="1E2A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Result</w:t>
            </w:r>
          </w:p>
        </w:tc>
      </w:tr>
      <w:tr>
        <w:tc>
          <w:tcPr>
            <w:tcW w:type="dxa" w:w="576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1"/>
              </w:rPr>
              <w:t>Health &amp; authentication</w:t>
            </w:r>
          </w:p>
        </w:tc>
        <w:tc>
          <w:tcPr>
            <w:tcW w:type="dxa" w:w="201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1"/>
              </w:rPr>
              <w:t>5</w:t>
            </w:r>
          </w:p>
        </w:tc>
        <w:tc>
          <w:tcPr>
            <w:tcW w:type="dxa" w:w="201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1"/>
              </w:rPr>
              <w:t>Pass</w:t>
            </w:r>
          </w:p>
        </w:tc>
      </w:tr>
      <w:tr>
        <w:tc>
          <w:tcPr>
            <w:tcW w:type="dxa" w:w="576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1"/>
              </w:rPr>
              <w:t>Role-based access control</w:t>
            </w:r>
          </w:p>
        </w:tc>
        <w:tc>
          <w:tcPr>
            <w:tcW w:type="dxa" w:w="201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1"/>
              </w:rPr>
              <w:t>4</w:t>
            </w:r>
          </w:p>
        </w:tc>
        <w:tc>
          <w:tcPr>
            <w:tcW w:type="dxa" w:w="201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1"/>
              </w:rPr>
              <w:t>Pass</w:t>
            </w:r>
          </w:p>
        </w:tc>
      </w:tr>
      <w:tr>
        <w:tc>
          <w:tcPr>
            <w:tcW w:type="dxa" w:w="576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1"/>
              </w:rPr>
              <w:t>Production CRUD &amp; quality fields</w:t>
            </w:r>
          </w:p>
        </w:tc>
        <w:tc>
          <w:tcPr>
            <w:tcW w:type="dxa" w:w="201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1"/>
              </w:rPr>
              <w:t>6</w:t>
            </w:r>
          </w:p>
        </w:tc>
        <w:tc>
          <w:tcPr>
            <w:tcW w:type="dxa" w:w="201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1"/>
              </w:rPr>
              <w:t>Pass</w:t>
            </w:r>
          </w:p>
        </w:tc>
      </w:tr>
      <w:tr>
        <w:tc>
          <w:tcPr>
            <w:tcW w:type="dxa" w:w="576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1"/>
              </w:rPr>
              <w:t>Maintenance &amp; downtime</w:t>
            </w:r>
          </w:p>
        </w:tc>
        <w:tc>
          <w:tcPr>
            <w:tcW w:type="dxa" w:w="201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1"/>
              </w:rPr>
              <w:t>5</w:t>
            </w:r>
          </w:p>
        </w:tc>
        <w:tc>
          <w:tcPr>
            <w:tcW w:type="dxa" w:w="201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1"/>
              </w:rPr>
              <w:t>Pass</w:t>
            </w:r>
          </w:p>
        </w:tc>
      </w:tr>
      <w:tr>
        <w:tc>
          <w:tcPr>
            <w:tcW w:type="dxa" w:w="576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1"/>
              </w:rPr>
              <w:t>Live-stream authentication</w:t>
            </w:r>
          </w:p>
        </w:tc>
        <w:tc>
          <w:tcPr>
            <w:tcW w:type="dxa" w:w="201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1"/>
              </w:rPr>
              <w:t>2</w:t>
            </w:r>
          </w:p>
        </w:tc>
        <w:tc>
          <w:tcPr>
            <w:tcW w:type="dxa" w:w="201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1"/>
              </w:rPr>
              <w:t>Pass</w:t>
            </w:r>
          </w:p>
        </w:tc>
      </w:tr>
      <w:tr>
        <w:tc>
          <w:tcPr>
            <w:tcW w:type="dxa" w:w="576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1"/>
              </w:rPr>
              <w:t>User management</w:t>
            </w:r>
          </w:p>
        </w:tc>
        <w:tc>
          <w:tcPr>
            <w:tcW w:type="dxa" w:w="201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1"/>
              </w:rPr>
              <w:t>5</w:t>
            </w:r>
          </w:p>
        </w:tc>
        <w:tc>
          <w:tcPr>
            <w:tcW w:type="dxa" w:w="201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1"/>
              </w:rPr>
              <w:t>Pass</w:t>
            </w:r>
          </w:p>
        </w:tc>
      </w:tr>
      <w:tr>
        <w:tc>
          <w:tcPr>
            <w:tcW w:type="dxa" w:w="576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1"/>
              </w:rPr>
              <w:t>Machine management &amp; thresholds</w:t>
            </w:r>
          </w:p>
        </w:tc>
        <w:tc>
          <w:tcPr>
            <w:tcW w:type="dxa" w:w="201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1"/>
              </w:rPr>
              <w:t>8</w:t>
            </w:r>
          </w:p>
        </w:tc>
        <w:tc>
          <w:tcPr>
            <w:tcW w:type="dxa" w:w="201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1"/>
              </w:rPr>
              <w:t>Pass</w:t>
            </w:r>
          </w:p>
        </w:tc>
      </w:tr>
      <w:tr>
        <w:tc>
          <w:tcPr>
            <w:tcW w:type="dxa" w:w="576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1"/>
              </w:rPr>
              <w:t>Activity / audit log</w:t>
            </w:r>
          </w:p>
        </w:tc>
        <w:tc>
          <w:tcPr>
            <w:tcW w:type="dxa" w:w="201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1"/>
              </w:rPr>
              <w:t>1</w:t>
            </w:r>
          </w:p>
        </w:tc>
        <w:tc>
          <w:tcPr>
            <w:tcW w:type="dxa" w:w="201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1"/>
              </w:rPr>
              <w:t>Pass</w:t>
            </w:r>
          </w:p>
        </w:tc>
      </w:tr>
      <w:tr>
        <w:tc>
          <w:tcPr>
            <w:tcW w:type="dxa" w:w="576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1"/>
              </w:rPr>
              <w:t>Total</w:t>
            </w:r>
          </w:p>
        </w:tc>
        <w:tc>
          <w:tcPr>
            <w:tcW w:type="dxa" w:w="201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1"/>
              </w:rPr>
              <w:t>36</w:t>
            </w:r>
          </w:p>
        </w:tc>
        <w:tc>
          <w:tcPr>
            <w:tcW w:type="dxa" w:w="201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1"/>
              </w:rPr>
              <w:t>All Pass</w:t>
            </w:r>
          </w:p>
        </w:tc>
      </w:tr>
    </w:tbl>
    <w:p>
      <w:pPr>
        <w:spacing w:before="280" w:after="80" w:line="288" w:lineRule="auto"/>
        <w:jc w:val="left"/>
        <w:pBdr>
          <w:bottom w:val="single" w:sz="6" w:space="2" w:color="C9D2E3"/>
        </w:pBdr>
      </w:pPr>
      <w:r>
        <w:rPr>
          <w:rFonts w:ascii="Cambria" w:hAnsi="Cambria"/>
          <w:b/>
          <w:i w:val="0"/>
          <w:color w:val="1E2A52"/>
          <w:sz w:val="28"/>
        </w:rPr>
        <w:t>4. Requirement Completion against the SRS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744"/>
            <w:shd w:val="clear" w:fill="1E2A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Area</w:t>
            </w:r>
          </w:p>
        </w:tc>
        <w:tc>
          <w:tcPr>
            <w:tcW w:type="dxa" w:w="1872"/>
            <w:shd w:val="clear" w:fill="1E2A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Completion</w:t>
            </w:r>
          </w:p>
        </w:tc>
        <w:tc>
          <w:tcPr>
            <w:tcW w:type="dxa" w:w="4176"/>
            <w:shd w:val="clear" w:fill="1E2A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Remark</w:t>
            </w:r>
          </w:p>
        </w:tc>
      </w:tr>
      <w:tr>
        <w:tc>
          <w:tcPr>
            <w:tcW w:type="dxa" w:w="374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1"/>
              </w:rPr>
              <w:t>Functional Requirements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1"/>
              </w:rPr>
              <w:t>~88%</w:t>
            </w:r>
          </w:p>
        </w:tc>
        <w:tc>
          <w:tcPr>
            <w:tcW w:type="dxa" w:w="417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1"/>
              </w:rPr>
              <w:t>Core FRs met; live-plant sensing out of scope</w:t>
            </w:r>
          </w:p>
        </w:tc>
      </w:tr>
      <w:tr>
        <w:tc>
          <w:tcPr>
            <w:tcW w:type="dxa" w:w="374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1"/>
              </w:rPr>
              <w:t>Non-Functional Requirements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1"/>
              </w:rPr>
              <w:t>~81%</w:t>
            </w:r>
          </w:p>
        </w:tc>
        <w:tc>
          <w:tcPr>
            <w:tcW w:type="dxa" w:w="417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1"/>
              </w:rPr>
              <w:t>Security, usability, portability satisfied</w:t>
            </w:r>
          </w:p>
        </w:tc>
      </w:tr>
      <w:tr>
        <w:tc>
          <w:tcPr>
            <w:tcW w:type="dxa" w:w="374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1"/>
              </w:rPr>
              <w:t>Features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1"/>
              </w:rPr>
              <w:t>~87%</w:t>
            </w:r>
          </w:p>
        </w:tc>
        <w:tc>
          <w:tcPr>
            <w:tcW w:type="dxa" w:w="417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1"/>
              </w:rPr>
              <w:t>All core features delivered</w:t>
            </w:r>
          </w:p>
        </w:tc>
      </w:tr>
      <w:tr>
        <w:tc>
          <w:tcPr>
            <w:tcW w:type="dxa" w:w="374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1"/>
              </w:rPr>
              <w:t>User Roles (4 implemented)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1"/>
              </w:rPr>
              <w:t>~88%</w:t>
            </w:r>
          </w:p>
        </w:tc>
        <w:tc>
          <w:tcPr>
            <w:tcW w:type="dxa" w:w="417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1"/>
              </w:rPr>
              <w:t>Viewer &amp; Quality Inspector deferred</w:t>
            </w:r>
          </w:p>
        </w:tc>
      </w:tr>
    </w:tbl>
    <w:p>
      <w:pPr>
        <w:spacing w:before="280" w:after="80" w:line="288" w:lineRule="auto"/>
        <w:jc w:val="left"/>
        <w:pBdr>
          <w:bottom w:val="single" w:sz="6" w:space="2" w:color="C9D2E3"/>
        </w:pBdr>
      </w:pPr>
      <w:r>
        <w:rPr>
          <w:rFonts w:ascii="Cambria" w:hAnsi="Cambria"/>
          <w:b/>
          <w:i w:val="0"/>
          <w:color w:val="1E2A52"/>
          <w:sz w:val="28"/>
        </w:rPr>
        <w:t>5. Work In Progress &amp; Remaining Tasks</w:t>
      </w:r>
    </w:p>
    <w:p>
      <w:pPr>
        <w:spacing w:before="160" w:after="40" w:line="288" w:lineRule="auto"/>
        <w:jc w:val="left"/>
      </w:pPr>
      <w:r>
        <w:rPr>
          <w:rFonts w:ascii="Calibri" w:hAnsi="Calibri"/>
          <w:b/>
          <w:i w:val="0"/>
          <w:color w:val="1E2A52"/>
          <w:sz w:val="24"/>
        </w:rPr>
        <w:t>5.1  Live-data integration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sz w:val="22"/>
        </w:rPr>
        <w:t xml:space="preserve">Wire the Dashboard, Reports and Alerts screens to the live REST API </w:t>
      </w:r>
      <w:r>
        <w:rPr>
          <w:rFonts w:ascii="Calibri" w:hAnsi="Calibri"/>
          <w:sz w:val="22"/>
        </w:rPr>
        <w:t>so that entered records feed the KPIs, report figures and alert list in real time (these screens currently use the seeded demonstration dataset).</w:t>
      </w:r>
    </w:p>
    <w:p>
      <w:pPr>
        <w:spacing w:before="160" w:after="40" w:line="288" w:lineRule="auto"/>
        <w:jc w:val="left"/>
      </w:pPr>
      <w:r>
        <w:rPr>
          <w:rFonts w:ascii="Calibri" w:hAnsi="Calibri"/>
          <w:b/>
          <w:i w:val="0"/>
          <w:color w:val="1E2A52"/>
          <w:sz w:val="24"/>
        </w:rPr>
        <w:t>5.2  Documentation consistency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sz w:val="22"/>
        </w:rPr>
        <w:t xml:space="preserve">Correct the demo-password hint to Admin@123 </w:t>
      </w:r>
      <w:r>
        <w:rPr>
          <w:rFonts w:ascii="Calibri" w:hAnsi="Calibri"/>
          <w:sz w:val="22"/>
        </w:rPr>
        <w:t>on the login screen (currently shows a placeholder value).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sz w:val="22"/>
        </w:rPr>
        <w:t xml:space="preserve">Fix the machine-count text on the login and dashboard screens from 9 to 20 </w:t>
      </w:r>
      <w:r>
        <w:rPr>
          <w:rFonts w:ascii="Calibri" w:hAnsi="Calibri"/>
          <w:sz w:val="22"/>
        </w:rPr>
        <w:t>(the actual plant has 20 machines).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sz w:val="22"/>
        </w:rPr>
        <w:t xml:space="preserve">Align the presentation deck's test count from 94 </w:t>
      </w:r>
      <w:r>
        <w:rPr>
          <w:rFonts w:ascii="Calibri" w:hAnsi="Calibri"/>
          <w:sz w:val="22"/>
        </w:rPr>
        <w:t>to 36 to match the report and the actual test suite.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sz w:val="22"/>
        </w:rPr>
        <w:t xml:space="preserve">Update the role-based user manuals </w:t>
      </w:r>
      <w:r>
        <w:rPr>
          <w:rFonts w:ascii="Calibri" w:hAnsi="Calibri"/>
          <w:sz w:val="22"/>
        </w:rPr>
        <w:t>to cover the Downtime and Alerts pages, admin user/machine management, and server-side persistence.</w:t>
      </w:r>
    </w:p>
    <w:p>
      <w:pPr>
        <w:spacing w:before="160" w:after="40" w:line="288" w:lineRule="auto"/>
        <w:jc w:val="left"/>
      </w:pPr>
      <w:r>
        <w:rPr>
          <w:rFonts w:ascii="Calibri" w:hAnsi="Calibri"/>
          <w:b/>
          <w:i w:val="0"/>
          <w:color w:val="1E2A52"/>
          <w:sz w:val="24"/>
        </w:rPr>
        <w:t>5.3  Enhancements (optional / future)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sz w:val="22"/>
        </w:rPr>
        <w:t xml:space="preserve">For a production-scale demonstration, </w:t>
      </w:r>
      <w:r>
        <w:rPr>
          <w:rFonts w:ascii="Calibri" w:hAnsi="Calibri"/>
          <w:sz w:val="22"/>
        </w:rPr>
        <w:t>migrate the database from SQLite to MySQL and deploy to a free cloud tier (Render).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sz w:val="22"/>
        </w:rPr>
        <w:t xml:space="preserve">Extend the role model to </w:t>
      </w:r>
      <w:r>
        <w:rPr>
          <w:rFonts w:ascii="Calibri" w:hAnsi="Calibri"/>
          <w:sz w:val="22"/>
        </w:rPr>
        <w:t>add a dedicated Quality-Inspector module and a read-only Viewer role.</w:t>
      </w:r>
    </w:p>
    <w:p>
      <w:pPr>
        <w:spacing w:before="280" w:after="80" w:line="288" w:lineRule="auto"/>
        <w:jc w:val="left"/>
        <w:pBdr>
          <w:bottom w:val="single" w:sz="6" w:space="2" w:color="C9D2E3"/>
        </w:pBdr>
      </w:pPr>
      <w:r>
        <w:rPr>
          <w:rFonts w:ascii="Cambria" w:hAnsi="Cambria"/>
          <w:b/>
          <w:i w:val="0"/>
          <w:color w:val="1E2A52"/>
          <w:sz w:val="28"/>
        </w:rPr>
        <w:t>6. Challenges &amp; Learnings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2"/>
        </w:rPr>
        <w:t>Simulating live sensor data without plant hardware — solved cleanly with Server-Sent Events instead of polling or heavyweight sockets.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2"/>
        </w:rPr>
        <w:t>Keeping documentation consistent with the evolving code — a review identified drift (e.g. test count and data-source wording) that is being reconciled in Section 5.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2"/>
        </w:rPr>
        <w:t>Security details — correct JWT subject typing and enforcing role checks on the server, not only in the user interface.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2"/>
        </w:rPr>
        <w:t>Designing under constraints — the whole stack had to run on a standard laptop and a normal browser, which shaped every technology choice.</w:t>
      </w:r>
    </w:p>
    <w:p>
      <w:pPr>
        <w:spacing w:before="280" w:after="80" w:line="288" w:lineRule="auto"/>
        <w:jc w:val="left"/>
        <w:pBdr>
          <w:bottom w:val="single" w:sz="6" w:space="2" w:color="C9D2E3"/>
        </w:pBdr>
      </w:pPr>
      <w:r>
        <w:rPr>
          <w:rFonts w:ascii="Cambria" w:hAnsi="Cambria"/>
          <w:b/>
          <w:i w:val="0"/>
          <w:color w:val="1E2A52"/>
          <w:sz w:val="28"/>
        </w:rPr>
        <w:t>7. Next Steps &amp; Timeline</w:t>
      </w:r>
    </w:p>
    <w:p>
      <w:pPr>
        <w:spacing w:before="0" w:after="120" w:line="288" w:lineRule="auto"/>
        <w:jc w:val="left"/>
      </w:pPr>
      <w:r>
        <w:rPr>
          <w:rFonts w:ascii="Calibri" w:hAnsi="Calibri"/>
          <w:b w:val="0"/>
          <w:i w:val="0"/>
          <w:sz w:val="22"/>
        </w:rPr>
        <w:t>The remaining tasks in Section 5 are scheduled for completion by the end of the internship period (10 July 2026). Priority is given to the live-data integration and the documentation consistency fixes, followed by final testing, the completed user manuals and a deployment-ready build for free cloud hosting.</w:t>
      </w:r>
    </w:p>
    <w:p>
      <w:pPr>
        <w:spacing w:before="360" w:after="0" w:line="288" w:lineRule="auto"/>
        <w:jc w:val="left"/>
      </w:pP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514"/>
        <w:gridCol w:w="4514"/>
      </w:tblGrid>
      <w:tr>
        <w:tc>
          <w:tcPr>
            <w:tcW w:type="dxa" w:w="4514"/>
          </w:tcPr>
          <w:p>
            <w:pPr>
              <w:spacing w:before="480"/>
            </w:pPr>
            <w:r/>
            <w:r>
              <w:rPr>
                <w:rFonts w:ascii="Calibri" w:hAnsi="Calibri"/>
                <w:sz w:val="21"/>
              </w:rPr>
              <w:t>____________________________</w:t>
            </w:r>
          </w:p>
          <w:p>
            <w:r>
              <w:rPr>
                <w:rFonts w:ascii="Calibri" w:hAnsi="Calibri"/>
                <w:b/>
                <w:sz w:val="21"/>
              </w:rPr>
              <w:t>Manreet Gill</w:t>
            </w:r>
          </w:p>
          <w:p>
            <w:r>
              <w:rPr>
                <w:rFonts w:ascii="Calibri" w:hAnsi="Calibri"/>
                <w:color w:val="555555"/>
                <w:sz w:val="19"/>
              </w:rPr>
              <w:t>Student — UID 24BCS10479, B.E. CSE</w:t>
            </w:r>
          </w:p>
        </w:tc>
        <w:tc>
          <w:tcPr>
            <w:tcW w:type="dxa" w:w="4514"/>
          </w:tcPr>
          <w:p>
            <w:pPr>
              <w:spacing w:before="480"/>
            </w:pPr>
            <w:r/>
            <w:r>
              <w:rPr>
                <w:rFonts w:ascii="Calibri" w:hAnsi="Calibri"/>
                <w:sz w:val="21"/>
              </w:rPr>
              <w:t>____________________________</w:t>
            </w:r>
          </w:p>
          <w:p>
            <w:r>
              <w:rPr>
                <w:rFonts w:ascii="Calibri" w:hAnsi="Calibri"/>
                <w:b/>
                <w:sz w:val="21"/>
              </w:rPr>
              <w:t>Mr. Surinder Mehra</w:t>
            </w:r>
          </w:p>
          <w:p>
            <w:r>
              <w:rPr>
                <w:rFonts w:ascii="Calibri" w:hAnsi="Calibri"/>
                <w:color w:val="555555"/>
                <w:sz w:val="19"/>
              </w:rPr>
              <w:t>Industry Supervisor — IT Head, Satia Industries Ltd.</w:t>
            </w:r>
          </w:p>
        </w:tc>
      </w:tr>
    </w:tbl>
    <w:p>
      <w:pPr>
        <w:spacing w:before="320" w:after="120" w:line="288" w:lineRule="auto"/>
        <w:jc w:val="center"/>
      </w:pPr>
      <w:r>
        <w:rPr>
          <w:rFonts w:ascii="Calibri" w:hAnsi="Calibri"/>
          <w:b w:val="0"/>
          <w:i/>
          <w:color w:val="808080"/>
          <w:sz w:val="17"/>
        </w:rPr>
        <w:t>Academic / industrial-training project. All production figures are simulated and industry-realistic; no confidential Satia Industries data is used.</w:t>
      </w:r>
    </w:p>
    <w:sectPr w:rsidR="00FC693F" w:rsidRPr="0006063C" w:rsidSect="00034616">
      <w:pgSz w:w="11909" w:h="16834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