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32902" w14:textId="77777777" w:rsidR="00B50484" w:rsidRDefault="00B50484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50484">
        <w:rPr>
          <w:rFonts w:ascii="Arial" w:eastAsia="宋体" w:hAnsi="Arial" w:cs="Arial" w:hint="eastAsia"/>
          <w:kern w:val="0"/>
          <w:sz w:val="24"/>
          <w:szCs w:val="24"/>
        </w:rPr>
        <w:t>MetaHiCNet: A Platform for Normalizing and Visualizing Microbial Hi-C Interaction Networks</w:t>
      </w:r>
    </w:p>
    <w:p w14:paraId="2D66B145" w14:textId="044930D6" w:rsidR="002024EF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524A">
        <w:rPr>
          <w:rFonts w:ascii="Arial" w:eastAsia="宋体" w:hAnsi="Arial" w:cs="Arial"/>
          <w:kern w:val="0"/>
          <w:sz w:val="24"/>
          <w:szCs w:val="24"/>
        </w:rPr>
        <w:t>This website is free and open to all users and there is no login requirement.</w:t>
      </w:r>
    </w:p>
    <w:p w14:paraId="35AE01D7" w14:textId="77777777" w:rsidR="00B50484" w:rsidRPr="00B50484" w:rsidRDefault="00B50484" w:rsidP="00B50484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B50484">
        <w:rPr>
          <w:rFonts w:ascii="Arial" w:eastAsia="宋体" w:hAnsi="Arial" w:cs="Arial" w:hint="eastAsia"/>
          <w:kern w:val="0"/>
          <w:sz w:val="24"/>
          <w:szCs w:val="24"/>
        </w:rPr>
        <w:t>Input Data:</w:t>
      </w:r>
    </w:p>
    <w:p w14:paraId="4261A084" w14:textId="228565BE" w:rsidR="00B50484" w:rsidRPr="00AC027A" w:rsidRDefault="00B50484" w:rsidP="00AC027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C027A">
        <w:rPr>
          <w:rFonts w:ascii="Arial" w:eastAsia="宋体" w:hAnsi="Arial" w:cs="Arial" w:hint="eastAsia"/>
          <w:kern w:val="0"/>
          <w:sz w:val="24"/>
          <w:szCs w:val="24"/>
        </w:rPr>
        <w:t>Two required files (Contig Information and Raw Contact Matrix) and two optional files (Binning Information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and Taxonomy Information) are 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>expec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ted. The first three files can be directly obtained from common 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>M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>eta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>Hi-C analysis pipelines, while the taxonomy information file can be generated using genome annotation tools like GTDB-TK.</w:t>
      </w:r>
    </w:p>
    <w:p w14:paraId="1A7F6939" w14:textId="755FDA35" w:rsidR="00B50484" w:rsidRDefault="00B50484" w:rsidP="00B50484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B50484">
        <w:rPr>
          <w:rFonts w:ascii="Arial" w:eastAsia="宋体" w:hAnsi="Arial" w:cs="Arial" w:hint="eastAsia"/>
          <w:kern w:val="0"/>
          <w:sz w:val="24"/>
          <w:szCs w:val="24"/>
        </w:rPr>
        <w:t>Output:</w:t>
      </w:r>
    </w:p>
    <w:p w14:paraId="4E52C9FA" w14:textId="36BA20A8" w:rsidR="00D27952" w:rsidRPr="00AC027A" w:rsidRDefault="00AC027A" w:rsidP="00AC027A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C027A">
        <w:rPr>
          <w:rFonts w:ascii="Arial" w:eastAsia="宋体" w:hAnsi="Arial" w:cs="Arial" w:hint="eastAsia"/>
          <w:kern w:val="0"/>
          <w:sz w:val="24"/>
          <w:szCs w:val="24"/>
        </w:rPr>
        <w:t>U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sers 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can 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>check data quality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by access p</w:t>
      </w:r>
      <w:r w:rsidR="00D27952"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rocessed interaction matrices and </w:t>
      </w:r>
      <w:r w:rsidR="00F616B2">
        <w:rPr>
          <w:rFonts w:ascii="Arial" w:eastAsia="宋体" w:hAnsi="Arial" w:cs="Arial" w:hint="eastAsia"/>
          <w:kern w:val="0"/>
          <w:sz w:val="24"/>
          <w:szCs w:val="24"/>
        </w:rPr>
        <w:t xml:space="preserve">Pearson </w:t>
      </w:r>
      <w:r w:rsidR="00F616B2">
        <w:rPr>
          <w:rFonts w:ascii="Arial" w:eastAsia="宋体" w:hAnsi="Arial" w:cs="Arial"/>
          <w:kern w:val="0"/>
          <w:sz w:val="24"/>
          <w:szCs w:val="24"/>
        </w:rPr>
        <w:t>correlation</w:t>
      </w:r>
      <w:r w:rsidR="00D27952"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metrics.</w:t>
      </w:r>
      <w:r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F616B2">
        <w:rPr>
          <w:rFonts w:ascii="Arial" w:eastAsia="宋体" w:hAnsi="Arial" w:cs="Arial" w:hint="eastAsia"/>
          <w:kern w:val="0"/>
          <w:sz w:val="24"/>
          <w:szCs w:val="24"/>
        </w:rPr>
        <w:t>A set</w:t>
      </w:r>
      <w:r w:rsidR="00D27952"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F616B2">
        <w:rPr>
          <w:rFonts w:ascii="Arial" w:eastAsia="宋体" w:hAnsi="Arial" w:cs="Arial" w:hint="eastAsia"/>
          <w:kern w:val="0"/>
          <w:sz w:val="24"/>
          <w:szCs w:val="24"/>
        </w:rPr>
        <w:t xml:space="preserve">of </w:t>
      </w:r>
      <w:r w:rsidR="00D27952"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dynamic, interactive visualizations (e.g., histograms, treemaps, Cytoscape-compatible graphs) </w:t>
      </w:r>
      <w:r w:rsidR="00F616B2">
        <w:rPr>
          <w:rFonts w:ascii="Arial" w:eastAsia="宋体" w:hAnsi="Arial" w:cs="Arial"/>
          <w:kern w:val="0"/>
          <w:sz w:val="24"/>
          <w:szCs w:val="24"/>
        </w:rPr>
        <w:t>can</w:t>
      </w:r>
      <w:r w:rsidR="00F616B2">
        <w:rPr>
          <w:rFonts w:ascii="Arial" w:eastAsia="宋体" w:hAnsi="Arial" w:cs="Arial" w:hint="eastAsia"/>
          <w:kern w:val="0"/>
          <w:sz w:val="24"/>
          <w:szCs w:val="24"/>
        </w:rPr>
        <w:t xml:space="preserve"> help</w:t>
      </w:r>
      <w:r w:rsidR="00D27952"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="00F616B2">
        <w:rPr>
          <w:rFonts w:ascii="Arial" w:eastAsia="宋体" w:hAnsi="Arial" w:cs="Arial" w:hint="eastAsia"/>
          <w:kern w:val="0"/>
          <w:sz w:val="24"/>
          <w:szCs w:val="24"/>
        </w:rPr>
        <w:t xml:space="preserve">user </w:t>
      </w:r>
      <w:r w:rsidR="00D27952" w:rsidRPr="00AC027A">
        <w:rPr>
          <w:rFonts w:ascii="Arial" w:eastAsia="宋体" w:hAnsi="Arial" w:cs="Arial" w:hint="eastAsia"/>
          <w:kern w:val="0"/>
          <w:sz w:val="24"/>
          <w:szCs w:val="24"/>
        </w:rPr>
        <w:t>explore microbial Hi-C networks</w:t>
      </w:r>
      <w:r w:rsidR="00F616B2">
        <w:rPr>
          <w:rFonts w:ascii="Arial" w:eastAsia="宋体" w:hAnsi="Arial" w:cs="Arial" w:hint="eastAsia"/>
          <w:kern w:val="0"/>
          <w:sz w:val="24"/>
          <w:szCs w:val="24"/>
        </w:rPr>
        <w:t xml:space="preserve"> in various taxonomic level</w:t>
      </w:r>
      <w:r w:rsidR="00D27952" w:rsidRPr="00AC027A">
        <w:rPr>
          <w:rFonts w:ascii="Arial" w:eastAsia="宋体" w:hAnsi="Arial" w:cs="Arial" w:hint="eastAsia"/>
          <w:kern w:val="0"/>
          <w:sz w:val="24"/>
          <w:szCs w:val="24"/>
        </w:rPr>
        <w:t>.</w:t>
      </w:r>
    </w:p>
    <w:p w14:paraId="12D894F3" w14:textId="3B937D2E" w:rsidR="006A2508" w:rsidRPr="00D27952" w:rsidRDefault="002024EF" w:rsidP="00D2795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27952">
        <w:rPr>
          <w:rFonts w:ascii="Arial" w:eastAsia="宋体" w:hAnsi="Arial" w:cs="Arial"/>
          <w:kern w:val="0"/>
          <w:sz w:val="24"/>
          <w:szCs w:val="24"/>
        </w:rPr>
        <w:t>Processing Method:</w:t>
      </w:r>
    </w:p>
    <w:p w14:paraId="47E21DC8" w14:textId="12FC92B2" w:rsidR="00D27952" w:rsidRPr="00AC027A" w:rsidRDefault="00D27952" w:rsidP="00AC027A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MetaHiCNet offers multiple normalization </w:t>
      </w:r>
      <w:r w:rsidR="00AC027A"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and </w:t>
      </w:r>
      <w:r w:rsidR="00AC027A" w:rsidRPr="00AC027A">
        <w:rPr>
          <w:rFonts w:ascii="Arial" w:eastAsia="宋体" w:hAnsi="Arial" w:cs="Arial" w:hint="eastAsia"/>
          <w:kern w:val="0"/>
          <w:sz w:val="24"/>
          <w:szCs w:val="24"/>
        </w:rPr>
        <w:t>spurious contacts</w:t>
      </w:r>
      <w:r w:rsidR="00AC027A"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removal 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methods [1-4] for adjusting raw Hi-C contact matrices, aiming to reduce systematic biases. Visualizations are generated </w:t>
      </w:r>
      <w:r w:rsidR="00F616B2">
        <w:rPr>
          <w:rFonts w:ascii="Arial" w:eastAsia="宋体" w:hAnsi="Arial" w:cs="Arial" w:hint="eastAsia"/>
          <w:kern w:val="0"/>
          <w:sz w:val="24"/>
          <w:szCs w:val="24"/>
        </w:rPr>
        <w:t>using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Cytoscape for in-depth network analysis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AC027A">
        <w:rPr>
          <w:rFonts w:ascii="Arial" w:hAnsi="Arial" w:cs="Arial"/>
          <w:color w:val="222222"/>
          <w:sz w:val="24"/>
          <w:szCs w:val="24"/>
          <w:shd w:val="clear" w:color="auto" w:fill="FFFFFF"/>
        </w:rPr>
        <w:t>[5]</w:t>
      </w:r>
      <w:r w:rsidRPr="00AC027A">
        <w:rPr>
          <w:rFonts w:ascii="Arial" w:eastAsia="宋体" w:hAnsi="Arial" w:cs="Arial" w:hint="eastAsia"/>
          <w:kern w:val="0"/>
          <w:sz w:val="24"/>
          <w:szCs w:val="24"/>
        </w:rPr>
        <w:t>.</w:t>
      </w:r>
    </w:p>
    <w:p w14:paraId="3736F715" w14:textId="078301A0" w:rsidR="006F524A" w:rsidRPr="00AC027A" w:rsidRDefault="006F524A" w:rsidP="002024EF">
      <w:pPr>
        <w:widowControl/>
        <w:spacing w:before="100" w:beforeAutospacing="1" w:after="100" w:afterAutospacing="1"/>
        <w:contextualSpacing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AC027A">
        <w:rPr>
          <w:rFonts w:ascii="Arial" w:eastAsia="宋体" w:hAnsi="Arial" w:cs="Arial"/>
          <w:kern w:val="0"/>
          <w:sz w:val="24"/>
          <w:szCs w:val="24"/>
        </w:rPr>
        <w:t>Complete Citations:</w:t>
      </w:r>
    </w:p>
    <w:p w14:paraId="5F685BFC" w14:textId="4C4273F9" w:rsidR="006F524A" w:rsidRPr="003A78F1" w:rsidRDefault="006F524A" w:rsidP="003A78F1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2"/>
        </w:rPr>
      </w:pP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>[1] Baudry, L., Foutel-Rodier, T., et al. (2019). MetaTOR: a computational pipeline to recover high-quality metagenomic bins from mammalian gut proximity-ligation (meta3C) libraries. Frontiers in genetics, 10, 753.</w:t>
      </w:r>
      <w:r w:rsidR="003A78F1">
        <w:rPr>
          <w:rFonts w:ascii="Arial" w:eastAsia="宋体" w:hAnsi="Arial" w:cs="Arial"/>
          <w:kern w:val="0"/>
          <w:sz w:val="22"/>
        </w:rPr>
        <w:br/>
      </w: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>[2] DeMaere, M. Z., &amp; Darling, A. E. (2019). bin3C: exploiting Hi-C sequencing data to accurately resolve metagenome-assembled genomes. </w:t>
      </w:r>
      <w:r w:rsidRPr="003A78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Genome biology</w:t>
      </w: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>, 20, 46.</w:t>
      </w:r>
      <w:r w:rsidR="003A78F1">
        <w:rPr>
          <w:rFonts w:ascii="Arial" w:eastAsia="宋体" w:hAnsi="Arial" w:cs="Arial"/>
          <w:kern w:val="0"/>
          <w:sz w:val="22"/>
        </w:rPr>
        <w:br/>
      </w: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Du, Y., &amp; Sun, F. (2023). MetaCC allows scalable and integrative analyses of both long-read and short-read metagenomic Hi-C data. </w:t>
      </w:r>
      <w:r w:rsidRPr="003A78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>, 14, 6231.</w:t>
      </w:r>
      <w:r w:rsidR="003A78F1">
        <w:rPr>
          <w:rFonts w:ascii="Arial" w:eastAsia="宋体" w:hAnsi="Arial" w:cs="Arial"/>
          <w:kern w:val="0"/>
          <w:sz w:val="22"/>
        </w:rPr>
        <w:br/>
      </w: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>[4] Du, Y., Laperriere, S. M, et al. (2022). Normalizing metagenomic Hi-C data and detecting spurious contacts using zero-inflated negative binomial regression. </w:t>
      </w:r>
      <w:r w:rsidRPr="003A78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Computational Biology</w:t>
      </w: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 29 (2), 106-120. </w:t>
      </w:r>
      <w:r w:rsidR="003A78F1">
        <w:rPr>
          <w:rFonts w:ascii="Arial" w:eastAsia="宋体" w:hAnsi="Arial" w:cs="Arial"/>
          <w:kern w:val="0"/>
          <w:sz w:val="22"/>
        </w:rPr>
        <w:br/>
      </w: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>[5] Kohl, M., Wiese, S., et al. (2011). Cytoscape: software for visualization and analysis of biological networks. </w:t>
      </w:r>
      <w:r w:rsidRPr="003A78F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Data mining in proteomics: from standards to applications</w:t>
      </w:r>
      <w:r w:rsidRPr="003A78F1">
        <w:rPr>
          <w:rFonts w:ascii="Arial" w:hAnsi="Arial" w:cs="Arial"/>
          <w:color w:val="222222"/>
          <w:sz w:val="20"/>
          <w:szCs w:val="20"/>
          <w:shd w:val="clear" w:color="auto" w:fill="FFFFFF"/>
        </w:rPr>
        <w:t>, 291-303.</w:t>
      </w:r>
    </w:p>
    <w:p w14:paraId="64A1BEA6" w14:textId="77777777" w:rsidR="002024EF" w:rsidRPr="006F524A" w:rsidRDefault="002024EF" w:rsidP="002024EF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524A">
        <w:rPr>
          <w:rFonts w:ascii="Arial" w:eastAsia="宋体" w:hAnsi="Arial" w:cs="Arial"/>
          <w:kern w:val="0"/>
          <w:sz w:val="24"/>
          <w:szCs w:val="24"/>
        </w:rPr>
        <w:t>Keywords:</w:t>
      </w:r>
    </w:p>
    <w:p w14:paraId="0A39C65C" w14:textId="7CE02C53" w:rsidR="002629A9" w:rsidRPr="003A78F1" w:rsidRDefault="00562815" w:rsidP="003A78F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A78F1">
        <w:rPr>
          <w:rFonts w:ascii="Arial" w:eastAsia="宋体" w:hAnsi="Arial" w:cs="Arial"/>
          <w:kern w:val="0"/>
          <w:sz w:val="24"/>
          <w:szCs w:val="24"/>
        </w:rPr>
        <w:t>MetaHi-C Contact Normalization</w:t>
      </w:r>
      <w:r w:rsidR="003A78F1">
        <w:rPr>
          <w:rFonts w:ascii="Arial" w:eastAsia="宋体" w:hAnsi="Arial" w:cs="Arial"/>
          <w:kern w:val="0"/>
          <w:sz w:val="24"/>
          <w:szCs w:val="24"/>
        </w:rPr>
        <w:br/>
      </w:r>
      <w:r w:rsidRPr="003A78F1">
        <w:rPr>
          <w:rFonts w:ascii="Arial" w:eastAsia="宋体" w:hAnsi="Arial" w:cs="Arial"/>
          <w:kern w:val="0"/>
          <w:sz w:val="24"/>
          <w:szCs w:val="24"/>
        </w:rPr>
        <w:t>Spurious Contact Detection</w:t>
      </w:r>
      <w:r w:rsidR="003A78F1">
        <w:rPr>
          <w:rFonts w:ascii="Arial" w:eastAsia="宋体" w:hAnsi="Arial" w:cs="Arial"/>
          <w:kern w:val="0"/>
          <w:sz w:val="24"/>
          <w:szCs w:val="24"/>
        </w:rPr>
        <w:br/>
      </w:r>
      <w:r w:rsidRPr="003A78F1">
        <w:rPr>
          <w:rFonts w:ascii="Arial" w:eastAsia="宋体" w:hAnsi="Arial" w:cs="Arial"/>
          <w:kern w:val="0"/>
          <w:sz w:val="24"/>
          <w:szCs w:val="24"/>
        </w:rPr>
        <w:t>Microbial Network Visualization</w:t>
      </w:r>
    </w:p>
    <w:sectPr w:rsidR="002629A9" w:rsidRPr="003A78F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D70D3"/>
    <w:multiLevelType w:val="hybridMultilevel"/>
    <w:tmpl w:val="295CFE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5AF1054"/>
    <w:multiLevelType w:val="hybridMultilevel"/>
    <w:tmpl w:val="69E844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0E6853"/>
    <w:multiLevelType w:val="hybridMultilevel"/>
    <w:tmpl w:val="17B2485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6D4222"/>
    <w:multiLevelType w:val="hybridMultilevel"/>
    <w:tmpl w:val="A0986CE0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F1D2B0C"/>
    <w:multiLevelType w:val="hybridMultilevel"/>
    <w:tmpl w:val="926CC7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C4C5E9F"/>
    <w:multiLevelType w:val="multilevel"/>
    <w:tmpl w:val="64F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F3A99"/>
    <w:multiLevelType w:val="hybridMultilevel"/>
    <w:tmpl w:val="67382B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94E6BED"/>
    <w:multiLevelType w:val="hybridMultilevel"/>
    <w:tmpl w:val="49C695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5A6FB4"/>
    <w:multiLevelType w:val="hybridMultilevel"/>
    <w:tmpl w:val="58F05E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780D64D4"/>
    <w:multiLevelType w:val="hybridMultilevel"/>
    <w:tmpl w:val="C34007D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CFC2B3F"/>
    <w:multiLevelType w:val="multilevel"/>
    <w:tmpl w:val="9040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733053">
    <w:abstractNumId w:val="2"/>
  </w:num>
  <w:num w:numId="2" w16cid:durableId="787049316">
    <w:abstractNumId w:val="3"/>
  </w:num>
  <w:num w:numId="3" w16cid:durableId="287325632">
    <w:abstractNumId w:val="10"/>
  </w:num>
  <w:num w:numId="4" w16cid:durableId="2043438554">
    <w:abstractNumId w:val="5"/>
  </w:num>
  <w:num w:numId="5" w16cid:durableId="1195002646">
    <w:abstractNumId w:val="8"/>
  </w:num>
  <w:num w:numId="6" w16cid:durableId="1470704160">
    <w:abstractNumId w:val="7"/>
  </w:num>
  <w:num w:numId="7" w16cid:durableId="416444877">
    <w:abstractNumId w:val="1"/>
  </w:num>
  <w:num w:numId="8" w16cid:durableId="669793791">
    <w:abstractNumId w:val="4"/>
  </w:num>
  <w:num w:numId="9" w16cid:durableId="1592084978">
    <w:abstractNumId w:val="0"/>
  </w:num>
  <w:num w:numId="10" w16cid:durableId="191498059">
    <w:abstractNumId w:val="9"/>
  </w:num>
  <w:num w:numId="11" w16cid:durableId="13642816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0D"/>
    <w:rsid w:val="00050338"/>
    <w:rsid w:val="002024EF"/>
    <w:rsid w:val="002629A9"/>
    <w:rsid w:val="00281F40"/>
    <w:rsid w:val="00290650"/>
    <w:rsid w:val="003A78F1"/>
    <w:rsid w:val="00562815"/>
    <w:rsid w:val="006A2508"/>
    <w:rsid w:val="006F524A"/>
    <w:rsid w:val="007A4C0D"/>
    <w:rsid w:val="007C56D4"/>
    <w:rsid w:val="008C6107"/>
    <w:rsid w:val="009A2885"/>
    <w:rsid w:val="009E0599"/>
    <w:rsid w:val="00A03D2D"/>
    <w:rsid w:val="00A131FE"/>
    <w:rsid w:val="00AC027A"/>
    <w:rsid w:val="00B50484"/>
    <w:rsid w:val="00D27952"/>
    <w:rsid w:val="00F15987"/>
    <w:rsid w:val="00F6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4E0A"/>
  <w15:chartTrackingRefBased/>
  <w15:docId w15:val="{E42BEA5B-C7BE-44A7-83B7-B8D8980C2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C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4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C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C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C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C0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C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C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C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4C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A4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4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4C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4C0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A4C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4C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4C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4C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4C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4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4C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4C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4C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4C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4C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4C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4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4C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A4C0D"/>
    <w:rPr>
      <w:b/>
      <w:bCs/>
      <w:smallCaps/>
      <w:color w:val="2F5496" w:themeColor="accent1" w:themeShade="BF"/>
      <w:spacing w:val="5"/>
    </w:rPr>
  </w:style>
  <w:style w:type="character" w:styleId="ae">
    <w:name w:val="Strong"/>
    <w:basedOn w:val="a0"/>
    <w:uiPriority w:val="22"/>
    <w:qFormat/>
    <w:rsid w:val="008C6107"/>
    <w:rPr>
      <w:b/>
      <w:bCs/>
    </w:rPr>
  </w:style>
  <w:style w:type="paragraph" w:styleId="af">
    <w:name w:val="Normal (Web)"/>
    <w:basedOn w:val="a"/>
    <w:uiPriority w:val="99"/>
    <w:semiHidden/>
    <w:unhideWhenUsed/>
    <w:rsid w:val="002024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5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Chentong Sun</dc:creator>
  <cp:keywords/>
  <dc:description/>
  <cp:lastModifiedBy>Chentong Sun</cp:lastModifiedBy>
  <cp:revision>6</cp:revision>
  <dcterms:created xsi:type="dcterms:W3CDTF">2024-12-06T10:49:00Z</dcterms:created>
  <dcterms:modified xsi:type="dcterms:W3CDTF">2024-12-17T08:12:00Z</dcterms:modified>
</cp:coreProperties>
</file>