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Peterson,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apparent.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country—from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stakeholders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buckets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webinars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making—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pooled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consulting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strikes?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walmart.org.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walmart.org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encompasses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giving—so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ethos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walmart.org.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logistics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merchandising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footprint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are—what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multi-pronged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multi-tiered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Puerto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Rico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Islands.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debris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housing—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evacuated,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distribution,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hyper-local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essentially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brick-and-mortar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Rolodex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their—established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U.S.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radius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eligible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CDRZ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CDRZ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landscape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anchor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institution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Georgia,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CDRZ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commodities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being—be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gentlemen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represent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big—good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when—a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healthcare,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funding—you're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eliminate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relief.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things—for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not—when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you're—that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global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domestic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volunteer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accessible.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That's—we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determine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wheelhouse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category.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methods,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eco-friendly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utilities,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electricity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well-rounded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avenues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retailer,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72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hyperlocal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all—.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—all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buzzwords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buzzwords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home—Home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contributing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resiliency?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community—I'll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Habitat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Paradise,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California—susceptible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wildfires.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ventilation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inventory.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toilets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bulbs,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homeowners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to—in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rivers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flooded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occasions,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Victoria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Habitat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homeowners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renters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agreeable.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resilient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relocate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hazard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neighborhood,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farmers,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definitely—we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wildfires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panhandle.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conscientious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ethos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agriculture.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merchants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Arkansas.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merchants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walmart.org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agriculture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pillar.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available—helping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deconflicting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just—the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VOADs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day—who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statewide,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I—right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wildfires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Texas;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to—you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relationships.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we—the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COVID—but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appropriately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organizations—Walmart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areas;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phrasing,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affects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potentially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hurricane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piggyback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it—to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there's—it's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multifaceted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recovery.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time—the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Sean Visser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not—and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trucks,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Brooks Nelson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walmart.org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perspective,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encouraged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CDRZ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preparedness,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system-wide,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journalistic—nonprofit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journalism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mitigation,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infrastructure,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CDRZ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framework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philanthropy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government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sustainability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disasters—those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intersect.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marginalization,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vulnerability,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puzzle.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enthusiastic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cautiously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optimistic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Sally Ray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 Peterson - Host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"Before,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Podcast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FEMA."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episodes,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FEMA.gov/podcast.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