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Peterson,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Podcast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EHP,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crucial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EHP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-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heritage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enthusiast,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multifaceted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Defrancesco.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Donna Defrancesco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responsibility,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Donna Defrancesco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disperse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facilities,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nonprofit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recipients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conducted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responsibility,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EHP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Donna Defrancesco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heritage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avoid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minimize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Donna Defrancesco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umbrella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29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impetus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alternatives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heritage.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bedrock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NEPA.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multi-year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alternatives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alternatives.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exclusions.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exclusions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alternatives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determined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statutory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exclusion.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statutory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exclusion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returning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pre-disaster,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statutory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exclusion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alternatives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analysis.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lengthy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exclude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29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exclusion.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statutory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exclusions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exclusions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inter-agency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exclusions,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exclusion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exclusions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streamlining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mechanisms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distribution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voltaic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NEPA,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overarching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Donna Defrancesco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EHP,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2011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exploratory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survivor's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alternatives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insurance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proposals,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survivors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archeological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significance.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U.S.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Wildlife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endangered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aquatic,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aquatic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organisms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consultations,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survivor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nutshell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EHP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EHP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duplicative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applicant's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duplicative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sequential.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alleviate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determination.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articulating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extremely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Donna Defrancesco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myriad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intersect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implementation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permitting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intersect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intersects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permitting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Engineers.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Donna Defrancesco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Endangered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Wildlife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aquatic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intersect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dawned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de-conflict?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Donna Defrancesco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negotiated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programmatic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predetermined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streamlining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facilitation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stakeholder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Donna Defrancesco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consultation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cultivation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recognized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sovereign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navigate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ancestral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Repatriation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Archeological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-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tremendous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expertise.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JFOs,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lawyer,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expertises.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recruit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Donna Defrancesco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myriad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myriad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disciplines.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historians,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architects,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archeologists,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architectural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historians,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biologists,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aquatic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navigate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tailored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agencies,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construction-oriented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construction-oriented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Highways,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construction-oriented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transportation.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facilities,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bridges,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roads,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cetera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roads,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bridges,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facilities,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sewers,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treatment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facilities,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navigate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recognize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EHP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Donna Defrancesco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initiative,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cultivating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enhancing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unnecessary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navigate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burdens.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doubt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burdens,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unnecessary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burdens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minimized.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heritage,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announce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11th,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September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2024.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stakeholder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strengthen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transparency,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EHP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EHP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Wildlife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enhanced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transparency.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EHP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deploy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suddenly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doctrine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tailored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disproportionately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adverse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low-income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overwhelming?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Donna Defrancesco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navigate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transformative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historic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navigate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burden.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Podcast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FEMA.gov/podcast.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