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KOPROGO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Inventaire exhaustif des obligations du syndic en Belgique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Sources : Code civil belge (art. 3.84-3.100) | Code de déontologie IPI (AR 29/06/2018) | Loi du 11/02/2013 | AR 15/03/2017 (BCE) | RGPD | Loi anti-blanchiment 18/09/2017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Document de référence — Mars 2026</w:t>
      </w:r>
    </w:p>
    <w:p>
      <w:pPr>
        <w:spacing w:before="600"/>
        <w:jc w:val="center"/>
      </w:pPr>
      <w:r>
        <w:rPr>
          <w:i/>
          <w:iCs/>
          <w:color w:val="95A5A6"/>
          <w:sz w:val="20"/>
          <w:szCs w:val="20"/>
        </w:rPr>
        <w:t xml:space="preserve">Usage : règles métier pour le logiciel KoproGo + contenu pour le blog</w:t>
      </w:r>
    </w:p>
    <w:p>
      <w:r>
        <w:br w:type="page"/>
      </w:r>
    </w:p>
    <w:p>
      <w:pPr>
        <w:pStyle w:val="Heading1"/>
      </w:pPr>
      <w:r>
        <w:t xml:space="preserve">1. Mandat et désignation du syndic</w:t>
      </w:r>
    </w:p>
    <w:p>
      <w:pPr>
        <w:spacing w:after="120"/>
      </w:pPr>
      <w:r>
        <w:t xml:space="preserve">Cette section couvre le cycle de vie du mandat : nomination, durée, renouvellement, révocation, démission et succession.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est nommé par l’AG ou, à défaut, par le juge à la requête d’un copropriétaire ou tiers intéressé.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Workflow d’onboarding : sélection du mode de désignation (AG / juge / statuts).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§1 al.3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mandat ne peut excéder 3 ans. Pas de reconduction tacite.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Alerte automatique 3 mois avant expiration + inscription OdJ.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§1 al.4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renouvellement requiert une décision expresse de l’AG à la majorité absolue.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Vérification automatique : le point « renouvellement du mandat » est bien à l’OdJ.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§1 al.5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ne peut souscrire d’engagement excédant la durée de son mandat sauf décision 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Blocage : contrat fournisseur dont la durée dépasse la fin du mandat → alerte.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§1 al.2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relation syndic/ACP est régie par un contrat écrit listant prestations forfaitaires et complémentaires.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Template de contrat intégré + vérification de la liste des prestations.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L’AG peut révoquer le syndic à tout moment (majorité absolue). Il a droit à indemnité si abus.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Workflow de révocation : point OdJ obligatoire, PV avec motivation.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démissionnaire doit continuer jusqu’à remplacement par l’AG.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Suivi de statut : « en cours de remplacement » jusqu’à nomination du successeur.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§5 7°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Lors du transfert, le syndic sortant remet l’intégralité du dossier (comptabilité, sinistres, clés, etc.).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Checklist de transition générée automatiquement.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85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sortant et le successeur établissent un inventaire détaillé des pièces transmises.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Module d’inventaire de transition signé par les deux parties.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ne peut être en même temps membre du conseil de copropriété ni commissaire aux comptes.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Validation d’incompatibilité de rôles à la configuration des membres.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 15/03/2017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doit être inscrit à la BCE pour chaque ACP gérée, avant le début de mission.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Rappel BCE à l’onboarding + suivi du statut d’inscription.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Missions légales du syndic (art. 3.89 §5)</w:t>
      </w:r>
    </w:p>
    <w:p>
      <w:pPr>
        <w:spacing w:after="120"/>
      </w:pPr>
      <w:r>
        <w:t xml:space="preserve">Les 18 missions impératives du syndic telles que définies par le Code civil belge.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Exécuter et faire exécuter les décisions de l’AG.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Tableau de suivi des décisions AG avec statut (en cours / fait / en retard).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2°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Accomplir tous actes conservatoires et d’administration provisoire.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Workflow « travaux urgents » : qualification + justification + exécution sans AG.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3°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Administrer les fonds conformément à l’art. 3.86 §3 (fonds de roulement + fonds de réserve).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Module comptable avec comptes séparés FR/FdR + alertes seuils.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4°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Représenter l’ACP en justice et dans la gestion des affaires communes.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Registre des procédures judiciaires en cours.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4°bis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Adresser la correspondance recommandée au domicile du syndic ET au siège de l’ACP.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Double adresse configurée, rappel sur les courriers sortants.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5°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Fournir le relevé des dettes dans les 30 jours sur demande du notaire (art. 3.94 §2).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Module « transmission de lot » : génération automatique du relevé de dettes.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6°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Communiquer aux occupants (locataires) la date des AG pour qu’ils puissent formuler des demandes écrites.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Notification automatique aux occupants enregistrés.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7°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Transmettre tout le dossier au successeur ; à défaut, au président de la dernière 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Génération automatique du dossier de transition complet.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8°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Souscrire une assurance RC couvrant l’exercice de sa mission (pour les bénévoles : à charge de l’ACP).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Vérification annuelle de la police RC + rappel de renouvellement.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9°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Permettre l’accès au registre des décisions de l’AG, aux pièces justificatives et documents comptables.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Espace documentaire en ligne accessible aux copropriétaires.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10°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Conserver les PV d’AG dans un registre au siège de l’ACP.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Archivage numérique centralisé des PV.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11°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Afficher de manière inaltérable et visible à l’entrée de l’immeuble les coordonnées du syndic.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Génération d’un affichage type avec les mentions légales.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12°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Soumettre à l’AG annuelle un rapport d’évaluation des contrats de fournitures régulières.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Génération automatique du rapport d’évaluation des contrats.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13°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Tenir à jour la liste et coordonnées des personnes ayant droit de vote à l’AG.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Répertoire des copropriétaires avec quotes-parts et coordonnées.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14°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Tenir la comptabilité de l’ACP de manière claire, précise et détaillée.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Module comptable intégré avec plan comptable copropriété.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15°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Préparer le budget prévisionnel (fonds de roulement + fonds de réserve).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Module budget avec historique des écarts prévisionnel/réalisé.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16°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Inscrire à l’OdJ l’approbation des budgets prévisionnels.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Inscription automatique à l’OdJ de l’AG annuelle.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§5 17°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Faire inscrire le syndic à la BCE et communiquer toute modification.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Rappel BCE intégré.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Assemblée générale : convocation, quorum, majorités</w:t>
      </w:r>
    </w:p>
    <w:p>
      <w:pPr>
        <w:spacing w:after="120"/>
      </w:pPr>
      <w:r>
        <w:t xml:space="preserve">Règles régissant l’organisation de l’AG, de la convocation au PV.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L’AG annuelle doit se tenir dans la période de 15 jours fixée par le ROI.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Planification automatique dans la fenêtre statutaire.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§2 al.2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 extraordinaire à la demande de copropriétaires possédant au moins 1/5 des quotes-parts.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Formulaire de demande d’AG extraordinaire avec vérification du seuil 1/5.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Convocation par recommandé au moins 15 jours avant, sauf accord écrit pour autre moyen.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Génération convocation + suivi envoi recommandé / courriel si accord.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L’OdJ doit inclure le relevé des points + modalités de consultation des documents.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Template OdJ avec mentions légales obligatoires.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Les propositions écrites reçues 3 semaines avant la période AG doivent être inscrites à l’OdJ.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Collecte des propositions avec horodatage et deadline.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Quorum : plus de 50 % des quotes-parts présentes ou représentées.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Calcul du quorum en temps réel lors de l’émargement.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 quorum non atteint : 2e AG après 15 jours min., délibère quel que soit le nombre de présents.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Détection automatique du défaut de quorum et planification de la 2e AG.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3.88 §1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Majorité absolue pour les décisions courantes.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Moteur de majorité : calcul automatique selon le type de décision.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3.88 §1 1°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Majorité 2/3 pour : modification statuts (jouissance/usage), travaux PC, mise en concurrence.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Sélection du type de point → majorité requise affichée.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3.88 §1 2°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Majorité 4/5 pour : modification de la répartition des charges, des quotités, destination immeuble.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Idem — blocage si majorité insuffisante.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3.88 §2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Unanimité pour la modification de l’acte de base (parties privatives).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Alerte spéciale « unanimité requise ».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Procuration : max. 3 mandats sauf si total des voix &lt; 10 % du total. Le syndic ne peut être mandataire.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Validation automatique des procurations : plafond de 3, interdiction syndic, règle des 10 %.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Abstentions et votes nuls non comptés comme voix émises.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Calcul des majorités excluant les abstentions.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rédige le PV avec majorités obtenues et noms des opposants/abstentionnistes.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Génération automatique du PV avec résultats de vote détaillés.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3.87 §10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PV est transmis dans les 30 jours aux copropriétaires et consigné au registre.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Envoi automatisé du PV + archivage dans le registre numérique.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Jurisprudence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Seuls les points inscrits à l’OdJ peuvent faire l’objet d’un vote. Les « divers » ne permettent pas de vote.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Blocage du vote sur les points « divers » dans le module AG.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Jurisprudence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Approbation des comptes et décharge (quitus) sont deux résolutions distinctes.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Points séparés imposés dans le template OdJ.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Dépend. logique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Séquence OdJ : 1) Bureau 2) Quorum 3) Rapport CDC 4) Comptes 5) Quitus 6) Contrats 7) Budget 8) Mandat syndic 9) Travaux/Divers.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Ordonnancement automatique des points de l’OdJ selon dépendances légales.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Gestion financière et comptabilité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compte bancaire distinct par ACP gérée, dont le syndic est seul responsable.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Configuration multi-ACP avec isolation des comptes.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Les sommes revenant à l’ACP (ristournes, indemnités) doivent être versées directement sur le compte ACP.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Alerte si un paiement fournisseur génère une ristourne non reversée.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68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Opérations uniquement par virement ou chèque, sur base de justificatifs. Pas de carte de crédit.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Pas de paiement par carte dans le module. Justificatif obligatoire par opération.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69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Comptes et états patrimoniaux clairs, détaillés par catégories, au minimum annuels.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Plan comptable structuré avec catégorisation automatique.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84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Conservation des pièces justificatives et de l’état du patrimoine pendant 10 ans.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Archivage numérique avec rétention automatique de 10 ans.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3.86 §3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Obligation de constituer un fonds de réserve (min. 5 % des charges communes).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Calcul automatique de la provision minimale de 5 %.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§5 15°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Comptabilité claire, précise et détaillée, selon le plan comptable minimum normalisé.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Module comptable conforme au plan comptable copropriété belge.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Droit d’accès des copropriétaires aux pièces justificatives.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Espace « mes documents » accessible en ligne 24/7.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§5 1 al.2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Toute prestation non listée au contrat ne peut donner lieu à rémunération sauf décision 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Alerte si une dépense ne correspond à aucune prestation contractuelle.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33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Garantie des fonds détenus dans le cadre de la mission.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Suivi de la couverture de cautionnement.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Déontologie spécifique du syndic IPI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Respect des dispositions du Code civil relatives à la copropriété, des statuts et du ROI.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Vérification de conformité intégrée aux workflows.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80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Stricte neutralité dans les conflits entre copropriétaires/occupants ne concernant pas la gestion.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Guide contextuel : « ce conflit ne relève pas de la gestion de l’ACP ».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81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Permettre au conseil de copropriété et au commissaire aux comptes d’exercer leurs missions.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Accès dédié pour le CdC et le commissaire aux comptes.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39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Éviter tout conflit d’intérêts. Informer le commettant si le cocontractant a un lien familial/juridique.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Déclaration de conflit d’intérêts obligatoire avant signature de contrat fournisseur.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 de commande à des personnes liées familialement ou juridiquement sans autorisation de l’ACP.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Vérification automatique des fournisseurs liés.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35-36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Devoir de discrétion sur les données des copropriétaires. Interdiction de fournir des infos erronées.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Gestion des accès et permissions, logs d’accès aux données.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37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Obligation de formation continue : 10h/an minimum par colonne (syndic).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Outil de suivi des heures de formation (blog : contenu pédagogique).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Assurance RC professionnelle obligatoire + mention de l’assureur et du n° de contrat.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Vérification annuelle RC + affichage mentions légales.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Mentions obligatoires sur documents et site web : n° IPI, raison sociale, assureur RC, n° contrat.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Template de documents avec mentions pré-remplies.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Conseils et recommandations en temps utile au commettant. Information sur prescriptions légales.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Alertes légales contextuelles (ex : mise en conformité incendie, PEB).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Recommander les assurances nécessaires pour l’immeuble (RC immeuble, incendie, etc.).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Checklist assurances immeuble avec dates d’échéance.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 passer commande qu’à des fournisseurs disposant des agréations requises.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Vérification de l’agréation fournisseur avant validation du devis.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Réclamer une provision suffisante avant de commander des travaux.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Calcul automatique de la provision nécessaire + appel de fonds.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Contrat écrit obligatoire entre le syndic et l’ACP.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Template de contrat syndic conforme au Code civil.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Déontologie générale applicable au syndic</w:t>
      </w:r>
    </w:p>
    <w:p>
      <w:pPr>
        <w:spacing w:after="120"/>
      </w:pPr>
      <w:r>
        <w:t xml:space="preserve">Règles du Titre I du Code de déontologie IPI applicables à tous les agents immobiliers, y compris les syndics.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Respect du Code pénal, Code de droit économique, Code civil copropriété, RGPD, anti-discrimination, anti-blanchiment.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Blog : article sur les 9 législations applicables au syndic.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3-4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Responsabilité personnelle du syndic pour ses actes et ceux de ses préposés. Supervision continue.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Blog : responsabilité du syndic — ce qu’il faut savoir.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6-7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Respect de la vie privée et du RGPD. Traitement limité aux données nécessaires à la mission.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Politique de confidentialité intégrée + minimisation des données.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Interdiction d’accepter une mission contraire au code ou aux dispositions impératives.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Workflow de validation avant acceptation de mission.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Même après notification de fin de mission, le syndic exécute jusqu’au terme.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Suivi de statut « fin de mission en cours ».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16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Restitution sans retard de tous les documents remis par le commettant.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Inventaire documentaire avec traçabilité des documents reçus/retournés.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22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Interdiction de collaborer avec une personne pratiquant illégalement.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Blog : comment vérifier qu’un syndic est agréé IPI.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44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Obligation de transmettre toute information demandée par l’IPI dans le cadre d’un dossier disciplinaire.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Blog : la procédure disciplinaire IPI expliquée.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Loi 18/09/2017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Obligations anti-blanchiment : identification du client, vigilance, déclaration de soupçon à la CTIF.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Blog : le syndic face à l’anti-blanchiment.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RGPD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des traitements, base légale, droit d’accès/rectification/effacement pour les copropriétaires.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Module RGPD intégré : registre + gestion des demandes.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Travaux et entretien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§5 2°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peut exécuter seul les travaux urgents et conservatoires sans décision 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Workflow : qualification urgence + trace de la justification.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3.88 §1 1°b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Travaux affectant les PC : majorité des 2/3 (sauf conservatoires = majorité absolue).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Calcul automatique de la majorité requise selon le type de travaux.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3.88 §1 1°c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Mise en concurrence obligatoire au-delà du montant fixé par l’AG.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Alerte si devis unique au-dessus du seuil. Collecte de devis comparatifs.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Fournisseurs avec agréations requises uniquement.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Champ agréation obligatoire dans le répertoire fournisseurs.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74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Provision suffisante avant commande de travaux.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Calcul provision + appel de fonds spécial.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Transmission de lot (vente d’un appartement)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3.94 §1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Sur demande, le syndic communique au notaire/intermédiaire dans les 15 jours : montants FR/FdR, arriérés, appels de fonds, PV des 3 dernières années, etc.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Génération automatique du dossier « transmission de lot » en un clic.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3.94 §2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Relevé des dettes dans les 30 jours sur demande du notaire.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Délai surveillé avec alerte si proche de l’échéance.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3.94 §1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Informations à transmettre : dernier bilan, montant dépenses conservatoires, procédures en cours.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Checklist des documents à fournir au notaire.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Conseil de copropriété et commissaire aux comptes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KoproGo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3.90 §1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Conseil de copropriété obligatoire si 20+ lots (hors caves/garages/parkings).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Détection automatique du seuil + rappel de constitution du CdC.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3.91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Désignation annuelle d’un commissaire aux comptes (ou collège) par l’AG.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Point inscrit automatiquement à l’OdJ annuel.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Déonto. art. 81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syndic doit faciliter les missions du CdC et du commissaire sans excéder leurs prérogatives.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Accès en lecture aux données financières pour le commissaire.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Art. 3.89 §9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Incompatibilités : syndic ≠ membre CdC ≠ commissaire aux comptes.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Blocage d’affectation d’une personne à deux rôles incompatibles.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Synthèse : 4 piliers d’exploitation pour KoproGo</w:t>
      </w:r>
    </w:p>
    <w:p>
      <w:pPr>
        <w:pStyle w:val="Heading2"/>
      </w:pPr>
      <w:r>
        <w:t xml:space="preserve">Pilier 1 — Moteur de règles métier</w:t>
      </w:r>
    </w:p>
    <w:p>
      <w:pPr>
        <w:spacing w:after="120"/>
      </w:pPr>
      <w:r>
        <w:t xml:space="preserve">Intégrer les règles codées en dur (majorités, quorum, incompatibilités, délais) comme validations bloquantes dans chaque module. C’est le socle de conformité légale.</w:t>
      </w:r>
    </w:p>
    <w:p>
      <w:pPr>
        <w:pStyle w:val="Heading2"/>
      </w:pPr>
      <w:r>
        <w:t xml:space="preserve">Pilier 2 — Assistant contextuel</w:t>
      </w:r>
    </w:p>
    <w:p>
      <w:pPr>
        <w:spacing w:after="120"/>
      </w:pPr>
      <w:r>
        <w:t xml:space="preserve">Afficher des encadrés pédagogiques (tooltips, guides) à chaque étape du workflow, citant la source légale ou déontologique. C’est la valeur différenciante pour le syndic bénévole.</w:t>
      </w:r>
    </w:p>
    <w:p>
      <w:pPr>
        <w:pStyle w:val="Heading2"/>
      </w:pPr>
      <w:r>
        <w:t xml:space="preserve">Pilier 3 — Alertes et rappels proactifs</w:t>
      </w:r>
    </w:p>
    <w:p>
      <w:pPr>
        <w:spacing w:after="120"/>
      </w:pPr>
      <w:r>
        <w:t xml:space="preserve">Expiration de mandat, renouvellement RC, formation continue, délais de convocation, BCE, fonds de réserve insuffisant. Le syndic ne doit jamais être pris au dépourvu.</w:t>
      </w:r>
    </w:p>
    <w:p>
      <w:pPr>
        <w:pStyle w:val="Heading2"/>
      </w:pPr>
      <w:r>
        <w:t xml:space="preserve">Pilier 4 — Contenu blog</w:t>
      </w:r>
    </w:p>
    <w:p>
      <w:pPr>
        <w:spacing w:after="120"/>
      </w:pPr>
      <w:r>
        <w:t xml:space="preserve">Chaque règle marquée « Blog » dans la colonne KoproGo est une opportunité d’article pédagogique pour le référencement et la crédibilité. Plan suggéré : une série de 10 articles couvrant les 10 sections de ce document.</w:t>
      </w:r>
    </w:p>
    <w:p>
      <w:pPr>
        <w:spacing w:before="400"/>
      </w:pPr>
    </w:p>
    <w:p>
      <w:pPr>
        <w:spacing w:after="120"/>
      </w:pPr>
      <w:r>
        <w:rPr>
          <w:i/>
          <w:iCs/>
        </w:rPr>
        <w:t xml:space="preserve">Ce document recense plus de 70 règles opposables au syndic en Belgique, issues du Code civil (art. 3.84-3.100), du Code de déontologie IPI (AR 29/06/2018), de la loi du 11/02/2013 et des réglementations connexes (BCE, RGPD, anti-blanchiment). Il constitue la base de référence pour l’équipe produit KoproGo et pour la stratégie de contenu du blog.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2026-03-10T20:41:57.962Z</dcterms:created>
  <dcterms:modified xsi:type="dcterms:W3CDTF">2026-03-10T20:41:57.963Z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