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0B981"/>
          <w:sz w:val="64"/>
          <w:szCs w:val="64"/>
        </w:rPr>
        <w:t xml:space="preserve">KoproGo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Gestion de Copropriété SaaS</w:t>
      </w:r>
    </w:p>
    <w:p>
      <w:pPr>
        <w:pBdr>
          <w:bottom w:val="single" w:color="D1D5DB" w:sz="4" w:space="1"/>
        </w:pBdr>
        <w:spacing w:after="120" w:before="120"/>
      </w:pPr>
      <w:r>
        <w:t xml:space="preserve"/>
      </w:r>
    </w:p>
    <w:p>
      <w:pPr>
        <w:spacing w:after="400" w:before="4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40AF"/>
          <w:sz w:val="48"/>
          <w:szCs w:val="48"/>
        </w:rPr>
        <w:t xml:space="preserve">GUIDE UTILISATEUR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F2937"/>
          <w:sz w:val="36"/>
          <w:szCs w:val="36"/>
        </w:rPr>
        <w:t xml:space="preserve">Rôle Comptable</w:t>
      </w:r>
    </w:p>
    <w:p>
      <w:pPr>
        <w:spacing w:after="40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— Mars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Confidentiel — Usage interne</w:t>
      </w:r>
    </w:p>
    <w:p>
      <w:pPr>
        <w:spacing w:after="600" w:before="600"/>
      </w:pPr>
      <w:r>
        <w:t xml:space="preserve"/>
      </w:r>
    </w:p>
    <w:tbl>
      <w:tblPr>
        <w:tblW w:type="dxa" w:w="96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1"/>
        <w:gridCol w:w="2411"/>
        <w:gridCol w:w="2411"/>
        <w:gridCol w:w="2411"/>
      </w:tblGrid>
      <w:tr>
        <w:tc>
          <w:tcPr>
            <w:tcW w:type="dxa" w:w="2411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Norme comptable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PCMN belge</w:t>
            </w:r>
          </w:p>
        </w:tc>
        <w:tc>
          <w:tcPr>
            <w:tcW w:type="dxa" w:w="2411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TVA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6% / 12% / 21%</w:t>
            </w:r>
          </w:p>
        </w:tc>
        <w:tc>
          <w:tcPr>
            <w:tcW w:type="dxa" w:w="2411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Journaux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ACH · VEN · FIN · ODS</w:t>
            </w:r>
          </w:p>
        </w:tc>
        <w:tc>
          <w:tcPr>
            <w:tcW w:type="dxa" w:w="2411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Conformité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RGPD + ISO 27001</w:t>
            </w:r>
          </w:p>
        </w:tc>
      </w:tr>
    </w:tbl>
    <w:p>
      <w:pPr>
        <w:sectPr>
          <w:pgSz w:w="11906" w:h="16838" w:orient="portrait"/>
          <w:pgMar w:top="1130" w:right="1130" w:bottom="1130" w:left="1130" w:header="708" w:footer="708" w:gutter="0"/>
          <w:pgNumType/>
          <w:docGrid w:linePitch="360"/>
        </w:sectPr>
      </w:pPr>
    </w:p>
    <w:p>
      <w:pPr>
        <w:pStyle w:val="Heading1"/>
        <w:spacing w:after="240" w:before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Introduction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KoproGo intègre un module de comptabilité complet conforme au Plan Comptable Minimum Normalisé belge (PCMN — AR 12/07/2012). En tant que comptable, vous gérez l'ensemble des opérations financières de la copropriété : saisie des charges, appels de fonds, écritures de journal en partie double, rapports financiers (bilan et compte de résultats) et bien plus encore.</w:t>
      </w:r>
    </w:p>
    <w:p>
      <w:pPr>
        <w:spacing w:after="60" w:before="60"/>
      </w:pPr>
      <w:r>
        <w:t xml:space="preserve"/>
      </w:r>
    </w:p>
    <w:tbl>
      <w:tblPr>
        <w:tblW w:type="dxa" w:w="96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6"/>
      </w:tblGrid>
      <w:tr>
        <w:tc>
          <w:tcPr>
            <w:tcW w:type="dxa" w:w="9646"/>
            <w:tcBorders>
              <w:top w:val="single" w:color="2563EB" w:sz="12"/>
              <w:left w:val="single" w:color="2563EB" w:sz="30"/>
              <w:bottom w:val="single" w:color="2563EB" w:sz="12"/>
              <w:right w:val="single" w:color="2563EB" w:sz="1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ℹ️  INFO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Ce guide couvre l'ensemble des fonctionnalités disponibles pour le rôle Comptable.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Le rôle Comptable a accès à toutes les sections financières ainsi qu'aux fonctionnalités communautaires.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Pour l'administration système (gestion des utilisateurs, organisations), consultez le Guide Administrateur.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6"/>
      </w:tblGrid>
      <w:tr>
        <w:tc>
          <w:tcPr>
            <w:tcW w:type="dxa" w:w="9646"/>
            <w:tcBorders>
              <w:top w:val="single" w:color="F59E0B" w:sz="12"/>
              <w:left w:val="single" w:color="F59E0B" w:sz="30"/>
              <w:bottom w:val="single" w:color="F59E0B" w:sz="12"/>
              <w:right w:val="single" w:color="F59E0B" w:sz="12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📒  PCMN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Référentiel comptable : PCMN belge (AR 12/07/2012)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Classes 1-5 : Bilan (Capitaux, Immobilisations, Stocks, Créances, Trésorerie)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Classes 6-7 : Résultats (Charges, Produits)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Classe 8-9 : Droits et engagements hors bilan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Journaux disponibles : ACH (Achats), VEN (Ventes), FIN (Financier), ODS (Opérations diverses)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Connexion et tableau de bord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2.1 Connexion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Ouvrez votre navigateur sur l'URL fournie par votre administrateur. Saisissez vos identifiants comptable pour accéder à votre espace de travail.</w:t>
      </w:r>
    </w:p>
    <w:p>
      <w:pPr>
        <w:spacing w:after="60" w:before="60"/>
      </w:pPr>
      <w:r>
        <w:t xml:space="preserve"/>
      </w:r>
    </w:p>
    <w:p>
      <w:pPr>
        <w:spacing w:after="200" w:before="80"/>
      </w:pPr>
      <w:r>
        <w:drawing>
          <wp:inline distT="0" distB="0" distL="0" distR="0">
            <wp:extent cx="6381750" cy="3733800"/>
            <wp:effectExtent t="0" r="0" b="0" l="0"/>
            <wp:docPr id="1" name="Page de connexion KoproGo" descr="Page de connexion KoproGo" title="Page de connexion Kopr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Page de connexion KoproGo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Saisissez votre adresse e-mail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dans le champ « Email ».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Entrez votre mot de passe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Cliquez sur « Se connecter »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pour accéder au tableau de bord comptable.</w:t>
      </w:r>
    </w:p>
    <w:p>
      <w:pPr>
        <w:spacing w:after="60" w:before="60"/>
      </w:pPr>
      <w:r>
        <w:t xml:space="preserve"/>
      </w:r>
    </w:p>
    <w:tbl>
      <w:tblPr>
        <w:tblW w:type="dxa" w:w="96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6"/>
      </w:tblGrid>
      <w:tr>
        <w:tc>
          <w:tcPr>
            <w:tcW w:type="dxa" w:w="9646"/>
            <w:tcBorders>
              <w:top w:val="single" w:color="059669" w:sz="12"/>
              <w:left w:val="single" w:color="059669" w:sz="30"/>
              <w:bottom w:val="single" w:color="059669" w:sz="12"/>
              <w:right w:val="single" w:color="059669" w:sz="12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 CONSEIL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Votre session expire après 15 minutes d'inactivité pour des raisons de sécurité. Reconnectez-vous si nécessaire.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2.2 Tableau de bord comptable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tableau de bord comptable présente une vue synthétique de la santé financière de la copropriété : charges du mois, taux de recouvrement, impayés et accès rapides aux actions fréquentes.</w:t>
      </w:r>
    </w:p>
    <w:p>
      <w:pPr>
        <w:spacing w:after="60" w:before="60"/>
      </w:pPr>
      <w:r>
        <w:t xml:space="preserve"/>
      </w:r>
    </w:p>
    <w:p>
      <w:pPr>
        <w:spacing w:after="200" w:before="80"/>
      </w:pPr>
      <w:r>
        <w:drawing>
          <wp:inline distT="0" distB="0" distL="0" distR="0">
            <wp:extent cx="6381750" cy="3733800"/>
            <wp:effectExtent t="0" r="0" b="0" l="0"/>
            <wp:docPr id="1" name="Tableau de bord comptable" descr="Tableau de bord comptable" title="Tableau de bord comp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Tableau de bord comptable — indicateurs financiers clés</w:t>
      </w:r>
    </w:p>
    <w:p>
      <w:pPr>
        <w:spacing w:after="60" w:before="60"/>
      </w:pPr>
      <w:r>
        <w:t xml:space="preserve"/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tableau de bord affiche quatre indicateurs principaux :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F59E0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Total des charges du mois en cours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F59E0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Montant collecté (charges payées) et taux de recouvrement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F59E0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Montant en attente de paiement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F59E0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Nombre de copropriétaires en retard de paiement</w:t>
      </w:r>
    </w:p>
    <w:p>
      <w:pPr>
        <w:spacing w:after="60" w:before="60"/>
      </w:pPr>
      <w:r>
        <w:t xml:space="preserve"/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Les accès rapides permettent d'atteindre directement les sections Charges, Rapports, Factures et Immeubles.</w:t>
      </w:r>
    </w:p>
    <w:p>
      <w:pPr>
        <w:spacing w:after="60" w:before="60"/>
      </w:pPr>
      <w:r>
        <w:t xml:space="preserve"/>
      </w:r>
    </w:p>
    <w:tbl>
      <w:tblPr>
        <w:tblW w:type="dxa" w:w="96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6"/>
      </w:tblGrid>
      <w:tr>
        <w:tc>
          <w:tcPr>
            <w:tcW w:type="dxa" w:w="9646"/>
            <w:tcBorders>
              <w:top w:val="single" w:color="D97706" w:sz="12"/>
              <w:left w:val="single" w:color="D97706" w:sz="30"/>
              <w:bottom w:val="single" w:color="D97706" w:sz="12"/>
              <w:right w:val="single" w:color="D97706" w:sz="12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 ATTENTION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Le tableau de bord affiche parfois des clés de traduction brutes au premier chargement (ex. « dashboards.accountant.title »).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Actualisez la page (F5) pour corriger l'affichage — c'est un comportement connu de l'initialisation i18n.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Gestion des immeubles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section Immeubles vous donne accès en lecture à tous les immeubles de votre organisation. En tant que comptable, vous pouvez consulter les informations de chaque copropriété et accéder aux données financières associées.</w:t>
      </w:r>
    </w:p>
    <w:p>
      <w:pPr>
        <w:spacing w:after="60" w:before="60"/>
      </w:pPr>
      <w:r>
        <w:t xml:space="preserve"/>
      </w:r>
    </w:p>
    <w:p>
      <w:pPr>
        <w:spacing w:after="200" w:before="80"/>
      </w:pPr>
      <w:r>
        <w:drawing>
          <wp:inline distT="0" distB="0" distL="0" distR="0">
            <wp:extent cx="6381750" cy="3733800"/>
            <wp:effectExtent t="0" r="0" b="0" l="0"/>
            <wp:docPr id="1" name="Liste des immeubles" descr="Liste des immeubles" title="Liste des immeu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Liste des immeubles — vue comptable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Cliquez sur « Immeubles »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dans le menu de navigation.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Sélectionnez un immeuble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pour accéder à ses données financières.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Naviguez vers les sections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Charges, Budgets ou Rapports depuis la fiche de l'immeuble.</w:t>
      </w:r>
    </w:p>
    <w:p>
      <w:pPr>
        <w:spacing w:after="60" w:before="60"/>
      </w:pPr>
      <w:r>
        <w:t xml:space="preserve"/>
      </w:r>
    </w:p>
    <w:tbl>
      <w:tblPr>
        <w:tblW w:type="dxa" w:w="96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6"/>
      </w:tblGrid>
      <w:tr>
        <w:tc>
          <w:tcPr>
            <w:tcW w:type="dxa" w:w="9646"/>
            <w:tcBorders>
              <w:top w:val="single" w:color="2563EB" w:sz="12"/>
              <w:left w:val="single" w:color="2563EB" w:sz="30"/>
              <w:bottom w:val="single" w:color="2563EB" w:sz="12"/>
              <w:right w:val="single" w:color="2563EB" w:sz="1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ℹ️  INFO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En tant que comptable, vous avez un accès en consultation aux immeubles. La création et modification d'immeubles est réservée au rôle Syndic ou Administrateur.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Gestion des charges et factures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4.1 Charges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section Charges centralise toutes les dépenses de la copropriété. Vous pouvez créer, modifier et valider les charges selon leur état dans le workflow d'approbation.</w:t>
      </w:r>
    </w:p>
    <w:p>
      <w:pPr>
        <w:spacing w:after="60" w:before="60"/>
      </w:pPr>
      <w:r>
        <w:t xml:space="preserve"/>
      </w:r>
    </w:p>
    <w:p>
      <w:pPr>
        <w:spacing w:after="200" w:before="80"/>
      </w:pPr>
      <w:r>
        <w:drawing>
          <wp:inline distT="0" distB="0" distL="0" distR="0">
            <wp:extent cx="6381750" cy="3733800"/>
            <wp:effectExtent t="0" r="0" b="0" l="0"/>
            <wp:docPr id="1" name="Gestion des charges" descr="Gestion des charges" title="Gestion des char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Charges — liste et gestion des factures fournisseurs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Cliquez sur « Charges »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dans le menu COMPTABILITÉ.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Cliquez sur « + Créer une facture »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pour saisir une nouvelle charge.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Renseignez les informations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: fournisseur, date, description, lignes de facturation.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Appliquez le taux de TVA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approprié : 6% (rénovations), 12% ou 21% (standard).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Soumettez pour approbation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ou approuvez directement selon votre niveau d'autorisation.</w:t>
      </w:r>
    </w:p>
    <w:p>
      <w:pPr>
        <w:spacing w:after="60" w:before="60"/>
      </w:pPr>
      <w:r>
        <w:t xml:space="preserve"/>
      </w:r>
    </w:p>
    <w:tbl>
      <w:tblPr>
        <w:tblW w:type="dxa" w:w="96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6"/>
      </w:tblGrid>
      <w:tr>
        <w:tc>
          <w:tcPr>
            <w:tcW w:type="dxa" w:w="9646"/>
            <w:tcBorders>
              <w:top w:val="single" w:color="F59E0B" w:sz="12"/>
              <w:left w:val="single" w:color="F59E0B" w:sz="30"/>
              <w:bottom w:val="single" w:color="F59E0B" w:sz="12"/>
              <w:right w:val="single" w:color="F59E0B" w:sz="12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📒  PCMN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TVA belge applicable aux copropriétés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6% : travaux de rénovation sur immeubles de plus de 10 ans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12% : certains travaux intermédiaires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21% : taux standard (nouvelles constructions, services)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Vérifiez toujours le taux applicable avant la validation définitive.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4.2 Workflow des factures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workflow des factures permet de suivre l'état d'avancement de chaque facture depuis la création jusqu'au paiement. Chaque étape est tracée pour l'audit.</w:t>
      </w:r>
    </w:p>
    <w:p>
      <w:pPr>
        <w:spacing w:after="60" w:before="60"/>
      </w:pPr>
      <w:r>
        <w:t xml:space="preserve"/>
      </w:r>
    </w:p>
    <w:p>
      <w:pPr>
        <w:spacing w:after="200" w:before="80"/>
      </w:pPr>
      <w:r>
        <w:drawing>
          <wp:inline distT="0" distB="0" distL="0" distR="0">
            <wp:extent cx="6381750" cy="3733800"/>
            <wp:effectExtent t="0" r="0" b="0" l="0"/>
            <wp:docPr id="1" name="Workflow des factures" descr="Workflow des factures" title="Workflow des fac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Workflow des factures — suivi des états d'approbation</w:t>
      </w:r>
    </w:p>
    <w:p>
      <w:pPr>
        <w:spacing w:after="60" w:before="60"/>
      </w:pPr>
      <w:r>
        <w:t xml:space="preserve"/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États du workflow :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F59E0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Brouillon (Draft) : facture en cours de saisie, modifiable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F59E0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En attente d'approbation (PendingApproval) : soumise, en attente de validation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F59E0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Approuvée (Approved) : validée, prête pour le paiement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F59E0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Rejetée (Rejected) : refusée avec motif, retour en Brouillon possible</w:t>
      </w:r>
    </w:p>
    <w:p>
      <w:pPr>
        <w:spacing w:after="60" w:before="60"/>
      </w:pPr>
      <w:r>
        <w:t xml:space="preserve"/>
      </w:r>
    </w:p>
    <w:tbl>
      <w:tblPr>
        <w:tblW w:type="dxa" w:w="96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6"/>
      </w:tblGrid>
      <w:tr>
        <w:tc>
          <w:tcPr>
            <w:tcW w:type="dxa" w:w="9646"/>
            <w:tcBorders>
              <w:top w:val="single" w:color="D97706" w:sz="12"/>
              <w:left w:val="single" w:color="D97706" w:sz="30"/>
              <w:bottom w:val="single" w:color="D97706" w:sz="12"/>
              <w:right w:val="single" w:color="D97706" w:sz="12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 ATTENTION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Une facture approuvée ne peut plus être modifiée.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La distribution des charges entre copropriétaires est calculée automatiquement après approbation, selon les quotes-parts enregistrées.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Appels de fonds et contributions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5.1 Appels de fonds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Les appels de fonds permettent de collecter les contributions des copropriétaires pour financer les dépenses courantes ou les travaux exceptionnels. KoproGo génère automatiquement les contributions individuelles selon les quotes-parts de chaque lot.</w:t>
      </w:r>
    </w:p>
    <w:p>
      <w:pPr>
        <w:spacing w:after="60" w:before="60"/>
      </w:pPr>
      <w:r>
        <w:t xml:space="preserve"/>
      </w:r>
    </w:p>
    <w:p>
      <w:pPr>
        <w:spacing w:after="200" w:before="80"/>
      </w:pPr>
      <w:r>
        <w:drawing>
          <wp:inline distT="0" distB="0" distL="0" distR="0">
            <wp:extent cx="6381750" cy="3733800"/>
            <wp:effectExtent t="0" r="0" b="0" l="0"/>
            <wp:docPr id="1" name="Appels de fonds" descr="Appels de fonds" title="Appels de fo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Appels de fonds — création et suivi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Accédez à « Appels de fonds »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dans le menu.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Cliquez sur « + Nouvel appel de fonds »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Renseignez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: titre, montant total, type de contribution, date d'échéance, code comptable PCMN.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Cliquez sur « Envoyer »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pour générer automatiquement les contributions individuelles.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Suivez le recouvrement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: marquez les contributions au fur et à mesure des paiements reçus.</w:t>
      </w:r>
    </w:p>
    <w:p>
      <w:pPr>
        <w:spacing w:after="60" w:before="60"/>
      </w:pPr>
      <w:r>
        <w:t xml:space="preserve"/>
      </w:r>
    </w:p>
    <w:tbl>
      <w:tblPr>
        <w:tblW w:type="dxa" w:w="96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6"/>
      </w:tblGrid>
      <w:tr>
        <w:tc>
          <w:tcPr>
            <w:tcW w:type="dxa" w:w="9646"/>
            <w:tcBorders>
              <w:top w:val="single" w:color="F59E0B" w:sz="12"/>
              <w:left w:val="single" w:color="F59E0B" w:sz="30"/>
              <w:bottom w:val="single" w:color="F59E0B" w:sz="12"/>
              <w:right w:val="single" w:color="F59E0B" w:sz="12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📒  PCMN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Codes comptables PCMN recommandés pour les appels de fonds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700 : Ventes et prestations — Charges communes générales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701 : Charges communes travaux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490 : Acomptes reçus sur commandes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5.2 Contributions des propriétaires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Cette section offre une vue détaillée de toutes les contributions financières par copropriétaire, permettant un suivi précis du recouvrement.</w:t>
      </w:r>
    </w:p>
    <w:p>
      <w:pPr>
        <w:spacing w:after="60" w:before="60"/>
      </w:pPr>
      <w:r>
        <w:t xml:space="preserve"/>
      </w:r>
    </w:p>
    <w:p>
      <w:pPr>
        <w:spacing w:after="200" w:before="80"/>
      </w:pPr>
      <w:r>
        <w:drawing>
          <wp:inline distT="0" distB="0" distL="0" distR="0">
            <wp:extent cx="6381750" cy="3733800"/>
            <wp:effectExtent t="0" r="0" b="0" l="0"/>
            <wp:docPr id="1" name="Contributions des propriétaires" descr="Contributions des propriétaires" title="Contributions des propriétai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Contributions — suivi individuel des paiements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Accédez à « Contributions »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dans le menu.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Filtrez par propriétaire, immeuble ou statut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pour cibler vos recherches.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Cliquez sur « Marquer comme payé »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pour enregistrer un paiement reçu.</w:t>
      </w:r>
    </w:p>
    <w:p>
      <w:pPr>
        <w:spacing w:after="60" w:before="60"/>
      </w:pPr>
      <w:r>
        <w:t xml:space="preserve"/>
      </w:r>
    </w:p>
    <w:tbl>
      <w:tblPr>
        <w:tblW w:type="dxa" w:w="96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6"/>
      </w:tblGrid>
      <w:tr>
        <w:tc>
          <w:tcPr>
            <w:tcW w:type="dxa" w:w="9646"/>
            <w:tcBorders>
              <w:top w:val="single" w:color="059669" w:sz="12"/>
              <w:left w:val="single" w:color="059669" w:sz="30"/>
              <w:bottom w:val="single" w:color="059669" w:sz="12"/>
              <w:right w:val="single" w:color="059669" w:sz="12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 CONSEIL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Les contributions impayées à leur échéance déclenchent automatiquement le workflow de relance configuré dans la section Relances.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Relances de paiement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KoproGo automatise le processus de recouvrement des impayés grâce à un workflow de relance en quatre niveaux d'escalade progressifs.</w:t>
      </w:r>
    </w:p>
    <w:p>
      <w:pPr>
        <w:spacing w:after="60" w:before="60"/>
      </w:pPr>
      <w:r>
        <w:t xml:space="preserve"/>
      </w:r>
    </w:p>
    <w:p>
      <w:pPr>
        <w:spacing w:after="200" w:before="80"/>
      </w:pPr>
      <w:r>
        <w:drawing>
          <wp:inline distT="0" distB="0" distL="0" distR="0">
            <wp:extent cx="6381750" cy="3733800"/>
            <wp:effectExtent t="0" r="0" b="0" l="0"/>
            <wp:docPr id="1" name="Relances de paiement" descr="Relances de paiement" title="Relances de pai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Relances — workflow d'escalade automatique</w:t>
      </w:r>
    </w:p>
    <w:p>
      <w:pPr>
        <w:spacing w:after="60" w:before="60"/>
      </w:pPr>
      <w:r>
        <w:t xml:space="preserve"/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Niveaux d'escalade :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F59E0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Niveau 1 — Rappel amiable (J+15) : premier courrier courtois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F59E0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Niveau 2 — Rappel formel (J+30) : mise en demeure officielle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F59E0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Niveau 3 — Dernier avis (J+45) : avertissement avant action légale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F59E0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Niveau 4 — Action légale (J+60) : transmission au conseil juridique</w:t>
      </w:r>
    </w:p>
    <w:p>
      <w:pPr>
        <w:spacing w:after="60" w:before="60"/>
      </w:pPr>
      <w:r>
        <w:t xml:space="preserve"/>
      </w:r>
    </w:p>
    <w:tbl>
      <w:tblPr>
        <w:tblW w:type="dxa" w:w="96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6"/>
      </w:tblGrid>
      <w:tr>
        <w:tc>
          <w:tcPr>
            <w:tcW w:type="dxa" w:w="9646"/>
            <w:tcBorders>
              <w:top w:val="single" w:color="F59E0B" w:sz="12"/>
              <w:left w:val="single" w:color="F59E0B" w:sz="30"/>
              <w:bottom w:val="single" w:color="F59E0B" w:sz="12"/>
              <w:right w:val="single" w:color="F59E0B" w:sz="12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📒  PCMN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Calcul des pénalités de retard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KoproGo calcule automatiquement les pénalités selon le taux légal belge (8% annuel).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Formule : Montant dû × 8% × (jours de retard / 365)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Ces pénalités sont traçables et exportables pour usage légal.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Vérifiez les relances en attente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depuis la liste filtrée par statut.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Envoyez la relance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via le bouton « Envoyer relance ».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Escaladez manuellement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si nécessaire via « Escalader ».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Archivez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une fois le paiement reçu.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Budgets prévisionnels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gestion budgétaire de KoproGo permet d'établir des budgets prévisionnels annuels par immeuble, de les soumettre à approbation en assemblée générale, et de suivre les écarts budgétaires en temps réel.</w:t>
      </w:r>
    </w:p>
    <w:p>
      <w:pPr>
        <w:spacing w:after="60" w:before="60"/>
      </w:pPr>
      <w:r>
        <w:t xml:space="preserve"/>
      </w:r>
    </w:p>
    <w:p>
      <w:pPr>
        <w:spacing w:after="200" w:before="80"/>
      </w:pPr>
      <w:r>
        <w:drawing>
          <wp:inline distT="0" distB="0" distL="0" distR="0">
            <wp:extent cx="6381750" cy="3733800"/>
            <wp:effectExtent t="0" r="0" b="0" l="0"/>
            <wp:docPr id="1" name="Gestion des budgets" descr="Gestion des budgets" title="Gestion des budg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Budgets — prévisionnel annuel et analyse des écarts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Accédez à « Budgets »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dans le menu.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Créez un nouveau budget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en précisant l'exercice fiscal et l'immeuble.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Saisissez les lignes budgétaires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par poste de dépense (code PCMN recommandé).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Soumettez pour approbation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une assemblée générale doit être associée.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Consultez l'analyse de variance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(budget vs réalisé) via le rapport de variance.</w:t>
      </w:r>
    </w:p>
    <w:p>
      <w:pPr>
        <w:spacing w:after="60" w:before="60"/>
      </w:pPr>
      <w:r>
        <w:t xml:space="preserve"/>
      </w:r>
    </w:p>
    <w:tbl>
      <w:tblPr>
        <w:tblW w:type="dxa" w:w="96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6"/>
      </w:tblGrid>
      <w:tr>
        <w:tc>
          <w:tcPr>
            <w:tcW w:type="dxa" w:w="9646"/>
            <w:tcBorders>
              <w:top w:val="single" w:color="2563EB" w:sz="12"/>
              <w:left w:val="single" w:color="2563EB" w:sz="30"/>
              <w:bottom w:val="single" w:color="2563EB" w:sz="12"/>
              <w:right w:val="single" w:color="2563EB" w:sz="1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ℹ️  INFO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États du budget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Brouillon → Soumis → Approuvé / Refusé → Archivé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Un budget approuvé constitue la référence pour l'analyse des écarts tout au long de l'exercice.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Le rapport de variance affiche automatiquement les dépassements en rouge.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États de date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L'état de date est un document légalement obligatoire en droit belge lors de la vente d'un lot de copropriété. Il atteste de la situation financière du lot vendu vis-à-vis de la copropriété à la date de la vente.</w:t>
      </w:r>
    </w:p>
    <w:p>
      <w:pPr>
        <w:spacing w:after="60" w:before="60"/>
      </w:pPr>
      <w:r>
        <w:t xml:space="preserve"/>
      </w:r>
    </w:p>
    <w:p>
      <w:pPr>
        <w:spacing w:after="200" w:before="80"/>
      </w:pPr>
      <w:r>
        <w:drawing>
          <wp:inline distT="0" distB="0" distL="0" distR="0">
            <wp:extent cx="6381750" cy="3733800"/>
            <wp:effectExtent t="0" r="0" b="0" l="0"/>
            <wp:docPr id="1" name="États de date" descr="États de date" title="États de 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États de date — gestion des documents pour ventes immobilières</w:t>
      </w:r>
    </w:p>
    <w:p>
      <w:pPr>
        <w:spacing w:after="60" w:before="60"/>
      </w:pPr>
      <w:r>
        <w:t xml:space="preserve"/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L'état de date comprend obligatoirement :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F59E0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Charges ordinaires dues par le vendeur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F59E0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Part du fonds de réserve revenant à l'acheteur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F59E0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Travaux votés en AG non encore exécutés (à charge de l'acheteur)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F59E0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Arriérés de charges éventuels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F59E0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Résultats des deux derniers exercices comptables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Créez une demande d'état de date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dès notification de la vente.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Renseignez les données financières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via « Modifier les données financières ».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Générez le PDF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et transmettez au notaire.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Marquez comme « Livré »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pour clôturer le dossier.</w:t>
      </w:r>
    </w:p>
    <w:p>
      <w:pPr>
        <w:spacing w:after="60" w:before="60"/>
      </w:pPr>
      <w:r>
        <w:t xml:space="preserve"/>
      </w:r>
    </w:p>
    <w:tbl>
      <w:tblPr>
        <w:tblW w:type="dxa" w:w="96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6"/>
      </w:tblGrid>
      <w:tr>
        <w:tc>
          <w:tcPr>
            <w:tcW w:type="dxa" w:w="9646"/>
            <w:tcBorders>
              <w:top w:val="single" w:color="D97706" w:sz="12"/>
              <w:left w:val="single" w:color="D97706" w:sz="30"/>
              <w:bottom w:val="single" w:color="D97706" w:sz="12"/>
              <w:right w:val="single" w:color="D97706" w:sz="12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 ATTENTION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Délai légal : 10 jours pour établir l'état de date après demande du notaire.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Passé 3 mois depuis la date de référence, l'état de date est automatiquement marqué « Expiré ».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KoproGo liste les états de date en retard (&gt; 10 jours) et expirés pour faciliter le suivi.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9. Écritures comptables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module d'écritures comptables permet la saisie manuelle d'écritures en partie double selon le Plan Comptable Minimum Normalisé belge. Chaque écriture est réversible (sauf après clôture d'exercice) et traçable.</w:t>
      </w:r>
    </w:p>
    <w:p>
      <w:pPr>
        <w:spacing w:after="60" w:before="60"/>
      </w:pPr>
      <w:r>
        <w:t xml:space="preserve"/>
      </w:r>
    </w:p>
    <w:p>
      <w:pPr>
        <w:spacing w:after="200" w:before="80"/>
      </w:pPr>
      <w:r>
        <w:drawing>
          <wp:inline distT="0" distB="0" distL="0" distR="0">
            <wp:extent cx="6381750" cy="3733800"/>
            <wp:effectExtent t="0" r="0" b="0" l="0"/>
            <wp:docPr id="1" name="Écritures comptables" descr="Écritures comptables" title="Écritures comp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Écritures comptables — journal de saisie en partie double</w:t>
      </w:r>
    </w:p>
    <w:p>
      <w:pPr>
        <w:spacing w:after="60" w:before="60"/>
      </w:pPr>
      <w:r>
        <w:t xml:space="preserve"/>
      </w:r>
    </w:p>
    <w:tbl>
      <w:tblPr>
        <w:tblW w:type="dxa" w:w="96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6"/>
      </w:tblGrid>
      <w:tr>
        <w:tc>
          <w:tcPr>
            <w:tcW w:type="dxa" w:w="9646"/>
            <w:tcBorders>
              <w:top w:val="single" w:color="F59E0B" w:sz="12"/>
              <w:left w:val="single" w:color="F59E0B" w:sz="30"/>
              <w:bottom w:val="single" w:color="F59E0B" w:sz="12"/>
              <w:right w:val="single" w:color="F59E0B" w:sz="12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📒  PCMN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Principe de la partie double : chaque écriture équilibre Débit = Crédit.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Journaux disponibles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ACH (Achats) : factures fournisseurs, charges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VEN (Ventes) : appels de fonds, produits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FIN (Financier) : opérations bancaires, paiements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ODS (Opérations diverses) : régularisations, corrections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Accédez à « Écritures comptables »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dans le menu.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Cliquez sur « + Nouvelle écriture »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Sélectionnez le journal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(ACH, VEN, FIN ou ODS) et la date.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Ajoutez les lignes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: compte PCMN, libellé, montant Débit ou Crédit.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Vérifiez l'équilibre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: le total Débit doit égaler le total Crédit.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6.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Validez l'écriture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elle est désormais tracée et non modifiable.</w:t>
      </w:r>
    </w:p>
    <w:p>
      <w:pPr>
        <w:spacing w:after="60" w:before="60"/>
      </w:pPr>
      <w:r>
        <w:t xml:space="preserve"/>
      </w:r>
    </w:p>
    <w:tbl>
      <w:tblPr>
        <w:tblW w:type="dxa" w:w="96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6"/>
      </w:tblGrid>
      <w:tr>
        <w:tc>
          <w:tcPr>
            <w:tcW w:type="dxa" w:w="9646"/>
            <w:tcBorders>
              <w:top w:val="single" w:color="F59E0B" w:sz="12"/>
              <w:left w:val="single" w:color="F59E0B" w:sz="30"/>
              <w:bottom w:val="single" w:color="F59E0B" w:sz="12"/>
              <w:right w:val="single" w:color="F59E0B" w:sz="12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📒  PCMN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Comptes PCMN fréquemment utilisés en copropriété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400 : Fournisseurs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411 : Copropriétaires — charges à recouvrer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550 : Compte bancaire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612 : Entretiens et réparations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613 : Assurances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614 : Honoraires syndic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• 740 : Produits financiers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10. Rapports financiers PCMN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KoproGo génère automatiquement les états financiers légaux belges à partir des données saisies : bilan comptable et compte de résultats, conformément au PCMN.</w:t>
      </w:r>
    </w:p>
    <w:p>
      <w:pPr>
        <w:spacing w:after="60" w:before="60"/>
      </w:pPr>
      <w:r>
        <w:t xml:space="preserve"/>
      </w:r>
    </w:p>
    <w:p>
      <w:pPr>
        <w:spacing w:after="200" w:before="80"/>
      </w:pPr>
      <w:r>
        <w:drawing>
          <wp:inline distT="0" distB="0" distL="0" distR="0">
            <wp:extent cx="6381750" cy="3733800"/>
            <wp:effectExtent t="0" r="0" b="0" l="0"/>
            <wp:docPr id="1" name="Rapports PCMN" descr="Rapports PCMN" title="Rapports PCM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Rapports PCMN — bilan et compte de résultats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Bilan comptable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bilan présente la situation patrimoniale de la copropriété à une date donnée, avec :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F59E0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Actif : immobilisations, créances, trésorerie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F59E0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Passif : capitaux propres, dettes fournisseurs, provisions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Compte de résultats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compte de résultats détaille les charges et produits de l'exercice :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F59E0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Charges (classe 6) : entretien, assurances, honoraires, énergie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F59E0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Produits (classe 7) : appels de fonds, intérêts, produits divers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F59E0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Résultat : excédent ou déficit de l'exercice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Accédez à « Rapports PCMN »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Sélectionnez le type de rapport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: Bilan ou Compte de résultats.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Choisissez la période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(exercice fiscal ou dates personnalisées).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Exportez en PDF ou Excel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pour transmission aux copropriétaires ou à l'AG.</w:t>
      </w:r>
    </w:p>
    <w:p>
      <w:pPr>
        <w:spacing w:after="60" w:before="60"/>
      </w:pPr>
      <w:r>
        <w:t xml:space="preserve"/>
      </w:r>
    </w:p>
    <w:tbl>
      <w:tblPr>
        <w:tblW w:type="dxa" w:w="96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6"/>
      </w:tblGrid>
      <w:tr>
        <w:tc>
          <w:tcPr>
            <w:tcW w:type="dxa" w:w="9646"/>
            <w:tcBorders>
              <w:top w:val="single" w:color="059669" w:sz="12"/>
              <w:left w:val="single" w:color="059669" w:sz="30"/>
              <w:bottom w:val="single" w:color="059669" w:sz="12"/>
              <w:right w:val="single" w:color="059669" w:sz="12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 CONSEIL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Les rapports PCMN sont générés automatiquement à partir des écritures de journal et des charges enregistrées.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Pensez à vérifier que toutes les écritures de clôture sont saisies avant de générer les rapports annuels.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11. Fonctionnalités communautaires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En tant que comptable, vous avez également accès aux fonctionnalités communautaires de KoproGo, pour pouvoir participer à la vie de la copropriété et consulter les activités en cours.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11.1 SEL — Système d'Échange Local</w:t>
      </w:r>
    </w:p>
    <w:p>
      <w:pPr>
        <w:spacing w:after="200" w:before="80"/>
      </w:pPr>
      <w:r>
        <w:drawing>
          <wp:inline distT="0" distB="0" distL="0" distR="0">
            <wp:extent cx="6381750" cy="3733800"/>
            <wp:effectExtent t="0" r="0" b="0" l="0"/>
            <wp:docPr id="1" name="SEL - Échanges locaux" descr="SEL - Échanges locaux" title="SEL - Échanges loca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SEL — échanges de services en temps-crédit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11.2 Sondages</w:t>
      </w:r>
    </w:p>
    <w:p>
      <w:pPr>
        <w:spacing w:after="200" w:before="80"/>
      </w:pPr>
      <w:r>
        <w:drawing>
          <wp:inline distT="0" distB="0" distL="0" distR="0">
            <wp:extent cx="6381750" cy="3733800"/>
            <wp:effectExtent t="0" r="0" b="0" l="0"/>
            <wp:docPr id="1" name="Sondages" descr="Sondages" title="Sond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Sondages — consultation des copropriétaires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11.3 Tableau d'affichage</w:t>
      </w:r>
    </w:p>
    <w:p>
      <w:pPr>
        <w:spacing w:after="200" w:before="80"/>
      </w:pPr>
      <w:r>
        <w:drawing>
          <wp:inline distT="0" distB="0" distL="0" distR="0">
            <wp:extent cx="6381750" cy="3733800"/>
            <wp:effectExtent t="0" r="0" b="0" l="0"/>
            <wp:docPr id="1" name="Tableau d'affichage" descr="Tableau d'affichage" title="Tableau d'affich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Tableau d'affichage — annonces et informations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11.4 Réservations d'espaces</w:t>
      </w:r>
    </w:p>
    <w:p>
      <w:pPr>
        <w:spacing w:after="200" w:before="80"/>
      </w:pPr>
      <w:r>
        <w:drawing>
          <wp:inline distT="0" distB="0" distL="0" distR="0">
            <wp:extent cx="6381750" cy="3733800"/>
            <wp:effectExtent t="0" r="0" b="0" l="0"/>
            <wp:docPr id="1" name="Réservations" descr="Réservations" title="Réserv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Réservations — espaces communs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11.5 Bibliothèque d'objets partagés</w:t>
      </w:r>
    </w:p>
    <w:p>
      <w:pPr>
        <w:spacing w:after="200" w:before="80"/>
      </w:pPr>
      <w:r>
        <w:drawing>
          <wp:inline distT="0" distB="0" distL="0" distR="0">
            <wp:extent cx="6381750" cy="3733800"/>
            <wp:effectExtent t="0" r="0" b="0" l="0"/>
            <wp:docPr id="1" name="Bibliothèque d'objets" descr="Bibliothèque d'objets" title="Bibliothèque d'obj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Bibliothèque — objets mis en partage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11.6 Annuaire de compétences</w:t>
      </w:r>
    </w:p>
    <w:p>
      <w:pPr>
        <w:spacing w:after="200" w:before="80"/>
      </w:pPr>
      <w:r>
        <w:drawing>
          <wp:inline distT="0" distB="0" distL="0" distR="0">
            <wp:extent cx="6381750" cy="3733800"/>
            <wp:effectExtent t="0" r="0" b="0" l="0"/>
            <wp:docPr id="1" name="Annuaire de compétences" descr="Annuaire de compétences" title="Annuaire de compéte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Annuaire — compétences de la copropriété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11.7 Achats groupés d'énergie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module d'achats groupés d'énergie permet à la copropriété de négocier collectivement les tarifs d'électricité et de gaz. En tant que comptable, vous pouvez contribuer à l'analyse financière des offres.</w:t>
      </w:r>
    </w:p>
    <w:p>
      <w:pPr>
        <w:spacing w:after="60" w:before="60"/>
      </w:pPr>
      <w:r>
        <w:t xml:space="preserve"/>
      </w:r>
    </w:p>
    <w:p>
      <w:pPr>
        <w:spacing w:after="200" w:before="80"/>
      </w:pPr>
      <w:r>
        <w:drawing>
          <wp:inline distT="0" distB="0" distL="0" distR="0">
            <wp:extent cx="6381750" cy="3733800"/>
            <wp:effectExtent t="0" r="0" b="0" l="0"/>
            <wp:docPr id="1" name="Achats groupés énergie" descr="Achats groupés énergie" title="Achats groupés énerg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Énergie — campagnes d'achat groupé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11.8 Gamification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gamification récompense la participation active des copropriétaires à la vie de la communauté via des badges, points et challenges.</w:t>
      </w:r>
    </w:p>
    <w:p>
      <w:pPr>
        <w:spacing w:after="60" w:before="60"/>
      </w:pPr>
      <w:r>
        <w:t xml:space="preserve"/>
      </w:r>
    </w:p>
    <w:p>
      <w:pPr>
        <w:spacing w:after="200" w:before="80"/>
      </w:pPr>
      <w:r>
        <w:drawing>
          <wp:inline distT="0" distB="0" distL="0" distR="0">
            <wp:extent cx="6381750" cy="3733800"/>
            <wp:effectExtent t="0" r="0" b="0" l="0"/>
            <wp:docPr id="1" name="Gamification" descr="Gamification" title="Gam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Gamification — achievements et classement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12. Profil, paramètres et RGPD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12.1 Mon profil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page Profil vous permet de gérer vos informations personnelles, votre mot de passe et vos préférences d'affichage.</w:t>
      </w:r>
    </w:p>
    <w:p>
      <w:pPr>
        <w:spacing w:after="60" w:before="60"/>
      </w:pPr>
      <w:r>
        <w:t xml:space="preserve"/>
      </w:r>
    </w:p>
    <w:p>
      <w:pPr>
        <w:spacing w:after="200" w:before="80"/>
      </w:pPr>
      <w:r>
        <w:drawing>
          <wp:inline distT="0" distB="0" distL="0" distR="0">
            <wp:extent cx="6381750" cy="3733800"/>
            <wp:effectExtent t="0" r="0" b="0" l="0"/>
            <wp:docPr id="1" name="Profil utilisateur" descr="Profil utilisateur" title="Profil utilisate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Profil — informations personnelles et sécurité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Cliquez sur votre nom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en bas à gauche, puis « Profil ».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Modifiez vos informations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: prénom, nom, email, téléphone.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Changez votre mot de passe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via la section dédiée.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12.2 Paramètres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Les paramètres permettent de configurer vos préférences de notification, la langue de l'interface et la sécurité de votre compte (2FA).</w:t>
      </w:r>
    </w:p>
    <w:p>
      <w:pPr>
        <w:spacing w:after="60" w:before="60"/>
      </w:pPr>
      <w:r>
        <w:t xml:space="preserve"/>
      </w:r>
    </w:p>
    <w:p>
      <w:pPr>
        <w:spacing w:after="200" w:before="80"/>
      </w:pPr>
      <w:r>
        <w:drawing>
          <wp:inline distT="0" distB="0" distL="0" distR="0">
            <wp:extent cx="6381750" cy="3733800"/>
            <wp:effectExtent t="0" r="0" b="0" l="0"/>
            <wp:docPr id="1" name="Paramètres" descr="Paramètres" title="Paramèt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Paramètres — préférences et sécurité</w:t>
      </w:r>
    </w:p>
    <w:p>
      <w:pPr>
        <w:spacing w:after="60" w:before="60"/>
      </w:pPr>
      <w:r>
        <w:t xml:space="preserve"/>
      </w:r>
    </w:p>
    <w:tbl>
      <w:tblPr>
        <w:tblW w:type="dxa" w:w="96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6"/>
      </w:tblGrid>
      <w:tr>
        <w:tc>
          <w:tcPr>
            <w:tcW w:type="dxa" w:w="9646"/>
            <w:tcBorders>
              <w:top w:val="single" w:color="059669" w:sz="12"/>
              <w:left w:val="single" w:color="059669" w:sz="30"/>
              <w:bottom w:val="single" w:color="059669" w:sz="12"/>
              <w:right w:val="single" w:color="059669" w:sz="12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 CONSEIL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Authentification à deux facteurs (2FA) : fortement recommandée pour les comptes comptables.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Activez la 2FA depuis Paramètres &gt; Sécurité en scannant le QR code avec Google Authenticator ou Authy.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Conservez précieusement les 8 codes de récupération générés lors de l'activation.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12.3 Données RGPD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KoproGo implémente l'ensemble des droits RGPD. En tant que comptable, vous pouvez exercer vos droits personnels depuis cette section.</w:t>
      </w:r>
    </w:p>
    <w:p>
      <w:pPr>
        <w:spacing w:after="60" w:before="60"/>
      </w:pPr>
      <w:r>
        <w:t xml:space="preserve"/>
      </w:r>
    </w:p>
    <w:p>
      <w:pPr>
        <w:spacing w:after="200" w:before="80"/>
      </w:pPr>
      <w:r>
        <w:drawing>
          <wp:inline distT="0" distB="0" distL="0" distR="0">
            <wp:extent cx="6381750" cy="3733800"/>
            <wp:effectExtent t="0" r="0" b="0" l="0"/>
            <wp:docPr id="1" name="Données RGPD" descr="Données RGPD" title="Données RGP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RGPD — droits et gestion des données personnelles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F59E0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Art. 15 — Droit d'accès : téléchargez l'export complet de vos données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F59E0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Art. 16 — Rectification : corrigez vos données personnelles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F59E0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Art. 17 — Effacement : supprimez votre compte (sous réserve des obligations légales de conservation)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F59E0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Art. 18 — Limitation : suspendez le traitement de vos données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color w:val="F59E0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Art. 21 — Opposition : désactivez les communications marketing</w:t>
      </w:r>
    </w:p>
    <w:p>
      <w:pPr>
        <w:spacing w:after="60" w:before="60"/>
      </w:pPr>
      <w:r>
        <w:t xml:space="preserve"/>
      </w:r>
    </w:p>
    <w:tbl>
      <w:tblPr>
        <w:tblW w:type="dxa" w:w="96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6"/>
      </w:tblGrid>
      <w:tr>
        <w:tc>
          <w:tcPr>
            <w:tcW w:type="dxa" w:w="9646"/>
            <w:tcBorders>
              <w:top w:val="single" w:color="F59E0B" w:sz="12"/>
              <w:left w:val="single" w:color="F59E0B" w:sz="30"/>
              <w:bottom w:val="single" w:color="F59E0B" w:sz="12"/>
              <w:right w:val="single" w:color="F59E0B" w:sz="12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📒  PCMN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Obligations légales de conservation comptable (Art. 8 C. soc. belge)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Les pièces comptables (factures, journaux, bilans) doivent être conservées 7 ans minimum.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Le droit à l'effacement (Art. 17 RGPD) ne s'applique pas aux données soumises à obligation légale de conservation.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Annexe — Référence rapide PCMN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Tableau des codes comptables les plus utilisés en gestion de copropriété belge :</w:t>
      </w:r>
    </w:p>
    <w:p>
      <w:pPr>
        <w:spacing w:after="60" w:before="60"/>
      </w:pPr>
      <w:r>
        <w:t xml:space="preserve"/>
      </w:r>
    </w:p>
    <w:tbl>
      <w:tblPr>
        <w:tblW w:type="dxa" w:w="96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3046"/>
      </w:tblGrid>
      <w:tr>
        <w:trPr>
          <w:tblHeader/>
        </w:trPr>
        <w:tc>
          <w:tcPr>
            <w:tcW w:type="dxa" w:w="1800"/>
            <w:tcBorders>
              <w:top w:val="single" w:color="1E40AF" w:sz="4"/>
              <w:left w:val="single" w:color="FFFFFF" w:sz="2"/>
              <w:bottom w:val="single" w:color="1E40AF" w:sz="4"/>
              <w:right w:val="single" w:color="FFFFFF" w:sz="2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1E40AF" w:sz="4"/>
              <w:left w:val="single" w:color="FFFFFF" w:sz="2"/>
              <w:bottom w:val="single" w:color="1E40AF" w:sz="4"/>
              <w:right w:val="single" w:color="FFFFFF" w:sz="2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Intitulé PCMN</w:t>
            </w:r>
          </w:p>
        </w:tc>
        <w:tc>
          <w:tcPr>
            <w:tcW w:type="dxa" w:w="2400"/>
            <w:tcBorders>
              <w:top w:val="single" w:color="1E40AF" w:sz="4"/>
              <w:left w:val="single" w:color="FFFFFF" w:sz="2"/>
              <w:bottom w:val="single" w:color="1E40AF" w:sz="4"/>
              <w:right w:val="single" w:color="FFFFFF" w:sz="2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46"/>
            <w:tcBorders>
              <w:top w:val="single" w:color="1E40AF" w:sz="4"/>
              <w:left w:val="single" w:color="FFFFFF" w:sz="2"/>
              <w:bottom w:val="single" w:color="1E40AF" w:sz="4"/>
              <w:right w:val="single" w:color="FFFFFF" w:sz="2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copropriété</w:t>
            </w:r>
          </w:p>
        </w:tc>
      </w:tr>
      <w:tr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400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Fournisseurs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Passif</w:t>
            </w:r>
          </w:p>
        </w:tc>
        <w:tc>
          <w:tcPr>
            <w:tcW w:type="dxa" w:w="304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Dettes envers prestataires</w:t>
            </w:r>
          </w:p>
        </w:tc>
      </w:tr>
      <w:tr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411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Copropriétaires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Actif</w:t>
            </w:r>
          </w:p>
        </w:tc>
        <w:tc>
          <w:tcPr>
            <w:tcW w:type="dxa" w:w="304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Charges à recouvrer</w:t>
            </w:r>
          </w:p>
        </w:tc>
      </w:tr>
      <w:tr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550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Compte bancaire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Actif</w:t>
            </w:r>
          </w:p>
        </w:tc>
        <w:tc>
          <w:tcPr>
            <w:tcW w:type="dxa" w:w="304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Trésorerie copropriété</w:t>
            </w:r>
          </w:p>
        </w:tc>
      </w:tr>
      <w:tr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612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Entretiens/réparations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Charges</w:t>
            </w:r>
          </w:p>
        </w:tc>
        <w:tc>
          <w:tcPr>
            <w:tcW w:type="dxa" w:w="304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Maintenance parties communes</w:t>
            </w:r>
          </w:p>
        </w:tc>
      </w:tr>
      <w:tr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613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Assurances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Charges</w:t>
            </w:r>
          </w:p>
        </w:tc>
        <w:tc>
          <w:tcPr>
            <w:tcW w:type="dxa" w:w="304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Prime assurance immeuble</w:t>
            </w:r>
          </w:p>
        </w:tc>
      </w:tr>
      <w:tr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614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Honoraires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Charges</w:t>
            </w:r>
          </w:p>
        </w:tc>
        <w:tc>
          <w:tcPr>
            <w:tcW w:type="dxa" w:w="304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Rémunération syndic/comptable</w:t>
            </w:r>
          </w:p>
        </w:tc>
      </w:tr>
      <w:tr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615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Frais de justice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Charges</w:t>
            </w:r>
          </w:p>
        </w:tc>
        <w:tc>
          <w:tcPr>
            <w:tcW w:type="dxa" w:w="304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Contentieux copropriétaires</w:t>
            </w:r>
          </w:p>
        </w:tc>
      </w:tr>
      <w:tr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616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Frais d'AG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Charges</w:t>
            </w:r>
          </w:p>
        </w:tc>
        <w:tc>
          <w:tcPr>
            <w:tcW w:type="dxa" w:w="304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Organisation assemblées générales</w:t>
            </w:r>
          </w:p>
        </w:tc>
      </w:tr>
      <w:tr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617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Énergie parties communes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Charges</w:t>
            </w:r>
          </w:p>
        </w:tc>
        <w:tc>
          <w:tcPr>
            <w:tcW w:type="dxa" w:w="304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Électricité, eau, chauffage</w:t>
            </w:r>
          </w:p>
        </w:tc>
      </w:tr>
      <w:tr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700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Charges communes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Produits</w:t>
            </w:r>
          </w:p>
        </w:tc>
        <w:tc>
          <w:tcPr>
            <w:tcW w:type="dxa" w:w="304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Appels de fonds ordinaires</w:t>
            </w:r>
          </w:p>
        </w:tc>
      </w:tr>
      <w:tr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701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Charges travaux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Produits</w:t>
            </w:r>
          </w:p>
        </w:tc>
        <w:tc>
          <w:tcPr>
            <w:tcW w:type="dxa" w:w="304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Appels de fonds exceptionnels</w:t>
            </w:r>
          </w:p>
        </w:tc>
      </w:tr>
      <w:tr>
        <w:tc>
          <w:tcPr>
            <w:tcW w:type="dxa" w:w="1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740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Produits financiers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Produits</w:t>
            </w:r>
          </w:p>
        </w:tc>
        <w:tc>
          <w:tcPr>
            <w:tcW w:type="dxa" w:w="304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Intérêts, pénalités de retard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1D5DB" w:sz="4" w:space="1"/>
        </w:pBdr>
        <w:spacing w:after="120" w:before="12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KoproGo — Gestion de Copropriété SaaS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© 2025 KoproGo · Architecture Hexagonale · Rust · Actix-web · PostgreSQL · GDPR · ISO 27001</w:t>
      </w:r>
    </w:p>
    <w:sectPr>
      <w:headerReference w:type="default" r:id="rId7"/>
      <w:footerReference w:type="default" r:id="rId8"/>
      <w:pgSz w:w="11906" w:h="16838" w:orient="portrait"/>
      <w:pgMar w:top="1130" w:right="1130" w:bottom="1130" w:left="113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1"/>
      </w:pBdr>
      <w:tabs>
        <w:tab w:val="right" w:pos="9000"/>
      </w:tabs>
      <w:spacing w:after="0" w:before="120"/>
    </w:pPr>
    <w:r>
      <w:rPr>
        <w:rFonts w:ascii="Arial" w:cs="Arial" w:eastAsia="Arial" w:hAnsi="Arial"/>
        <w:color w:val="6B7280"/>
        <w:sz w:val="18"/>
        <w:szCs w:val="18"/>
      </w:rPr>
      <w:t xml:space="preserve">© 2025 KoproGo — Gestion de Copropriété SaaS	</w:t>
    </w: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9E0B" w:sz="4" w:space="1"/>
      </w:pBdr>
      <w:tabs>
        <w:tab w:val="right" w:pos="9000"/>
      </w:tabs>
      <w:spacing w:after="120" w:before="0"/>
    </w:pPr>
    <w:r>
      <w:rPr>
        <w:rFonts w:ascii="Arial" w:cs="Arial" w:eastAsia="Arial" w:hAnsi="Arial"/>
        <w:b/>
        <w:bCs/>
        <w:color w:val="10B981"/>
        <w:sz w:val="18"/>
        <w:szCs w:val="18"/>
      </w:rPr>
      <w:t xml:space="preserve">KoproGo  </w:t>
    </w:r>
    <w:r>
      <w:rPr>
        <w:rFonts w:ascii="Arial" w:cs="Arial" w:eastAsia="Arial" w:hAnsi="Arial"/>
        <w:color w:val="6B7280"/>
        <w:sz w:val="18"/>
        <w:szCs w:val="18"/>
      </w:rPr>
      <w:t xml:space="preserve">— Guide Utilisateur Comptable	</w:t>
    </w: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5966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2f7a1580cf48173ea3a3383ea71e20792896c49.jpg"/><Relationship Id="rId10" Type="http://schemas.openxmlformats.org/officeDocument/2006/relationships/image" Target="media/ce649f52abbbdd6539a844ccacbbc044c492eae2.jpg"/><Relationship Id="rId11" Type="http://schemas.openxmlformats.org/officeDocument/2006/relationships/image" Target="media/ac1c691a9958b23d9aa85bfc0c792b3c5f68a99e.jpg"/><Relationship Id="rId12" Type="http://schemas.openxmlformats.org/officeDocument/2006/relationships/image" Target="media/d5ebf8cf3fe992478a6d1aea76a381c21d414144.jpg"/><Relationship Id="rId13" Type="http://schemas.openxmlformats.org/officeDocument/2006/relationships/image" Target="media/cbe7656134407202d95ed3573550e9cc5ea07a21.jpg"/><Relationship Id="rId14" Type="http://schemas.openxmlformats.org/officeDocument/2006/relationships/image" Target="media/9634d21d2abdbb7043c67f62c3fce0b15535f17e.jpg"/><Relationship Id="rId15" Type="http://schemas.openxmlformats.org/officeDocument/2006/relationships/image" Target="media/1e22005c40ed4151a895daab50e224b8d2b581fc.jpg"/><Relationship Id="rId16" Type="http://schemas.openxmlformats.org/officeDocument/2006/relationships/image" Target="media/3f579d3ffe5294f43ee34c70e7e26e16de128596.jpg"/><Relationship Id="rId17" Type="http://schemas.openxmlformats.org/officeDocument/2006/relationships/image" Target="media/4e8254d060ff56334f9b9d9e286d619861192d84.jpg"/><Relationship Id="rId18" Type="http://schemas.openxmlformats.org/officeDocument/2006/relationships/image" Target="media/718369a5ac3f78fb1e654813d5bdfc743ffb0ee9.jpg"/><Relationship Id="rId19" Type="http://schemas.openxmlformats.org/officeDocument/2006/relationships/image" Target="media/0b15540e212bacf175676e6eb99b6adf7d79d4f8.jpg"/><Relationship Id="rId20" Type="http://schemas.openxmlformats.org/officeDocument/2006/relationships/image" Target="media/b5bb0bab468b9cc2d8288336e0be6286f90c73b6.jpg"/><Relationship Id="rId21" Type="http://schemas.openxmlformats.org/officeDocument/2006/relationships/image" Target="media/2c0d8e5d2cdded3efec23b39ce50309587c62f1a.jpg"/><Relationship Id="rId22" Type="http://schemas.openxmlformats.org/officeDocument/2006/relationships/image" Target="media/6f582421a22bbe1d1170c13606ace09183fe4672.jpg"/><Relationship Id="rId23" Type="http://schemas.openxmlformats.org/officeDocument/2006/relationships/image" Target="media/d0a2e4b9e11b2719d704e17fc160589698937f1a.jpg"/><Relationship Id="rId24" Type="http://schemas.openxmlformats.org/officeDocument/2006/relationships/image" Target="media/7468dbb5c8423a12d9d618a93c12da6033574850.jpg"/><Relationship Id="rId25" Type="http://schemas.openxmlformats.org/officeDocument/2006/relationships/image" Target="media/39d67688fc7e15c1a46b0110c51b3dd88715260a.jpg"/><Relationship Id="rId26" Type="http://schemas.openxmlformats.org/officeDocument/2006/relationships/image" Target="media/c60ea5475bb1e6828b28adad81787f4c7aab192e.jpg"/><Relationship Id="rId27" Type="http://schemas.openxmlformats.org/officeDocument/2006/relationships/image" Target="media/5289d24d70a8f61e3778c3683a83bb5610d04b5c.jpg"/><Relationship Id="rId28" Type="http://schemas.openxmlformats.org/officeDocument/2006/relationships/image" Target="media/ede0a444e5674fb92636d1a221b891b2eeb291f1.jpg"/><Relationship Id="rId29" Type="http://schemas.openxmlformats.org/officeDocument/2006/relationships/image" Target="media/fdba57519deadc70ce3d021daf0d0dd8cc8bc512.jpg"/><Relationship Id="rId30" Type="http://schemas.openxmlformats.org/officeDocument/2006/relationships/image" Target="media/167e8a2090b49b0c6bca3a71029c02bc6d2a65f8.jpg"/><Relationship Id="rId31" Type="http://schemas.openxmlformats.org/officeDocument/2006/relationships/image" Target="media/423c2ed4f33c26bae5d03f7a0bd8bc933e15b126.jp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2026-03-23T22:53:03.966Z</dcterms:created>
  <dcterms:modified xsi:type="dcterms:W3CDTF">2026-03-23T22:53:03.967Z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