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KoproGo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CAF50"/>
          <w:sz w:val="32"/>
          <w:szCs w:val="32"/>
        </w:rPr>
        <w:t xml:space="preserve">Plateforme SaaS de Gestion de Copropriété</w:t>
      </w:r>
    </w:p>
    <w:p>
      <w:pPr>
        <w:spacing w:after="1000" w:before="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Documentation Administrateur</w:t>
      </w:r>
    </w:p>
    <w:p>
      <w:pPr>
        <w:pBdr>
          <w:top w:val="single" w:color="2E7D32" w:sz="6" w:space="4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Guide complet avec captures d'écran annotées</w:t>
      </w:r>
    </w:p>
    <w:p>
      <w:pPr>
        <w:spacing w:after="200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Mars 2026  •  Version 0.1</w:t>
      </w:r>
    </w:p>
    <w:p>
      <w:r>
        <w:br w:type="page"/>
      </w:r>
    </w:p>
    <w:p>
      <w:pPr>
        <w:pStyle w:val="Heading1"/>
        <w:spacing w:after="400" w:before="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guide décrit comment utiliser la plateforme d'administration KoproGo. Il est destiné aux administrateurs système, syndics, et étudiants en formation sur la plateforme.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🌐 URL locale : http://localhost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📧 Compte syndic : gilmry+syndic@gmail.com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🔑 Rôles disponibles : superadmin, syndic, comptable, propriétaire, prestataire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🏗 Stack : Rust + Actix-web (backend) | Astro + Svelte (frontend) | PostgreSQL 15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navigation se fait via le menu latéral gauche, organisé en trois sections : Principal, Gestion, et Communauté. Chaque section donne accès à un module fonctionnel.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Connexion à la plateforme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page de connexion est le point d'entrée de KoproGo. Elle permet à tous les utilisateurs (administrateurs, syndics, propriétaires) de s'authentifier.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286500" cy="3829050"/>
            <wp:effectExtent t="0" r="0" b="0" l="0"/>
            <wp:docPr id="1" name="01_connexion" descr="01_connexion" title="01_connex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Étapes pour se connecter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Ouvrez votre navigateur et accédez à http://localhost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Dans le champ Email, saisissez votre adresse e-mail (ex: gilmry+syndic@gmail.com)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Dans le champ Mot de passe, entrez votre mot de passe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Cochez "Se souvenir de moi" pour rester connecté entre les sessions (facultatif)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Cliquez sur le bouton vert Se connecter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 cas de succès : vous êtes redirigé vers le tableau de bord selon votre rôle.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En cas d'erreur : vérifiez l'email et le mot de passe. Après 5 tentatives échouées,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l'accès est bloqué 15 minutes (protection anti-brute-force).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🔑 Mot de passe oublié : cliquez sur le lien "Mot de passe oublié ?" à droite du formulaire.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💡 Note 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 plateforme supporte l'authentification à deux facteurs (2FA TOTP). Si activé, un code de validation supplémentaire sera demandé après la saisie du mot de passe.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Tableau de bord — KPIs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Après la connexion, le tableau de bord affiche les indicateurs clés de performance (KPIs) de la plateforme : nombre d'organisations, immeubles, utilisateurs, et l'état général du système.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286500" cy="7334250"/>
            <wp:effectExtent t="0" r="0" b="0" l="0"/>
            <wp:docPr id="1" name="02_dashboard_kpis" descr="02_dashboard_kpis" title="02_dashboard_k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Éléments du tableau de bord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En haut à gauche : logo KoproGo + menu de navigation latéral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Section "Statistiques" : cartes affichant le total des organisations, immeubles actifs, utilisateurs et revenus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Graphiques : évolution temporelle des inscriptions et de l'activité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Statut des services : PostgreSQL, MinIO, backend — indiqué En ligne / Hors ligne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Bouton de notification 🔔 (en haut à droite) : affiche les alertes non lues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📊 Les statistiques sont mises à jour en temps réel via Server-Sent Events (SSE).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 "En ligne" dans le pied de page = tous les services sont opérationnels.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Bouton "Sync" en bas à droite = synchroniser les données manuellement.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Tableau de bord — Seed &amp; Actions rapides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partie inférieure du tableau de bord permet d'insérer des données de test (seed) et d'accéder à des actions d'administration rapides.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286500" cy="7334250"/>
            <wp:effectExtent t="0" r="0" b="0" l="0"/>
            <wp:docPr id="1" name="03_dashboard_seed" descr="03_dashboard_seed" title="03_dashboard_s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Section Seed de données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Faites défiler la page vers le bas pour voir la section "Données de test"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Cliquez sur "Seed Organisations" pour créer des organisations de démonstration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Cliquez sur "Seed Immeubles" pour créer des immeubles de test avec données complètes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Cliquez sur "Seed Utilisateurs" pour créer des comptes utilisateurs de démonstration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Attention : les seeds créent des données fictives dans la base de données.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À n'utiliser qu'en environnement de développement ou de test.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🗑 Pour supprimer les données de test, utilisez le bouton "Nettoyer" (Reset DB).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Gestion des organisations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Cette section permet aux super-administrateurs de créer et gérer les organisations clientes (tenants) de la plateforme. Chaque organisation peut avoir plusieurs immeubles et utilisateurs.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286500" cy="3086100"/>
            <wp:effectExtent t="0" r="0" b="0" l="0"/>
            <wp:docPr id="1" name="04_organisations" descr="04_organisations" title="04_organis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Créer une nouvelle organisation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Cliquez sur "🏛️ Organisations" dans le menu latéral gauche (section Gestion)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Cliquez sur le bouton "+ Nouvelle organisation" en haut à droite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Remplissez le formulaire : Nom, Email de contact, Plan d'abonnement (free/starter/professional/enterprise)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Définissez les limites : Max immeubles, Max utilisateurs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Cliquez sur "Créer" pour valider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Actions sur une organisation existante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Cliquez sur l'organisation dans la liste pour voir son détail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Bouton "Activer" : met l'organisation en ligne (accès utilisateurs activé)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Bouton "Suspendre" : bloque l'accès sans supprimer les données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Bouton "Supprimer" : suppression définitive (irréversible)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🔐 Seul le rôle superadmin peut créer/modifier des organisations.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 Plans disponibles : free (2 immeubles), starter (10), professional (50), enterprise (illimité).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🏢 Slug : identifiant unique URL généré automatiquement depuis le nom de l'organisation.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Gestion des utilisateurs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gestion des utilisateurs permet de créer des comptes, d'assigner des rôles et de contrôler les accès à la plateforme. Chaque utilisateur peut avoir plusieurs rôles au sein de différentes organisations.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286500" cy="4933950"/>
            <wp:effectExtent t="0" r="0" b="0" l="0"/>
            <wp:docPr id="1" name="05_utilisateurs" descr="05_utilisateurs" title="05_utilisate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Créer un utilisateur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Cliquez sur "👥 Utilisateurs" dans le menu latéral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Cliquez sur "+ Nouvel utilisateur"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Renseignez : prénom, nom, email, mot de passe temporaire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Assignez un ou plusieurs rôles : superadmin, syndic, comptable, propriétaire, prestataire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Sélectionnez l'organisation d'appartenance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Cliquez sur "Créer"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Gérer un utilisateur existant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Recherchez l'utilisateur via la barre de recherche (email ou nom)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Bouton "Activer / Désactiver" : contrôle l'accès sans supprimer le compte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Bouton "Modifier" : changer email, rôles, organisation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Bouton "Supprimer" : suppression définitive (irréversible)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👤 Multi-rôles : un utilisateur peut être syndic dans l'organisation A et propriétaire dans B.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Changement de rôle actif : l'utilisateur peut switcher via le menu profil (POST /auth/switch-role).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🔒 2FA : si activé, l'utilisateur devra scanner un QR code TOTP (Google Authenticator compatible).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Monitoring et surveillance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tableau de bord de monitoring donne accès aux métriques de performance, aux logs système, et aux alertes en temps réel. Il repose sur une stack Prometheus + Grafana + Loki.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286500" cy="2990850"/>
            <wp:effectExtent t="0" r="0" b="0" l="0"/>
            <wp:docPr id="1" name="06_monitoring" descr="06_monitoring" title="06_monito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Accéder aux outils de monitoring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Cliquez sur "📈 Monitoring" dans le menu lateral (section Principal)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Tableau des services : indique le statut de chaque service (vert = OK, rouge = KO)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Cliquez sur "Prometheus" pour accéder aux métriques brutes (http://localhost:9090)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Cliquez sur "Grafana" pour les dashboards visuels (http://localhost:3001)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Cliquez sur "Alertmanager" pour gérer les alertes (http://localhost:9093)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📡 Métriques backend exposées sur : http://localhost:8080/metrics (format Prometheus).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📊 Latence cible P99 &lt; 5ms. Débit cible &gt; 100 000 req/s.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🔔 Alertes configurées : latence élevée, erreurs 5xx, base de données indisponible.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🛡 Sécurité : Suricata IDS, CrowdSec WAF, fail2ban actifs en production.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💡 Note 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Le monitoring n'est accessible qu'aux utilisateurs avec le rôle superadmin ou via des tunnels SSH sécurisés en production.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Gestion des immeubles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liste des immeubles affiche tous les bâtiments enregistrés dans la copropriété. C'est le point d'entrée pour gérer les lots, les propriétaires, les réunions et les charges.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286500" cy="3933825"/>
            <wp:effectExtent t="0" r="0" b="0" l="0"/>
            <wp:docPr id="1" name="07_immeubles" descr="07_immeubles" title="07_immeu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Créer un immeuble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Cliquez sur "🏢 Immeubles" dans le menu latéral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Cliquez sur "+ Nouvel immeuble" en haut à droite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Renseignez : nom de l'immeuble, adresse complète, ville, code postal, pays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Indiquez le nombre total de lots et l'année de construction (facultatif)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Remplissez les informations syndic publiques : nom, email, téléphone, horaires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Cliquez sur "Créer"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Naviguer dans un immeuble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Cliquez sur un immeuble dans la liste pour accéder à sa fiche détaillée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Onglet "Lots" : liste des unités (appartements, caves, parkings)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Onglet "Propriétaires" : copropriétaires et leurs quotes-parts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Onglet "Documents" : documents partagés (PV, règlements, contrats)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Onglet "Finances" : charges, appels de fonds, budget annuel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🔗 URL publique syndic : /api/v1/public/buildings/{slug}/syndic (sans authentification).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📊 Tantièmes : chaque lot a une quote-part en millièmes (total = 1000 pour l'immeuble).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🇧🇪 Conformité belge : règlement de copropriété obligatoire (Art. 577-4 Code Civil).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8. Gestion du Conseil syndical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conseil syndical est composé de copropriétaires élus lors de l'assemblée générale. Cette section permet de gérer leurs mandats, rôles et décisions.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286500" cy="2990850"/>
            <wp:effectExtent t="0" r="0" b="0" l="0"/>
            <wp:docPr id="1" name="08_conseil" descr="08_conseil" title="08_conse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Élire un membre du conseil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Cliquez sur "👑 Conseil" dans le menu latéral (section Gestion)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Sélectionnez l'immeuble concerné dans la liste déroulante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Cliquez sur "+ Élire un membre"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Choisissez le propriétaire dans la liste des copropriétaires actifs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Sélectionnez le poste : Président, Vice-Président, Trésorier, Secrétaire, Membre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Définissez la date de début de mandat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Cliquez sur "Élire"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Gérer les décisions du conseil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Cliquez sur "Décisions" dans le sous-menu Conseil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Cliquez sur "+ Nouvelle décision" pour enregistrer une décision post-AG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Assignez un responsable et une date d'échéance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Suivez l'avancement via les statuts : En attente → En cours → Complété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🇧🇪 Droit belge : le conseil syndical est régi par l'Art. 3.87 §5 du Code Civil belge.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 Décisions en retard : visibles dans "Décisions &gt; En retard" (GET /buildings/{id}/board-decisions/overdue).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🏆 Tableau de bord conseil : accès via GET /board-members/dashboard?building_id=...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9. Administration RGPD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L'interface RGPD permet aux administrateurs de traiter les demandes de droits des utilisateurs conformément au Règlement Général sur la Protection des Données (RGPD — Règlement UE 2016/679).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286500" cy="6610350"/>
            <wp:effectExtent t="0" r="0" b="0" l="0"/>
            <wp:docPr id="1" name="09_rgpd" descr="09_rgpd" title="09_rgp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Droits utilisateurs disponibles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Cliquez sur "🔒 RGPD" dans le menu latéral (section Gestion)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Recherchez l'utilisateur par email ou identifiant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Sélectionnez le droit à appliquer :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Article 15 – Droit d'accès : exporter toutes les données personnelles (GET /gdpr/export)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Article 16 – Rectification : corriger nom, prénom, email (PUT /gdpr/rectify)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Article 17 – Effacement : anonymisation des données (DELETE /gdpr/erase)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Article 18 – Limitation : bloquer le traitement temporairement (PUT /gdpr/restrict-processing)</w:t>
      </w:r>
    </w:p>
    <w:p>
      <w:pPr>
        <w:spacing w:after="80" w:before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Article 21 – Opposition : opt-out marketing (PUT /gdpr/marketing-preference)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Confirmez l'action — un log d'audit est automatiquement créé (Art. 30 RGPD)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 Toutes les actions RGPD sont tracées : IP, user-agent, date, heure, action effectuée.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⏱ Délai légal de réponse : 30 jours calendaires maximum (Art. 12 RGPD).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🔒 L'effacement est une anonymisation, pas une suppression, pour préserver les obligations légales.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Refus possible : si obligation légale (comptabilité, litige en cours).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10. Gestion de la Gamification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gamification favorise l'engagement des copropriétaires au sein de la communauté. Les administrateurs peuvent créer des succès (achievements) et des challenges pour récompenser la participation.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286500" cy="2990850"/>
            <wp:effectExtent t="0" r="0" b="0" l="0"/>
            <wp:docPr id="1" name="10_gamification" descr="10_gamification" title="10_gam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Créer un succès (Achievement)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Cliquez sur "🏆 Gamification" dans le menu latéral (section Gestion)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Onglet "Succès" → cliquez sur "+ Créer un succès"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Définissez : nom, description, catégorie (Community/SEL/Booking/Sharing...)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Choisissez le niveau : Bronze, Silver, Gold, Platinum, Diamond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Attribuez des points (0–1000) et configurez si secret / répétable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Définissez les critères d'obtention en JSON (ex: {"action":"booking_created","count":1})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Cliquez sur "Créer"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Créer un challenge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Onglet "Challenges" → cliquez sur "+ Créer un challenge"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Définissez : titre, description, type (Individual/Building), dates début/fin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Configurez la métrique cible (ex: "exchanges_completed", valeur: 10)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Définissez les points de récompense (0–10 000)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Cliquez sur "Activer" pour rendre le challenge visible aux utilisateurs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🏆 Classement : accessible via GET /organizations/{id}/gamification/leaderboard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📊 Statistiques utilisateur : GET /users/{id}/gamification/stats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🔁 Succès répétable : peut être obtenu plusieurs fois (compteur times_earned).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🔐 Succès secret : invisible jusqu'à ce qu'il soit débloqué par l'utilisateur.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11. SEL — Système d'Échange Local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SEL (Système d'Échange Local) est une monnaie-temps communautaire : 1 heure de service = 1 crédit. Les copropriétaires s'échangent des services, prêts d'objets, ou achats groupés.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286500" cy="2990850"/>
            <wp:effectExtent t="0" r="0" b="0" l="0"/>
            <wp:docPr id="1" name="11_sel" descr="11_sel" title="11_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Naviguer dans le SEL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Cliquez sur "🔄 SEL" dans le menu latéral (section Communauté)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La liste affiche les échanges disponibles (statut : Proposé)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Filtrez par type : Service, Prêt d'objet, Achat groupé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Cliquez sur un échange pour voir les détails et faire une demande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Créer une offre d'échange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Cliquez sur "+ Proposer un échange"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Choisissez le type : Service (jardinage, cours, bricolage...), Prêt d'objet (outils...), Achat groupé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Définissez le titre, la description et la durée en crédits (1 crédit = 1 heure)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Sélectionnez l'immeuble et cliquez sur "Proposer"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💰 Solde de crédits : chaque copropriétaire a un solde (peut être négatif — confiance communautaire).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 Notation : après chaque échange complété, les deux parties se notent (1-5 étoiles).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🏆 Classement : top contributeurs par solde de crédits (GET /buildings/{id}/leaderboard).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🇧🇪 Légalité belge : les SEL sont légaux et non imposables si non commerciaux.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12. Sondages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sondages permettent au syndic de consulter les copropriétaires entre deux assemblées générales, conformément à l'Art. 577-8/4 §4 du Code Civil belge.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286500" cy="2990850"/>
            <wp:effectExtent t="0" r="0" b="0" l="0"/>
            <wp:docPr id="1" name="12_sondages" descr="12_sondages" title="12_sond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Créer un sondage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Cliquez sur "📊 Sondages" dans le menu latéral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Sélectionnez l'immeuble concerné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Cliquez sur "+ Créer un sondage"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Choisissez le type : Oui/Non, Choix multiple, Évaluation (1-5 étoiles), ou Réponse libre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Rédigez la question et les options de réponse (si choix multiple)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Définissez la période : date/heure de début et de fin du vote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Configurez l'anonymat (votes anonymes ou nominatifs)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Cliquez sur "Créer" (statut : Brouillon)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Cliquez sur "Publier" pour ouvrir le vote aux copropriétaires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Consulter les résultats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Cliquez sur le sondage pour accéder à la vue détail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Onglet "Résultats" : affiche les pourcentages et le nombre de votes par option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Onglet "Participants" (si non-anonyme) : liste des votants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Cliquez sur "Clôturer" pour terminer le sondage avant la date de fin (optionnel)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 Les résultats des sondages doivent être communiqués lors de la prochaine AG (Art. 577-8/4 §4).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🔒 Sondage anonyme : owner_id non stocké — seule l'adresse IP est conservée pour l'audit.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🚫 Anti-doublon : un propriétaire ne peut voter qu'une seule fois par sondage (contrainte DB UNIQUE).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13. Tableau d'affichage — Annonces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tableau d'affichage permet aux syndics et copropriétaires de publier des annonces communautaires : informations pratiques, petites annonces, événements, etc.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286500" cy="2990850"/>
            <wp:effectExtent t="0" r="0" b="0" l="0"/>
            <wp:docPr id="1" name="13_annonces" descr="13_annonces" title="13_anno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Créer une annonce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Cliquez sur "📌 Annonces" dans le menu latéral (section Communauté)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Sélectionnez l'immeuble dans la liste déroulante "Immeuble *"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Cliquez sur "+ Create Notice" en haut à droite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Rédigez le titre et le contenu de l'annonce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Choisissez la catégorie : Information, Événement, Travaux, Urgent...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Définissez une date d'expiration (facultatif)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Cliquez sur "Publier"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Gérer les annonces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Les annonces apparaissent dans la liste filtrée par immeuble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Cliquez sur une annonce pour la modifier ou la supprimer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Les annonces expirées sont automatiquement archivées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🌍 Multi-immeuble : chaque annonce est visible uniquement dans son immeuble.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🔔 Notifications : les copropriétaires reçoivent une notification push/email lors d'une nouvelle annonce.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📌 Ancrage : les annonces marquées "Urgent" apparaissent en tête de liste avec une icône rouge.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🏢 Accès : syndic, administrateur et membres du conseil peuvent créer des annonces.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Conclusion &amp; Ressources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guide couvre les principales fonctionnalités de la plateforme admin KoproGo. Pour aller plus loin :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📚 Documentation API complète : http://localhost/api/v1/docs (Swagger)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🗺 Feuille de route : docs/ROADMAP_PAR_CAPACITES.rst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🔐 Guide sécurité : infrastructure/SECURITY.md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🧪 Tests : cargo test --lib (unitaires) | cargo test --test bdd (BDD)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📊 Monitoring : http://localhost:3001 (Grafana) | http://localhost:9090 (Prometheus)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🐛 Issues : https://github.com/gilmry/koprogo/issues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KoproGo est une plateforme belge conforme au Code Civil (Art. 3.87), au RGPD (ASBL) et aux normes comptables PCMN (AR 12/07/2012). Architecture hexagonale Rust garantissant P99 &lt; 5ms de latence et moins de 0,5g CO₂ par requête.</w:t>
      </w:r>
    </w:p>
    <w:p>
      <w:pPr>
        <w:spacing w:after="80" w:before="80"/>
      </w:pPr>
      <w:r>
        <w:t xml:space="preserve"/>
      </w:r>
    </w:p>
    <w:p>
      <w:pPr>
        <w:pBdr>
          <w:top w:val="single" w:color="2E7D32" w:sz="6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© 2025-2026 KoproGo — Plateforme SaaS de Gestion de Copropriété Belge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 w:space="1"/>
      </w:pBdr>
      <w:tabs>
        <w:tab w:val="right" w:pos="9638"/>
      </w:tabs>
    </w:pPr>
    <w:r>
      <w:rPr>
        <w:rFonts w:ascii="Arial" w:cs="Arial" w:eastAsia="Arial" w:hAnsi="Arial"/>
        <w:color w:val="666666"/>
        <w:sz w:val="18"/>
        <w:szCs w:val="18"/>
      </w:rPr>
      <w:t xml:space="preserve">KoproGo — Documentation Plateforme Admin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db867f8e5e50fd99209205bfab8ef07ea8972a7.jpg"/><Relationship Id="rId10" Type="http://schemas.openxmlformats.org/officeDocument/2006/relationships/image" Target="media/5d515f7d4419918b703901b36dd05643fbec8d5e.jpg"/><Relationship Id="rId11" Type="http://schemas.openxmlformats.org/officeDocument/2006/relationships/image" Target="media/8b1c73de25c29722be2fe381d3a4445fa34c258c.jpg"/><Relationship Id="rId12" Type="http://schemas.openxmlformats.org/officeDocument/2006/relationships/image" Target="media/7aec0d3dc813a19b379e77e531dc489e74343de0.jpg"/><Relationship Id="rId13" Type="http://schemas.openxmlformats.org/officeDocument/2006/relationships/image" Target="media/c9303c3c08e0fd52aa176eb81a550a103a5ff97f.jpg"/><Relationship Id="rId14" Type="http://schemas.openxmlformats.org/officeDocument/2006/relationships/image" Target="media/766b53351c4021644fb571ce55cda382e8ed3bcd.jpg"/><Relationship Id="rId15" Type="http://schemas.openxmlformats.org/officeDocument/2006/relationships/image" Target="media/5ef04c0c3eb8e98fc75b70ef0d5fe3b2d242f161.jpg"/><Relationship Id="rId16" Type="http://schemas.openxmlformats.org/officeDocument/2006/relationships/image" Target="media/768de225eb3e1e18607039169ed622c7858fcae6.jpg"/><Relationship Id="rId17" Type="http://schemas.openxmlformats.org/officeDocument/2006/relationships/image" Target="media/e2e8279bbff3d5c52ceecd2cab0d5fe0f3ac4df7.jpg"/><Relationship Id="rId18" Type="http://schemas.openxmlformats.org/officeDocument/2006/relationships/image" Target="media/fb2c02e4a93b2358b0c878bee34e5fb37fbc23b5.jpg"/><Relationship Id="rId19" Type="http://schemas.openxmlformats.org/officeDocument/2006/relationships/image" Target="media/b91aa8c46c6619ea292bad1afa1509089639d50a.jpg"/><Relationship Id="rId20" Type="http://schemas.openxmlformats.org/officeDocument/2006/relationships/image" Target="media/4d2ab59a729bc45a14683799f2ef8128dbd5c48c.jpg"/><Relationship Id="rId21" Type="http://schemas.openxmlformats.org/officeDocument/2006/relationships/image" Target="media/aaddeffcc6426b044ad6a1045aea3503a6b5e6f8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2026-03-23T17:21:04.222Z</dcterms:created>
  <dcterms:modified xsi:type="dcterms:W3CDTF">2026-03-23T17:21:04.223Z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