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9482" w14:textId="568A422E" w:rsidR="00BB5220" w:rsidRDefault="00BB5220" w:rsidP="00653E79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rFonts w:ascii="ThvhmxAdvTT3713a231" w:hAnsi="ThvhmxAdvTT3713a231" w:cs="ThvhmxAdvTT3713a231"/>
          <w:color w:val="131413"/>
          <w:sz w:val="20"/>
          <w:szCs w:val="20"/>
        </w:rPr>
        <w:t>(page 43)</w:t>
      </w:r>
    </w:p>
    <w:p w14:paraId="6B4E8598" w14:textId="4F1B0458" w:rsidR="0059172C" w:rsidRDefault="0059172C" w:rsidP="00653E79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noProof/>
        </w:rPr>
        <w:drawing>
          <wp:inline distT="0" distB="0" distL="0" distR="0" wp14:anchorId="00174F6B" wp14:editId="194E6E00">
            <wp:extent cx="47434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3652" w14:textId="035191AF" w:rsidR="0059172C" w:rsidRDefault="0059172C" w:rsidP="00653E79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rFonts w:ascii="ThvhmxAdvTT3713a231" w:hAnsi="ThvhmxAdvTT3713a231" w:cs="ThvhmxAdvTT3713a231"/>
          <w:color w:val="131413"/>
          <w:sz w:val="20"/>
          <w:szCs w:val="20"/>
        </w:rPr>
        <w:t>(page 44)</w:t>
      </w:r>
    </w:p>
    <w:p w14:paraId="4839F738" w14:textId="18F1D2E4" w:rsidR="00653E79" w:rsidRDefault="00653E79" w:rsidP="00653E79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rFonts w:ascii="ThvhmxAdvTT3713a231" w:hAnsi="ThvhmxAdvTT3713a231" w:cs="ThvhmxAdvTT3713a231"/>
          <w:color w:val="131413"/>
          <w:sz w:val="20"/>
          <w:szCs w:val="20"/>
        </w:rPr>
        <w:t>The QMJ factor return is the average return on the two high-quality portfolios minus the average return on the two low-quality (junk) portfolios:</w:t>
      </w:r>
    </w:p>
    <w:p w14:paraId="67DBCFC5" w14:textId="3249E882" w:rsidR="00653E79" w:rsidRPr="00653E79" w:rsidRDefault="00E30C07" w:rsidP="00653E79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noProof/>
        </w:rPr>
        <w:drawing>
          <wp:inline distT="0" distB="0" distL="0" distR="0" wp14:anchorId="59E79FE9" wp14:editId="25EE99D8">
            <wp:extent cx="43624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2D31" w14:textId="5E5D9C17" w:rsidR="00653E79" w:rsidRDefault="00653E79" w:rsidP="005F4C5E">
      <w:pPr>
        <w:autoSpaceDE w:val="0"/>
        <w:autoSpaceDN w:val="0"/>
        <w:adjustRightInd w:val="0"/>
        <w:spacing w:after="0" w:line="240" w:lineRule="auto"/>
        <w:rPr>
          <w:rFonts w:ascii="YwqyycAdvTT577c760c" w:hAnsi="YwqyycAdvTT577c760c" w:cs="YwqyycAdvTT577c760c"/>
          <w:b/>
          <w:bCs/>
          <w:color w:val="131413"/>
          <w:sz w:val="20"/>
          <w:szCs w:val="20"/>
        </w:rPr>
      </w:pPr>
      <w:r>
        <w:rPr>
          <w:rFonts w:ascii="YwqyycAdvTT577c760c" w:hAnsi="YwqyycAdvTT577c760c" w:cs="YwqyycAdvTT577c760c"/>
          <w:b/>
          <w:bCs/>
          <w:color w:val="131413"/>
          <w:sz w:val="20"/>
          <w:szCs w:val="20"/>
        </w:rPr>
        <w:t>(page 57? RIGHT AFTER CONCLUSION)</w:t>
      </w:r>
    </w:p>
    <w:p w14:paraId="70C5A061" w14:textId="7733E41D" w:rsidR="005F4C5E" w:rsidRDefault="005F4C5E" w:rsidP="005F4C5E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 w:rsidRPr="005F4C5E">
        <w:rPr>
          <w:rFonts w:ascii="YwqyycAdvTT577c760c" w:hAnsi="YwqyycAdvTT577c760c" w:cs="YwqyycAdvTT577c760c"/>
          <w:b/>
          <w:bCs/>
          <w:color w:val="131413"/>
          <w:sz w:val="20"/>
          <w:szCs w:val="20"/>
        </w:rPr>
        <w:t>Growth</w:t>
      </w:r>
      <w:r>
        <w:rPr>
          <w:rFonts w:ascii="YwqyycAdvTT577c760c" w:hAnsi="YwqyycAdvTT577c760c" w:cs="YwqyycAdvTT577c760c"/>
          <w:color w:val="131413"/>
          <w:sz w:val="20"/>
          <w:szCs w:val="20"/>
        </w:rPr>
        <w:t xml:space="preserve">: </w:t>
      </w:r>
      <w:r>
        <w:rPr>
          <w:rFonts w:ascii="ThvhmxAdvTT3713a231" w:hAnsi="ThvhmxAdvTT3713a231" w:cs="ThvhmxAdvTT3713a231"/>
          <w:color w:val="131413"/>
          <w:sz w:val="20"/>
          <w:szCs w:val="20"/>
        </w:rPr>
        <w:t xml:space="preserve">We compute a </w:t>
      </w:r>
      <w:r>
        <w:rPr>
          <w:rFonts w:ascii="RbfyqlAdvTT50a2f13e.I" w:hAnsi="RbfyqlAdvTT50a2f13e.I" w:cs="RbfyqlAdvTT50a2f13e.I"/>
          <w:color w:val="131413"/>
          <w:sz w:val="20"/>
          <w:szCs w:val="20"/>
        </w:rPr>
        <w:t xml:space="preserve">growth </w:t>
      </w:r>
      <w:r>
        <w:rPr>
          <w:rFonts w:ascii="ThvhmxAdvTT3713a231" w:hAnsi="ThvhmxAdvTT3713a231" w:cs="ThvhmxAdvTT3713a231"/>
          <w:color w:val="131413"/>
          <w:sz w:val="20"/>
          <w:szCs w:val="20"/>
        </w:rPr>
        <w:t>z-score by averaging z-scores of various measures of</w:t>
      </w:r>
    </w:p>
    <w:p w14:paraId="7222EE05" w14:textId="4483EE7E" w:rsidR="00DC1B64" w:rsidRDefault="005F4C5E" w:rsidP="005F4C5E">
      <w:pPr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rFonts w:ascii="ThvhmxAdvTT3713a231" w:hAnsi="ThvhmxAdvTT3713a231" w:cs="ThvhmxAdvTT3713a231"/>
          <w:color w:val="131413"/>
          <w:sz w:val="20"/>
          <w:szCs w:val="20"/>
        </w:rPr>
        <w:t>five-year growth in residual profits:</w:t>
      </w:r>
    </w:p>
    <w:p w14:paraId="1FDAA488" w14:textId="5B7BE19D" w:rsidR="00FD0D0E" w:rsidRDefault="00482BA2" w:rsidP="00FD0D0E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rFonts w:ascii="ThvhmxAdvTT3713a231" w:hAnsi="ThvhmxAdvTT3713a231" w:cs="ThvhmxAdvTT3713a231"/>
          <w:color w:val="131413"/>
          <w:sz w:val="20"/>
          <w:szCs w:val="20"/>
        </w:rPr>
        <w:t xml:space="preserve">First, we compute growth in residual gross profits over assets … where </w:t>
      </w:r>
      <w:r>
        <w:rPr>
          <w:rFonts w:ascii="RbfyqlAdvTT50a2f13e.I" w:hAnsi="RbfyqlAdvTT50a2f13e.I" w:cs="RbfyqlAdvTT50a2f13e.I"/>
          <w:color w:val="131413"/>
          <w:sz w:val="20"/>
          <w:szCs w:val="20"/>
        </w:rPr>
        <w:t xml:space="preserve">GP </w:t>
      </w:r>
      <w:r>
        <w:rPr>
          <w:rFonts w:ascii="ThvhmxAdvTT3713a231" w:hAnsi="ThvhmxAdvTT3713a231" w:cs="ThvhmxAdvTT3713a231"/>
          <w:color w:val="131413"/>
          <w:sz w:val="20"/>
          <w:szCs w:val="20"/>
        </w:rPr>
        <w:t xml:space="preserve">= </w:t>
      </w:r>
      <w:r>
        <w:rPr>
          <w:rFonts w:ascii="RbfyqlAdvTT50a2f13e.I" w:hAnsi="RbfyqlAdvTT50a2f13e.I" w:cs="RbfyqlAdvTT50a2f13e.I"/>
          <w:color w:val="131413"/>
          <w:sz w:val="20"/>
          <w:szCs w:val="20"/>
        </w:rPr>
        <w:t xml:space="preserve">REVT </w:t>
      </w:r>
      <w:r>
        <w:rPr>
          <w:rFonts w:ascii="LmychvAdvTT3713a231+22" w:hAnsi="LmychvAdvTT3713a231+22" w:cs="LmychvAdvTT3713a231+22"/>
          <w:color w:val="131413"/>
          <w:sz w:val="20"/>
          <w:szCs w:val="20"/>
        </w:rPr>
        <w:t xml:space="preserve">− </w:t>
      </w:r>
      <w:r>
        <w:rPr>
          <w:rFonts w:ascii="RbfyqlAdvTT50a2f13e.I" w:hAnsi="RbfyqlAdvTT50a2f13e.I" w:cs="RbfyqlAdvTT50a2f13e.I"/>
          <w:color w:val="131413"/>
          <w:sz w:val="20"/>
          <w:szCs w:val="20"/>
        </w:rPr>
        <w:t xml:space="preserve">COGS </w:t>
      </w:r>
      <w:r>
        <w:rPr>
          <w:rFonts w:ascii="ThvhmxAdvTT3713a231" w:hAnsi="ThvhmxAdvTT3713a231" w:cs="ThvhmxAdvTT3713a231"/>
          <w:color w:val="131413"/>
          <w:sz w:val="20"/>
          <w:szCs w:val="20"/>
        </w:rPr>
        <w:t xml:space="preserve">and lowercase indicates quantities per share. For example, for any accounting measure </w:t>
      </w:r>
      <w:r>
        <w:rPr>
          <w:rFonts w:ascii="RbfyqlAdvTT50a2f13e.I" w:hAnsi="RbfyqlAdvTT50a2f13e.I" w:cs="RbfyqlAdvTT50a2f13e.I"/>
          <w:color w:val="131413"/>
          <w:sz w:val="20"/>
          <w:szCs w:val="20"/>
        </w:rPr>
        <w:t>X</w:t>
      </w:r>
      <w:r>
        <w:rPr>
          <w:rFonts w:ascii="ThvhmxAdvTT3713a231" w:hAnsi="ThvhmxAdvTT3713a231" w:cs="ThvhmxAdvTT3713a231"/>
          <w:color w:val="131413"/>
          <w:sz w:val="20"/>
          <w:szCs w:val="20"/>
        </w:rPr>
        <w:t>, we let</w:t>
      </w:r>
      <w:r w:rsidR="00FD0D0E">
        <w:rPr>
          <w:rFonts w:ascii="ThvhmxAdvTT3713a231" w:hAnsi="ThvhmxAdvTT3713a231" w:cs="ThvhmxAdvTT3713a231"/>
          <w:color w:val="131413"/>
          <w:sz w:val="20"/>
          <w:szCs w:val="20"/>
        </w:rPr>
        <w:t xml:space="preserve"> … using the split-adjusted number of shares outstanding </w:t>
      </w:r>
      <w:r w:rsidR="00FD0D0E">
        <w:rPr>
          <w:rFonts w:ascii="RbfyqlAdvTT50a2f13e.I" w:hAnsi="RbfyqlAdvTT50a2f13e.I" w:cs="RbfyqlAdvTT50a2f13e.I"/>
          <w:color w:val="131413"/>
          <w:sz w:val="20"/>
          <w:szCs w:val="20"/>
        </w:rPr>
        <w:t>S</w:t>
      </w:r>
      <w:r w:rsidR="00FD0D0E">
        <w:rPr>
          <w:rFonts w:ascii="ThvhmxAdvTT3713a231" w:hAnsi="ThvhmxAdvTT3713a231" w:cs="ThvhmxAdvTT3713a231"/>
          <w:color w:val="131413"/>
          <w:sz w:val="20"/>
          <w:szCs w:val="20"/>
        </w:rPr>
        <w:t>. Similarly, we compute five-year growth in residual</w:t>
      </w:r>
    </w:p>
    <w:p w14:paraId="40405272" w14:textId="77777777" w:rsidR="008E14C0" w:rsidRDefault="00FD0D0E" w:rsidP="008E14C0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rFonts w:ascii="ThvhmxAdvTT3713a231" w:hAnsi="ThvhmxAdvTT3713a231" w:cs="ThvhmxAdvTT3713a231"/>
          <w:color w:val="131413"/>
          <w:sz w:val="20"/>
          <w:szCs w:val="20"/>
        </w:rPr>
        <w:t>return on equity</w:t>
      </w:r>
      <w:r w:rsidR="008E14C0">
        <w:rPr>
          <w:rFonts w:ascii="ThvhmxAdvTT3713a231" w:hAnsi="ThvhmxAdvTT3713a231" w:cs="ThvhmxAdvTT3713a231"/>
          <w:color w:val="131413"/>
          <w:sz w:val="20"/>
          <w:szCs w:val="20"/>
        </w:rPr>
        <w:t xml:space="preserve"> … five-year growth in residual return over assets … five-year growth in residual</w:t>
      </w:r>
    </w:p>
    <w:p w14:paraId="146142D9" w14:textId="2033C41A" w:rsidR="005F4C5E" w:rsidRDefault="008E14C0" w:rsidP="008E14C0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  <w:r>
        <w:rPr>
          <w:rFonts w:ascii="ThvhmxAdvTT3713a231" w:hAnsi="ThvhmxAdvTT3713a231" w:cs="ThvhmxAdvTT3713a231"/>
          <w:color w:val="131413"/>
          <w:sz w:val="20"/>
          <w:szCs w:val="20"/>
        </w:rPr>
        <w:t>cash flow over assets</w:t>
      </w:r>
      <w:r w:rsidR="00E55E35">
        <w:rPr>
          <w:rFonts w:ascii="ThvhmxAdvTT3713a231" w:hAnsi="ThvhmxAdvTT3713a231" w:cs="ThvhmxAdvTT3713a231"/>
          <w:color w:val="131413"/>
          <w:sz w:val="20"/>
          <w:szCs w:val="20"/>
        </w:rPr>
        <w:t xml:space="preserve"> … and five-year growth in gross margin …</w:t>
      </w:r>
    </w:p>
    <w:p w14:paraId="7CF6E306" w14:textId="26704542" w:rsidR="001C4859" w:rsidRDefault="001C4859" w:rsidP="008E14C0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</w:p>
    <w:p w14:paraId="6C653C17" w14:textId="77777777" w:rsidR="001753AA" w:rsidRDefault="001753AA" w:rsidP="008E14C0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</w:p>
    <w:p w14:paraId="7C57368F" w14:textId="77777777" w:rsidR="001753AA" w:rsidRDefault="001753AA" w:rsidP="008E14C0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</w:p>
    <w:p w14:paraId="609938E8" w14:textId="77777777" w:rsidR="001753AA" w:rsidRDefault="001753AA" w:rsidP="008E14C0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</w:p>
    <w:p w14:paraId="4EEF0CF9" w14:textId="77777777" w:rsidR="001753AA" w:rsidRDefault="001753AA" w:rsidP="008E14C0">
      <w:pPr>
        <w:autoSpaceDE w:val="0"/>
        <w:autoSpaceDN w:val="0"/>
        <w:adjustRightInd w:val="0"/>
        <w:spacing w:after="0" w:line="24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</w:p>
    <w:p w14:paraId="73552640" w14:textId="71290D45" w:rsidR="007A2E8E" w:rsidRPr="007443E8" w:rsidRDefault="001C4859" w:rsidP="009543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 w:rsidRPr="007443E8">
        <w:rPr>
          <w:rFonts w:ascii="Times New Roman" w:hAnsi="Times New Roman" w:cs="Times New Roman"/>
          <w:b/>
          <w:bCs/>
          <w:color w:val="131413"/>
        </w:rPr>
        <w:lastRenderedPageBreak/>
        <w:t>3.1 Overview</w:t>
      </w:r>
    </w:p>
    <w:p w14:paraId="3240D909" w14:textId="35A52F28" w:rsidR="006050D6" w:rsidRPr="009543D3" w:rsidRDefault="0058611D" w:rsidP="009543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  <w:r w:rsidRPr="009543D3">
        <w:rPr>
          <w:rFonts w:ascii="Times New Roman" w:hAnsi="Times New Roman" w:cs="Times New Roman"/>
          <w:color w:val="131413"/>
        </w:rPr>
        <w:t xml:space="preserve">The signal used for the construction of the primary strategy is </w:t>
      </w:r>
      <w:r w:rsidR="003D0AAB" w:rsidRPr="009543D3">
        <w:rPr>
          <w:rFonts w:ascii="Times New Roman" w:hAnsi="Times New Roman" w:cs="Times New Roman"/>
          <w:color w:val="131413"/>
        </w:rPr>
        <w:t xml:space="preserve">the “Quality Minus Junk: Growth” </w:t>
      </w:r>
      <w:r w:rsidR="0070585C" w:rsidRPr="009543D3">
        <w:rPr>
          <w:rFonts w:ascii="Times New Roman" w:hAnsi="Times New Roman" w:cs="Times New Roman"/>
          <w:color w:val="131413"/>
        </w:rPr>
        <w:t xml:space="preserve">which is </w:t>
      </w:r>
      <w:r w:rsidR="00F944EB" w:rsidRPr="009543D3">
        <w:rPr>
          <w:rFonts w:ascii="Times New Roman" w:hAnsi="Times New Roman" w:cs="Times New Roman"/>
          <w:color w:val="131413"/>
        </w:rPr>
        <w:t xml:space="preserve">the Growth component </w:t>
      </w:r>
      <w:r w:rsidR="0070585C" w:rsidRPr="009543D3">
        <w:rPr>
          <w:rFonts w:ascii="Times New Roman" w:hAnsi="Times New Roman" w:cs="Times New Roman"/>
          <w:color w:val="131413"/>
        </w:rPr>
        <w:t>of “Quality Minus Junk</w:t>
      </w:r>
      <w:r w:rsidR="00F944EB" w:rsidRPr="009543D3">
        <w:rPr>
          <w:rFonts w:ascii="Times New Roman" w:hAnsi="Times New Roman" w:cs="Times New Roman"/>
          <w:color w:val="131413"/>
        </w:rPr>
        <w:t xml:space="preserve"> Factor (QMJ)</w:t>
      </w:r>
      <w:r w:rsidR="0070585C" w:rsidRPr="009543D3">
        <w:rPr>
          <w:rFonts w:ascii="Times New Roman" w:hAnsi="Times New Roman" w:cs="Times New Roman"/>
          <w:color w:val="131413"/>
        </w:rPr>
        <w:t>”</w:t>
      </w:r>
      <w:r w:rsidR="00A81C2A" w:rsidRPr="009543D3">
        <w:rPr>
          <w:rFonts w:ascii="Times New Roman" w:hAnsi="Times New Roman" w:cs="Times New Roman"/>
          <w:color w:val="131413"/>
        </w:rPr>
        <w:t xml:space="preserve"> computed as “QMJ factor return is the average return on the two high-quality portfolios minus the average return on the two low-quality (junk) portfolios” </w:t>
      </w:r>
      <w:r w:rsidR="008117CB" w:rsidRPr="009543D3">
        <w:rPr>
          <w:rFonts w:ascii="Times New Roman" w:hAnsi="Times New Roman" w:cs="Times New Roman"/>
          <w:color w:val="131413"/>
        </w:rPr>
        <w:t>by (insert the paper)</w:t>
      </w:r>
      <w:r w:rsidR="00A81C2A" w:rsidRPr="009543D3">
        <w:rPr>
          <w:rFonts w:ascii="Times New Roman" w:hAnsi="Times New Roman" w:cs="Times New Roman"/>
          <w:color w:val="131413"/>
        </w:rPr>
        <w:t>. More specifically, th</w:t>
      </w:r>
      <w:r w:rsidR="00C3590D" w:rsidRPr="009543D3">
        <w:rPr>
          <w:rFonts w:ascii="Times New Roman" w:hAnsi="Times New Roman" w:cs="Times New Roman"/>
          <w:color w:val="131413"/>
        </w:rPr>
        <w:t xml:space="preserve">e </w:t>
      </w:r>
      <w:r w:rsidR="0045458A" w:rsidRPr="009543D3">
        <w:rPr>
          <w:rFonts w:ascii="Times New Roman" w:hAnsi="Times New Roman" w:cs="Times New Roman"/>
          <w:color w:val="131413"/>
        </w:rPr>
        <w:t xml:space="preserve">theory </w:t>
      </w:r>
      <w:r w:rsidR="004C2166" w:rsidRPr="009543D3">
        <w:rPr>
          <w:rFonts w:ascii="Times New Roman" w:hAnsi="Times New Roman" w:cs="Times New Roman"/>
          <w:color w:val="131413"/>
        </w:rPr>
        <w:t xml:space="preserve">suggests that the </w:t>
      </w:r>
      <w:r w:rsidR="00C3590D" w:rsidRPr="009543D3">
        <w:rPr>
          <w:rFonts w:ascii="Times New Roman" w:hAnsi="Times New Roman" w:cs="Times New Roman"/>
          <w:color w:val="131413"/>
        </w:rPr>
        <w:t xml:space="preserve">Growth component </w:t>
      </w:r>
      <w:r w:rsidR="0045458A" w:rsidRPr="009543D3">
        <w:rPr>
          <w:rFonts w:ascii="Times New Roman" w:hAnsi="Times New Roman" w:cs="Times New Roman"/>
          <w:color w:val="131413"/>
        </w:rPr>
        <w:t xml:space="preserve">measure </w:t>
      </w:r>
      <w:r w:rsidR="004C2166" w:rsidRPr="009543D3">
        <w:rPr>
          <w:rFonts w:ascii="Times New Roman" w:hAnsi="Times New Roman" w:cs="Times New Roman"/>
          <w:color w:val="131413"/>
        </w:rPr>
        <w:t>should come from</w:t>
      </w:r>
      <w:r w:rsidR="0045458A" w:rsidRPr="009543D3">
        <w:rPr>
          <w:rFonts w:ascii="Times New Roman" w:hAnsi="Times New Roman" w:cs="Times New Roman"/>
          <w:color w:val="131413"/>
        </w:rPr>
        <w:t xml:space="preserve"> “the increase in sustainable profits in relation to book values”</w:t>
      </w:r>
      <w:r w:rsidR="004C2166" w:rsidRPr="009543D3">
        <w:rPr>
          <w:rFonts w:ascii="Times New Roman" w:hAnsi="Times New Roman" w:cs="Times New Roman"/>
          <w:color w:val="131413"/>
        </w:rPr>
        <w:t xml:space="preserve">. </w:t>
      </w:r>
    </w:p>
    <w:p w14:paraId="7F916FA0" w14:textId="2309CCFE" w:rsidR="00722936" w:rsidRDefault="007002C8" w:rsidP="001F70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  <w:r w:rsidRPr="009543D3">
        <w:rPr>
          <w:rFonts w:ascii="Times New Roman" w:hAnsi="Times New Roman" w:cs="Times New Roman"/>
          <w:color w:val="131413"/>
        </w:rPr>
        <w:t xml:space="preserve">The intuition for this measure, as well as for the QMJ factor is that </w:t>
      </w:r>
      <w:r w:rsidR="00DE1217" w:rsidRPr="009543D3">
        <w:rPr>
          <w:rFonts w:ascii="Times New Roman" w:hAnsi="Times New Roman" w:cs="Times New Roman"/>
          <w:color w:val="131413"/>
        </w:rPr>
        <w:t xml:space="preserve">the quality of a company is somehow </w:t>
      </w:r>
      <w:r w:rsidR="00952980" w:rsidRPr="009543D3">
        <w:rPr>
          <w:rFonts w:ascii="Times New Roman" w:hAnsi="Times New Roman" w:cs="Times New Roman"/>
          <w:color w:val="131413"/>
        </w:rPr>
        <w:t>positively embedded</w:t>
      </w:r>
      <w:r w:rsidR="00DE1217" w:rsidRPr="009543D3">
        <w:rPr>
          <w:rFonts w:ascii="Times New Roman" w:hAnsi="Times New Roman" w:cs="Times New Roman"/>
          <w:color w:val="131413"/>
        </w:rPr>
        <w:t xml:space="preserve"> into their price and </w:t>
      </w:r>
      <w:r w:rsidR="007261DC" w:rsidRPr="009543D3">
        <w:rPr>
          <w:rFonts w:ascii="Times New Roman" w:hAnsi="Times New Roman" w:cs="Times New Roman"/>
          <w:color w:val="131413"/>
        </w:rPr>
        <w:t>for that reason</w:t>
      </w:r>
      <w:r w:rsidR="0011611B" w:rsidRPr="009543D3">
        <w:rPr>
          <w:rFonts w:ascii="Times New Roman" w:hAnsi="Times New Roman" w:cs="Times New Roman"/>
          <w:color w:val="131413"/>
        </w:rPr>
        <w:t xml:space="preserve"> investors should </w:t>
      </w:r>
      <w:r w:rsidR="00952980" w:rsidRPr="009543D3">
        <w:rPr>
          <w:rFonts w:ascii="Times New Roman" w:hAnsi="Times New Roman" w:cs="Times New Roman"/>
          <w:color w:val="131413"/>
        </w:rPr>
        <w:t>be willing to pay a premium to access it</w:t>
      </w:r>
      <w:r w:rsidR="007E1A86" w:rsidRPr="009543D3">
        <w:rPr>
          <w:rFonts w:ascii="Times New Roman" w:hAnsi="Times New Roman" w:cs="Times New Roman"/>
          <w:color w:val="131413"/>
        </w:rPr>
        <w:t>. That is, higher quality firms should sport higher prices all else equal.</w:t>
      </w:r>
      <w:r w:rsidR="00043D61" w:rsidRPr="009543D3">
        <w:rPr>
          <w:rFonts w:ascii="Times New Roman" w:hAnsi="Times New Roman" w:cs="Times New Roman"/>
          <w:color w:val="131413"/>
        </w:rPr>
        <w:t xml:space="preserve"> In the case of </w:t>
      </w:r>
      <w:r w:rsidR="00745983" w:rsidRPr="009543D3">
        <w:rPr>
          <w:rFonts w:ascii="Times New Roman" w:hAnsi="Times New Roman" w:cs="Times New Roman"/>
          <w:color w:val="131413"/>
        </w:rPr>
        <w:t>Growth, “Investors should also pay higher price for stocks with growing profits”</w:t>
      </w:r>
      <w:r w:rsidR="00B34408" w:rsidRPr="009543D3">
        <w:rPr>
          <w:rFonts w:ascii="Times New Roman" w:hAnsi="Times New Roman" w:cs="Times New Roman"/>
          <w:color w:val="131413"/>
        </w:rPr>
        <w:t xml:space="preserve"> (insert citation</w:t>
      </w:r>
      <w:r w:rsidR="002975A2" w:rsidRPr="009543D3">
        <w:rPr>
          <w:rFonts w:ascii="Times New Roman" w:hAnsi="Times New Roman" w:cs="Times New Roman"/>
          <w:color w:val="131413"/>
        </w:rPr>
        <w:t>). That</w:t>
      </w:r>
      <w:r w:rsidR="00CB6C25" w:rsidRPr="009543D3">
        <w:rPr>
          <w:rFonts w:ascii="Times New Roman" w:hAnsi="Times New Roman" w:cs="Times New Roman"/>
          <w:color w:val="131413"/>
        </w:rPr>
        <w:t xml:space="preserve"> being say, th</w:t>
      </w:r>
      <w:r w:rsidR="00E47F1B" w:rsidRPr="009543D3">
        <w:rPr>
          <w:rFonts w:ascii="Times New Roman" w:hAnsi="Times New Roman" w:cs="Times New Roman"/>
          <w:color w:val="131413"/>
        </w:rPr>
        <w:t xml:space="preserve">is measure, and the QMJ factor, are price agnostic given they are exclusively based on </w:t>
      </w:r>
      <w:r w:rsidR="00D3666F" w:rsidRPr="009543D3">
        <w:rPr>
          <w:rFonts w:ascii="Times New Roman" w:hAnsi="Times New Roman" w:cs="Times New Roman"/>
          <w:color w:val="131413"/>
        </w:rPr>
        <w:t>non-price related fundamental measures (insert Morningstar article</w:t>
      </w:r>
      <w:r w:rsidR="00C61921">
        <w:rPr>
          <w:rFonts w:ascii="Times New Roman" w:hAnsi="Times New Roman" w:cs="Times New Roman"/>
          <w:color w:val="131413"/>
        </w:rPr>
        <w:t xml:space="preserve"> </w:t>
      </w:r>
      <w:hyperlink r:id="rId6" w:history="1">
        <w:r w:rsidR="00C61921" w:rsidRPr="00450129">
          <w:rPr>
            <w:rStyle w:val="Hyperlink"/>
            <w:rFonts w:ascii="Times New Roman" w:hAnsi="Times New Roman" w:cs="Times New Roman"/>
          </w:rPr>
          <w:t>https://www.morningstar.com/articles/746828/the-what-why-and-how-of-quality</w:t>
        </w:r>
      </w:hyperlink>
      <w:r w:rsidR="00D3666F" w:rsidRPr="009543D3">
        <w:rPr>
          <w:rFonts w:ascii="Times New Roman" w:hAnsi="Times New Roman" w:cs="Times New Roman"/>
          <w:color w:val="131413"/>
        </w:rPr>
        <w:t>)</w:t>
      </w:r>
      <w:r w:rsidR="007E7C3D" w:rsidRPr="009543D3">
        <w:rPr>
          <w:rFonts w:ascii="Times New Roman" w:hAnsi="Times New Roman" w:cs="Times New Roman"/>
          <w:color w:val="131413"/>
        </w:rPr>
        <w:t xml:space="preserve"> and history has shown that </w:t>
      </w:r>
      <w:r w:rsidR="00020403" w:rsidRPr="009543D3">
        <w:rPr>
          <w:rFonts w:ascii="Times New Roman" w:hAnsi="Times New Roman" w:cs="Times New Roman"/>
          <w:color w:val="131413"/>
        </w:rPr>
        <w:t xml:space="preserve">price </w:t>
      </w:r>
      <w:r w:rsidR="0075798C" w:rsidRPr="009543D3">
        <w:rPr>
          <w:rFonts w:ascii="Times New Roman" w:hAnsi="Times New Roman" w:cs="Times New Roman"/>
          <w:color w:val="131413"/>
        </w:rPr>
        <w:t xml:space="preserve">floats somewhat freely even with high quality stocks. </w:t>
      </w:r>
      <w:r w:rsidR="00517C52">
        <w:rPr>
          <w:rFonts w:ascii="Times New Roman" w:hAnsi="Times New Roman" w:cs="Times New Roman"/>
          <w:color w:val="131413"/>
        </w:rPr>
        <w:t xml:space="preserve">The reason suggested by (insert paper) </w:t>
      </w:r>
      <w:r w:rsidR="000177E1" w:rsidRPr="009543D3">
        <w:rPr>
          <w:rFonts w:ascii="Times New Roman" w:hAnsi="Times New Roman" w:cs="Times New Roman"/>
          <w:color w:val="131413"/>
        </w:rPr>
        <w:t xml:space="preserve">is that this mispricing is linked </w:t>
      </w:r>
      <w:r w:rsidR="008203B7" w:rsidRPr="009543D3">
        <w:rPr>
          <w:rFonts w:ascii="Times New Roman" w:hAnsi="Times New Roman" w:cs="Times New Roman"/>
          <w:color w:val="131413"/>
        </w:rPr>
        <w:t>behavior finance and other constraints</w:t>
      </w:r>
      <w:r w:rsidR="007C27BF" w:rsidRPr="009543D3">
        <w:rPr>
          <w:rFonts w:ascii="Times New Roman" w:hAnsi="Times New Roman" w:cs="Times New Roman"/>
          <w:color w:val="131413"/>
        </w:rPr>
        <w:t>.</w:t>
      </w:r>
      <w:r w:rsidR="008F4EED" w:rsidRPr="009543D3">
        <w:rPr>
          <w:rFonts w:ascii="Times New Roman" w:hAnsi="Times New Roman" w:cs="Times New Roman"/>
          <w:color w:val="131413"/>
        </w:rPr>
        <w:t xml:space="preserve"> </w:t>
      </w:r>
      <w:r w:rsidR="00517C52">
        <w:rPr>
          <w:rFonts w:ascii="Times New Roman" w:hAnsi="Times New Roman" w:cs="Times New Roman"/>
          <w:color w:val="131413"/>
        </w:rPr>
        <w:t xml:space="preserve">Effectively, history has shown that </w:t>
      </w:r>
      <w:r w:rsidR="00D6581A" w:rsidRPr="009543D3">
        <w:rPr>
          <w:rFonts w:ascii="Times New Roman" w:hAnsi="Times New Roman" w:cs="Times New Roman"/>
          <w:color w:val="131413"/>
        </w:rPr>
        <w:t xml:space="preserve">investors </w:t>
      </w:r>
      <w:r w:rsidR="00517C52">
        <w:rPr>
          <w:rFonts w:ascii="Times New Roman" w:hAnsi="Times New Roman" w:cs="Times New Roman"/>
          <w:color w:val="131413"/>
        </w:rPr>
        <w:t>flee</w:t>
      </w:r>
      <w:r w:rsidR="00D6581A" w:rsidRPr="009543D3">
        <w:rPr>
          <w:rFonts w:ascii="Times New Roman" w:hAnsi="Times New Roman" w:cs="Times New Roman"/>
          <w:color w:val="131413"/>
        </w:rPr>
        <w:t xml:space="preserve"> to higher quality stocks during crisis or bear markets</w:t>
      </w:r>
      <w:r w:rsidR="009217ED" w:rsidRPr="009543D3">
        <w:rPr>
          <w:rFonts w:ascii="Times New Roman" w:hAnsi="Times New Roman" w:cs="Times New Roman"/>
          <w:color w:val="131413"/>
        </w:rPr>
        <w:t xml:space="preserve"> </w:t>
      </w:r>
      <w:r w:rsidR="00517C52">
        <w:rPr>
          <w:rFonts w:ascii="Times New Roman" w:hAnsi="Times New Roman" w:cs="Times New Roman"/>
          <w:color w:val="131413"/>
        </w:rPr>
        <w:t>thus suggesting an</w:t>
      </w:r>
      <w:r w:rsidR="009217ED" w:rsidRPr="009543D3">
        <w:rPr>
          <w:rFonts w:ascii="Times New Roman" w:hAnsi="Times New Roman" w:cs="Times New Roman"/>
          <w:color w:val="131413"/>
        </w:rPr>
        <w:t xml:space="preserve"> inherent value from holding those companies</w:t>
      </w:r>
      <w:r w:rsidR="00CF25C7" w:rsidRPr="009543D3">
        <w:rPr>
          <w:rFonts w:ascii="Times New Roman" w:hAnsi="Times New Roman" w:cs="Times New Roman"/>
          <w:color w:val="131413"/>
        </w:rPr>
        <w:t xml:space="preserve">. </w:t>
      </w:r>
      <w:r w:rsidR="0081540F">
        <w:rPr>
          <w:rFonts w:ascii="Times New Roman" w:hAnsi="Times New Roman" w:cs="Times New Roman"/>
          <w:color w:val="131413"/>
        </w:rPr>
        <w:t xml:space="preserve">With regards to the “QMJ: Growth” signal, </w:t>
      </w:r>
      <w:r w:rsidR="00B367B2">
        <w:rPr>
          <w:rFonts w:ascii="Times New Roman" w:hAnsi="Times New Roman" w:cs="Times New Roman"/>
          <w:color w:val="131413"/>
        </w:rPr>
        <w:t>past 5 years of growth are often a good signal for a short</w:t>
      </w:r>
      <w:r w:rsidR="00DA34F4">
        <w:rPr>
          <w:rFonts w:ascii="Times New Roman" w:hAnsi="Times New Roman" w:cs="Times New Roman"/>
          <w:color w:val="131413"/>
        </w:rPr>
        <w:t xml:space="preserve"> to long term investment, with this being, in a certain way, a </w:t>
      </w:r>
      <w:r w:rsidR="00306AA4">
        <w:rPr>
          <w:rFonts w:ascii="Times New Roman" w:hAnsi="Times New Roman" w:cs="Times New Roman"/>
          <w:color w:val="131413"/>
        </w:rPr>
        <w:t>long-term</w:t>
      </w:r>
      <w:r w:rsidR="00DA34F4">
        <w:rPr>
          <w:rFonts w:ascii="Times New Roman" w:hAnsi="Times New Roman" w:cs="Times New Roman"/>
          <w:color w:val="131413"/>
        </w:rPr>
        <w:t xml:space="preserve"> momentum factor</w:t>
      </w:r>
      <w:r w:rsidR="00C40A4A">
        <w:rPr>
          <w:rFonts w:ascii="Times New Roman" w:hAnsi="Times New Roman" w:cs="Times New Roman"/>
          <w:color w:val="131413"/>
        </w:rPr>
        <w:t xml:space="preserve">. We can perhaps assume that </w:t>
      </w:r>
      <w:r w:rsidR="00306AA4">
        <w:rPr>
          <w:rFonts w:ascii="Times New Roman" w:hAnsi="Times New Roman" w:cs="Times New Roman"/>
          <w:color w:val="131413"/>
        </w:rPr>
        <w:t>to</w:t>
      </w:r>
      <w:r w:rsidR="00C40A4A">
        <w:rPr>
          <w:rFonts w:ascii="Times New Roman" w:hAnsi="Times New Roman" w:cs="Times New Roman"/>
          <w:color w:val="131413"/>
        </w:rPr>
        <w:t xml:space="preserve"> sustain 5 years of growth </w:t>
      </w:r>
      <w:r w:rsidR="00B46A55">
        <w:rPr>
          <w:rFonts w:ascii="Times New Roman" w:hAnsi="Times New Roman" w:cs="Times New Roman"/>
          <w:color w:val="131413"/>
        </w:rPr>
        <w:t xml:space="preserve">across an average of five metrics, it is reasonable to </w:t>
      </w:r>
      <w:r w:rsidR="005971C7">
        <w:rPr>
          <w:rFonts w:ascii="Times New Roman" w:hAnsi="Times New Roman" w:cs="Times New Roman"/>
          <w:color w:val="131413"/>
        </w:rPr>
        <w:t>assume this trend will continue, at least in the short term.</w:t>
      </w:r>
      <w:r w:rsidR="00313533">
        <w:rPr>
          <w:rFonts w:ascii="Times New Roman" w:hAnsi="Times New Roman" w:cs="Times New Roman"/>
          <w:color w:val="131413"/>
        </w:rPr>
        <w:t xml:space="preserve"> </w:t>
      </w:r>
      <w:r w:rsidR="0070710D">
        <w:rPr>
          <w:rFonts w:ascii="Times New Roman" w:hAnsi="Times New Roman" w:cs="Times New Roman"/>
          <w:color w:val="131413"/>
        </w:rPr>
        <w:t>A characteristic</w:t>
      </w:r>
      <w:r w:rsidR="005971C7">
        <w:rPr>
          <w:rFonts w:ascii="Times New Roman" w:hAnsi="Times New Roman" w:cs="Times New Roman"/>
          <w:color w:val="131413"/>
        </w:rPr>
        <w:t xml:space="preserve"> of this measure in relation to th</w:t>
      </w:r>
      <w:r w:rsidR="00313533">
        <w:rPr>
          <w:rFonts w:ascii="Times New Roman" w:hAnsi="Times New Roman" w:cs="Times New Roman"/>
          <w:color w:val="131413"/>
        </w:rPr>
        <w:t>e “</w:t>
      </w:r>
      <w:r w:rsidR="005971C7">
        <w:rPr>
          <w:rFonts w:ascii="Times New Roman" w:hAnsi="Times New Roman" w:cs="Times New Roman"/>
          <w:color w:val="131413"/>
        </w:rPr>
        <w:t>QMJ</w:t>
      </w:r>
      <w:r w:rsidR="00313533">
        <w:rPr>
          <w:rFonts w:ascii="Times New Roman" w:hAnsi="Times New Roman" w:cs="Times New Roman"/>
          <w:color w:val="131413"/>
        </w:rPr>
        <w:t xml:space="preserve">: Safety” component is that the former </w:t>
      </w:r>
      <w:r w:rsidR="00D07C1C">
        <w:rPr>
          <w:rFonts w:ascii="Times New Roman" w:hAnsi="Times New Roman" w:cs="Times New Roman"/>
          <w:color w:val="131413"/>
        </w:rPr>
        <w:t xml:space="preserve">is more adequate for investors with a higher risk desire/tolerance being able to capture high </w:t>
      </w:r>
      <w:r w:rsidR="0068650D">
        <w:rPr>
          <w:rFonts w:ascii="Times New Roman" w:hAnsi="Times New Roman" w:cs="Times New Roman"/>
          <w:color w:val="131413"/>
        </w:rPr>
        <w:t>leverage, high beta, high risk and volatility stocks</w:t>
      </w:r>
      <w:r w:rsidR="005F233C">
        <w:rPr>
          <w:rFonts w:ascii="Times New Roman" w:hAnsi="Times New Roman" w:cs="Times New Roman"/>
          <w:color w:val="131413"/>
        </w:rPr>
        <w:t xml:space="preserve">, which, given the small extent prices are explained by quality (around 10% </w:t>
      </w:r>
      <w:r w:rsidR="00D97DAA">
        <w:rPr>
          <w:rFonts w:ascii="Times New Roman" w:hAnsi="Times New Roman" w:cs="Times New Roman"/>
          <w:color w:val="131413"/>
        </w:rPr>
        <w:t xml:space="preserve">in (insert paper)), can yield </w:t>
      </w:r>
      <w:r w:rsidR="00E065DE">
        <w:rPr>
          <w:rFonts w:ascii="Times New Roman" w:hAnsi="Times New Roman" w:cs="Times New Roman"/>
          <w:color w:val="131413"/>
        </w:rPr>
        <w:t>larger returns for a smaller risk.</w:t>
      </w:r>
      <w:r w:rsidR="007443E8">
        <w:rPr>
          <w:rFonts w:ascii="Times New Roman" w:hAnsi="Times New Roman" w:cs="Times New Roman"/>
          <w:color w:val="131413"/>
        </w:rPr>
        <w:t xml:space="preserve"> </w:t>
      </w:r>
      <w:r w:rsidR="007443E8" w:rsidRPr="007443E8">
        <w:rPr>
          <w:rFonts w:ascii="Times New Roman" w:hAnsi="Times New Roman" w:cs="Times New Roman"/>
          <w:b/>
          <w:bCs/>
          <w:color w:val="131413"/>
        </w:rPr>
        <w:t>(MISSING A PREVIEW OF THE PERFORMANCE OF THE PRIMARY STRATEGY)</w:t>
      </w:r>
    </w:p>
    <w:p w14:paraId="7DF1E57B" w14:textId="17818779" w:rsidR="00EC1E2D" w:rsidRDefault="00DA6B1B" w:rsidP="001F70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  <w:r>
        <w:rPr>
          <w:rFonts w:ascii="Times New Roman" w:hAnsi="Times New Roman" w:cs="Times New Roman"/>
          <w:color w:val="131413"/>
        </w:rPr>
        <w:t>Therefore, as a stand-alone port</w:t>
      </w:r>
      <w:r w:rsidR="005A6D59">
        <w:rPr>
          <w:rFonts w:ascii="Times New Roman" w:hAnsi="Times New Roman" w:cs="Times New Roman"/>
          <w:color w:val="131413"/>
        </w:rPr>
        <w:t>folio, this strategy could perhaps achieve a reasonable balance between return upside and risk, given th</w:t>
      </w:r>
      <w:r w:rsidR="00BA4F75">
        <w:rPr>
          <w:rFonts w:ascii="Times New Roman" w:hAnsi="Times New Roman" w:cs="Times New Roman"/>
          <w:color w:val="131413"/>
        </w:rPr>
        <w:t>at the measure is (1) very complete (same as profitability component minus accruals)</w:t>
      </w:r>
      <w:r w:rsidR="006F5DC5">
        <w:rPr>
          <w:rFonts w:ascii="Times New Roman" w:hAnsi="Times New Roman" w:cs="Times New Roman"/>
          <w:color w:val="131413"/>
        </w:rPr>
        <w:t>, (2) is observed over a 5 year window</w:t>
      </w:r>
      <w:r w:rsidR="00947D20">
        <w:rPr>
          <w:rFonts w:ascii="Times New Roman" w:hAnsi="Times New Roman" w:cs="Times New Roman"/>
          <w:color w:val="131413"/>
        </w:rPr>
        <w:t>, therefore filtering out noise and focusing on sustainable growth</w:t>
      </w:r>
      <w:r w:rsidR="00086521">
        <w:rPr>
          <w:rFonts w:ascii="Times New Roman" w:hAnsi="Times New Roman" w:cs="Times New Roman"/>
          <w:color w:val="131413"/>
        </w:rPr>
        <w:t xml:space="preserve"> and (3) given the current economic outlook, where we are likely to experience a short </w:t>
      </w:r>
      <w:r w:rsidR="000731A4">
        <w:rPr>
          <w:rFonts w:ascii="Times New Roman" w:hAnsi="Times New Roman" w:cs="Times New Roman"/>
          <w:color w:val="131413"/>
        </w:rPr>
        <w:t xml:space="preserve">boom from the pandemic recovery followed by a market correction, this </w:t>
      </w:r>
      <w:r w:rsidR="00BB147F" w:rsidRPr="009543D3">
        <w:rPr>
          <w:rFonts w:ascii="Times New Roman" w:hAnsi="Times New Roman" w:cs="Times New Roman"/>
          <w:color w:val="131413"/>
        </w:rPr>
        <w:t>strategy</w:t>
      </w:r>
      <w:r w:rsidR="000731A4">
        <w:rPr>
          <w:rFonts w:ascii="Times New Roman" w:hAnsi="Times New Roman" w:cs="Times New Roman"/>
          <w:color w:val="131413"/>
        </w:rPr>
        <w:t xml:space="preserve"> is able to take </w:t>
      </w:r>
      <w:r w:rsidR="005F1974">
        <w:rPr>
          <w:rFonts w:ascii="Times New Roman" w:hAnsi="Times New Roman" w:cs="Times New Roman"/>
          <w:color w:val="131413"/>
        </w:rPr>
        <w:t xml:space="preserve">balanced amounts of risk, not compromising short term potential return upside, while </w:t>
      </w:r>
      <w:r w:rsidR="00D40F4A">
        <w:rPr>
          <w:rFonts w:ascii="Times New Roman" w:hAnsi="Times New Roman" w:cs="Times New Roman"/>
          <w:color w:val="131413"/>
        </w:rPr>
        <w:lastRenderedPageBreak/>
        <w:t xml:space="preserve">still having solid fundamentals in the event of an economic downturn, </w:t>
      </w:r>
      <w:r w:rsidR="001F7096">
        <w:rPr>
          <w:rFonts w:ascii="Times New Roman" w:hAnsi="Times New Roman" w:cs="Times New Roman"/>
          <w:color w:val="131413"/>
        </w:rPr>
        <w:t>albeit</w:t>
      </w:r>
      <w:r w:rsidR="00D40F4A">
        <w:rPr>
          <w:rFonts w:ascii="Times New Roman" w:hAnsi="Times New Roman" w:cs="Times New Roman"/>
          <w:color w:val="131413"/>
        </w:rPr>
        <w:t xml:space="preserve"> significantly more exposed to the technological industry and other high beta, </w:t>
      </w:r>
      <w:r w:rsidR="00633946">
        <w:rPr>
          <w:rFonts w:ascii="Times New Roman" w:hAnsi="Times New Roman" w:cs="Times New Roman"/>
          <w:color w:val="131413"/>
        </w:rPr>
        <w:t>high volatility stoc</w:t>
      </w:r>
      <w:r w:rsidR="002E412F">
        <w:rPr>
          <w:rFonts w:ascii="Times New Roman" w:hAnsi="Times New Roman" w:cs="Times New Roman"/>
          <w:color w:val="131413"/>
        </w:rPr>
        <w:t>ks.</w:t>
      </w:r>
    </w:p>
    <w:p w14:paraId="4C976CA4" w14:textId="10F1E2B4" w:rsidR="00CA6AFE" w:rsidRDefault="00CA6AFE" w:rsidP="00CA6A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 w:rsidRPr="007443E8">
        <w:rPr>
          <w:rFonts w:ascii="Times New Roman" w:hAnsi="Times New Roman" w:cs="Times New Roman"/>
          <w:b/>
          <w:bCs/>
          <w:color w:val="131413"/>
        </w:rPr>
        <w:t>3.</w:t>
      </w:r>
      <w:r>
        <w:rPr>
          <w:rFonts w:ascii="Times New Roman" w:hAnsi="Times New Roman" w:cs="Times New Roman"/>
          <w:b/>
          <w:bCs/>
          <w:color w:val="131413"/>
        </w:rPr>
        <w:t>2 Strategy Analysis</w:t>
      </w:r>
    </w:p>
    <w:p w14:paraId="5D71B42A" w14:textId="1D0EE933" w:rsidR="002A0334" w:rsidRDefault="000D6A26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  <w:r>
        <w:rPr>
          <w:rFonts w:ascii="Times New Roman" w:hAnsi="Times New Roman" w:cs="Times New Roman"/>
          <w:color w:val="131413"/>
        </w:rPr>
        <w:t xml:space="preserve">To analyze this </w:t>
      </w:r>
      <w:r w:rsidR="00F81ECF">
        <w:rPr>
          <w:rFonts w:ascii="Times New Roman" w:hAnsi="Times New Roman" w:cs="Times New Roman"/>
          <w:color w:val="131413"/>
        </w:rPr>
        <w:t>indicator,</w:t>
      </w:r>
      <w:r>
        <w:rPr>
          <w:rFonts w:ascii="Times New Roman" w:hAnsi="Times New Roman" w:cs="Times New Roman"/>
          <w:color w:val="131413"/>
        </w:rPr>
        <w:t xml:space="preserve"> </w:t>
      </w:r>
      <w:r w:rsidR="00397445">
        <w:rPr>
          <w:rFonts w:ascii="Times New Roman" w:hAnsi="Times New Roman" w:cs="Times New Roman"/>
          <w:color w:val="131413"/>
        </w:rPr>
        <w:t>we are going to evaluate portfolio performance using</w:t>
      </w:r>
      <w:r w:rsidR="006F5F84">
        <w:rPr>
          <w:rFonts w:ascii="Times New Roman" w:hAnsi="Times New Roman" w:cs="Times New Roman"/>
          <w:color w:val="131413"/>
        </w:rPr>
        <w:t xml:space="preserve"> the</w:t>
      </w:r>
      <w:r w:rsidR="00722128">
        <w:rPr>
          <w:rFonts w:ascii="Times New Roman" w:hAnsi="Times New Roman" w:cs="Times New Roman"/>
          <w:color w:val="131413"/>
        </w:rPr>
        <w:t xml:space="preserve"> Arbitrage Pri</w:t>
      </w:r>
      <w:r w:rsidR="00F06350">
        <w:rPr>
          <w:rFonts w:ascii="Times New Roman" w:hAnsi="Times New Roman" w:cs="Times New Roman"/>
          <w:color w:val="131413"/>
        </w:rPr>
        <w:t>cing Theory</w:t>
      </w:r>
      <w:r w:rsidR="00D735F7">
        <w:rPr>
          <w:rFonts w:ascii="Times New Roman" w:hAnsi="Times New Roman" w:cs="Times New Roman"/>
          <w:color w:val="131413"/>
        </w:rPr>
        <w:t xml:space="preserve"> of Stephen Ross (1976) – CITAR MELHOR </w:t>
      </w:r>
      <w:r w:rsidR="0000695E">
        <w:rPr>
          <w:rFonts w:ascii="Times New Roman" w:hAnsi="Times New Roman" w:cs="Times New Roman"/>
          <w:color w:val="131413"/>
        </w:rPr>
        <w:t>–</w:t>
      </w:r>
      <w:r w:rsidR="00486A4D">
        <w:rPr>
          <w:rFonts w:ascii="Times New Roman" w:hAnsi="Times New Roman" w:cs="Times New Roman"/>
          <w:color w:val="131413"/>
        </w:rPr>
        <w:t xml:space="preserve"> </w:t>
      </w:r>
      <w:r w:rsidR="007A1BA9">
        <w:rPr>
          <w:rFonts w:ascii="Times New Roman" w:hAnsi="Times New Roman" w:cs="Times New Roman"/>
          <w:color w:val="131413"/>
        </w:rPr>
        <w:t>In essence we want to evaluate</w:t>
      </w:r>
      <w:r w:rsidR="006D0EF9">
        <w:rPr>
          <w:rFonts w:ascii="Times New Roman" w:hAnsi="Times New Roman" w:cs="Times New Roman"/>
          <w:color w:val="131413"/>
        </w:rPr>
        <w:t xml:space="preserve"> how much do the risk-factors of the</w:t>
      </w:r>
      <w:r w:rsidR="007A1BA9">
        <w:rPr>
          <w:rFonts w:ascii="Times New Roman" w:hAnsi="Times New Roman" w:cs="Times New Roman"/>
          <w:color w:val="131413"/>
        </w:rPr>
        <w:t xml:space="preserve"> CAPM and the </w:t>
      </w:r>
      <w:proofErr w:type="spellStart"/>
      <w:r w:rsidR="005C570A">
        <w:rPr>
          <w:rFonts w:ascii="Times New Roman" w:hAnsi="Times New Roman" w:cs="Times New Roman"/>
          <w:color w:val="131413"/>
        </w:rPr>
        <w:t>Fama</w:t>
      </w:r>
      <w:proofErr w:type="spellEnd"/>
      <w:r w:rsidR="007A1BA9">
        <w:rPr>
          <w:rFonts w:ascii="Times New Roman" w:hAnsi="Times New Roman" w:cs="Times New Roman"/>
          <w:color w:val="131413"/>
        </w:rPr>
        <w:t xml:space="preserve"> French 3 Factor Model</w:t>
      </w:r>
      <w:r w:rsidR="006D0EF9">
        <w:rPr>
          <w:rFonts w:ascii="Times New Roman" w:hAnsi="Times New Roman" w:cs="Times New Roman"/>
          <w:color w:val="131413"/>
        </w:rPr>
        <w:t xml:space="preserve">s explain the </w:t>
      </w:r>
      <w:r w:rsidR="007123FA">
        <w:rPr>
          <w:rFonts w:ascii="Times New Roman" w:hAnsi="Times New Roman" w:cs="Times New Roman"/>
          <w:color w:val="131413"/>
        </w:rPr>
        <w:t>returns of the indicator’s portfoli</w:t>
      </w:r>
      <w:r w:rsidR="006D0EF9">
        <w:rPr>
          <w:rFonts w:ascii="Times New Roman" w:hAnsi="Times New Roman" w:cs="Times New Roman"/>
          <w:color w:val="131413"/>
        </w:rPr>
        <w:t>o</w:t>
      </w:r>
      <w:r w:rsidR="007123FA">
        <w:rPr>
          <w:rFonts w:ascii="Times New Roman" w:hAnsi="Times New Roman" w:cs="Times New Roman"/>
          <w:color w:val="131413"/>
        </w:rPr>
        <w:t>.</w:t>
      </w:r>
      <w:r w:rsidR="006D0EF9">
        <w:rPr>
          <w:rFonts w:ascii="Times New Roman" w:hAnsi="Times New Roman" w:cs="Times New Roman"/>
          <w:color w:val="131413"/>
        </w:rPr>
        <w:t xml:space="preserve"> </w:t>
      </w:r>
      <w:r w:rsidR="006F04FA">
        <w:rPr>
          <w:rFonts w:ascii="Times New Roman" w:hAnsi="Times New Roman" w:cs="Times New Roman"/>
          <w:color w:val="131413"/>
        </w:rPr>
        <w:t>Intuitively</w:t>
      </w:r>
      <w:r w:rsidR="00504E24">
        <w:rPr>
          <w:rFonts w:ascii="Times New Roman" w:hAnsi="Times New Roman" w:cs="Times New Roman"/>
          <w:color w:val="131413"/>
        </w:rPr>
        <w:t xml:space="preserve">, </w:t>
      </w:r>
      <w:r w:rsidR="006F04FA">
        <w:rPr>
          <w:rFonts w:ascii="Times New Roman" w:hAnsi="Times New Roman" w:cs="Times New Roman"/>
          <w:color w:val="131413"/>
        </w:rPr>
        <w:t xml:space="preserve">risk factors are </w:t>
      </w:r>
      <w:r w:rsidR="00E74EFD">
        <w:rPr>
          <w:rFonts w:ascii="Times New Roman" w:hAnsi="Times New Roman" w:cs="Times New Roman"/>
          <w:color w:val="131413"/>
        </w:rPr>
        <w:t>portfolios,</w:t>
      </w:r>
      <w:r w:rsidR="00E4226A">
        <w:rPr>
          <w:rFonts w:ascii="Times New Roman" w:hAnsi="Times New Roman" w:cs="Times New Roman"/>
          <w:color w:val="131413"/>
        </w:rPr>
        <w:t xml:space="preserve"> and their expected excess return is a compensation to investors for bearing the risk of holding these portfolios. </w:t>
      </w:r>
      <w:r w:rsidR="008A0E6C">
        <w:rPr>
          <w:rFonts w:ascii="Times New Roman" w:hAnsi="Times New Roman" w:cs="Times New Roman"/>
          <w:color w:val="131413"/>
        </w:rPr>
        <w:t xml:space="preserve">Now, when we regress the indicator’s portfolio on these risk </w:t>
      </w:r>
      <w:r w:rsidR="00786B05">
        <w:rPr>
          <w:rFonts w:ascii="Times New Roman" w:hAnsi="Times New Roman" w:cs="Times New Roman"/>
          <w:color w:val="131413"/>
        </w:rPr>
        <w:t>factors,</w:t>
      </w:r>
      <w:r w:rsidR="008A0E6C">
        <w:rPr>
          <w:rFonts w:ascii="Times New Roman" w:hAnsi="Times New Roman" w:cs="Times New Roman"/>
          <w:color w:val="131413"/>
        </w:rPr>
        <w:t xml:space="preserve"> we obtain the exposure </w:t>
      </w:r>
      <w:r w:rsidR="00D86D7A">
        <w:rPr>
          <w:rFonts w:ascii="Times New Roman" w:hAnsi="Times New Roman" w:cs="Times New Roman"/>
          <w:color w:val="131413"/>
        </w:rPr>
        <w:t xml:space="preserve">of the portfolio to that specific risk factor, represented by the coefficients. </w:t>
      </w:r>
      <w:r w:rsidR="00A4587B">
        <w:rPr>
          <w:rFonts w:ascii="Times New Roman" w:hAnsi="Times New Roman" w:cs="Times New Roman"/>
          <w:color w:val="131413"/>
        </w:rPr>
        <w:t xml:space="preserve">The </w:t>
      </w:r>
      <w:r w:rsidR="00786B05">
        <w:rPr>
          <w:rFonts w:ascii="Times New Roman" w:hAnsi="Times New Roman" w:cs="Times New Roman"/>
          <w:color w:val="131413"/>
        </w:rPr>
        <w:t>intercept of this regression</w:t>
      </w:r>
      <w:r w:rsidR="00A4587B">
        <w:rPr>
          <w:rFonts w:ascii="Times New Roman" w:hAnsi="Times New Roman" w:cs="Times New Roman"/>
          <w:color w:val="131413"/>
        </w:rPr>
        <w:t xml:space="preserve"> is the (alpha)</w:t>
      </w:r>
      <w:r w:rsidR="007D1050">
        <w:rPr>
          <w:rFonts w:ascii="Times New Roman" w:hAnsi="Times New Roman" w:cs="Times New Roman"/>
          <w:color w:val="131413"/>
        </w:rPr>
        <w:t>, the risk-adjusted return, that is, the</w:t>
      </w:r>
      <w:r w:rsidR="004D69D4">
        <w:rPr>
          <w:rFonts w:ascii="Times New Roman" w:hAnsi="Times New Roman" w:cs="Times New Roman"/>
          <w:color w:val="131413"/>
        </w:rPr>
        <w:t xml:space="preserve"> average portfolio return that is not explained by the portfolio’s </w:t>
      </w:r>
      <w:r w:rsidR="005C570A">
        <w:rPr>
          <w:rFonts w:ascii="Times New Roman" w:hAnsi="Times New Roman" w:cs="Times New Roman"/>
          <w:color w:val="131413"/>
        </w:rPr>
        <w:t>betas</w:t>
      </w:r>
      <w:r w:rsidR="009A77CA">
        <w:rPr>
          <w:rFonts w:ascii="Times New Roman" w:hAnsi="Times New Roman" w:cs="Times New Roman"/>
          <w:color w:val="131413"/>
        </w:rPr>
        <w:t xml:space="preserve"> on the risk factors.</w:t>
      </w:r>
      <w:r w:rsidR="005C570A">
        <w:rPr>
          <w:rFonts w:ascii="Times New Roman" w:hAnsi="Times New Roman" w:cs="Times New Roman"/>
          <w:color w:val="131413"/>
        </w:rPr>
        <w:t xml:space="preserve"> Intuitively, </w:t>
      </w:r>
      <w:r w:rsidR="00786B05">
        <w:rPr>
          <w:rFonts w:ascii="Times New Roman" w:hAnsi="Times New Roman" w:cs="Times New Roman"/>
          <w:color w:val="131413"/>
        </w:rPr>
        <w:t>alpha</w:t>
      </w:r>
      <w:r w:rsidR="00544C7C">
        <w:rPr>
          <w:rFonts w:ascii="Times New Roman" w:hAnsi="Times New Roman" w:cs="Times New Roman"/>
          <w:color w:val="131413"/>
        </w:rPr>
        <w:t xml:space="preserve">, if positive, </w:t>
      </w:r>
      <w:r w:rsidR="002A0334">
        <w:rPr>
          <w:rFonts w:ascii="Times New Roman" w:hAnsi="Times New Roman" w:cs="Times New Roman"/>
          <w:color w:val="131413"/>
        </w:rPr>
        <w:t>investors are getting a higher return than required by holding that risk.</w:t>
      </w:r>
      <w:r w:rsidR="00FA67AB">
        <w:rPr>
          <w:rFonts w:ascii="Times New Roman" w:hAnsi="Times New Roman" w:cs="Times New Roman"/>
          <w:color w:val="131413"/>
        </w:rPr>
        <w:t xml:space="preserve"> This alpha is then, unrelated to the portfolio’s risk</w:t>
      </w:r>
      <w:r w:rsidR="00E74EFD">
        <w:rPr>
          <w:rFonts w:ascii="Times New Roman" w:hAnsi="Times New Roman" w:cs="Times New Roman"/>
          <w:color w:val="131413"/>
        </w:rPr>
        <w:t>.</w:t>
      </w:r>
    </w:p>
    <w:p w14:paraId="5EC277EC" w14:textId="77777777" w:rsidR="00611062" w:rsidRDefault="00AF781C" w:rsidP="002A0334">
      <w:pPr>
        <w:autoSpaceDE w:val="0"/>
        <w:autoSpaceDN w:val="0"/>
        <w:adjustRightInd w:val="0"/>
        <w:spacing w:after="0" w:line="360" w:lineRule="auto"/>
        <w:rPr>
          <w:rStyle w:val="CommentReference"/>
        </w:rPr>
      </w:pPr>
      <w:r>
        <w:rPr>
          <w:rFonts w:ascii="Times New Roman" w:hAnsi="Times New Roman" w:cs="Times New Roman"/>
          <w:color w:val="131413"/>
        </w:rPr>
        <w:t>Regarding th</w:t>
      </w:r>
      <w:r w:rsidR="00CE67B2">
        <w:rPr>
          <w:rFonts w:ascii="Times New Roman" w:hAnsi="Times New Roman" w:cs="Times New Roman"/>
          <w:color w:val="131413"/>
        </w:rPr>
        <w:t>e indicator’s portfolio, o</w:t>
      </w:r>
      <w:r w:rsidRPr="009543D3">
        <w:rPr>
          <w:rFonts w:ascii="Times New Roman" w:hAnsi="Times New Roman" w:cs="Times New Roman"/>
          <w:color w:val="131413"/>
        </w:rPr>
        <w:t>n (insert paper) th</w:t>
      </w:r>
      <w:r w:rsidR="00CE67B2">
        <w:rPr>
          <w:rFonts w:ascii="Times New Roman" w:hAnsi="Times New Roman" w:cs="Times New Roman"/>
          <w:color w:val="131413"/>
        </w:rPr>
        <w:t>e “</w:t>
      </w:r>
      <w:proofErr w:type="spellStart"/>
      <w:proofErr w:type="gramStart"/>
      <w:r w:rsidR="00611062">
        <w:rPr>
          <w:rFonts w:ascii="Times New Roman" w:hAnsi="Times New Roman" w:cs="Times New Roman"/>
          <w:color w:val="131413"/>
        </w:rPr>
        <w:t>QMJ:Growht</w:t>
      </w:r>
      <w:proofErr w:type="spellEnd"/>
      <w:proofErr w:type="gramEnd"/>
      <w:r w:rsidR="00CE67B2">
        <w:rPr>
          <w:rFonts w:ascii="Times New Roman" w:hAnsi="Times New Roman" w:cs="Times New Roman"/>
          <w:color w:val="131413"/>
        </w:rPr>
        <w:t>”</w:t>
      </w:r>
      <w:r w:rsidRPr="009543D3">
        <w:rPr>
          <w:rFonts w:ascii="Times New Roman" w:hAnsi="Times New Roman" w:cs="Times New Roman"/>
          <w:color w:val="131413"/>
        </w:rPr>
        <w:t xml:space="preserve"> is constructed from standard measures of profitability and growth and computed “as the five-year growth in residual per-share profitability measures (excluding accruals), averaged across five measures.” The five-year window is used to reduce noise and focus on sustainable growth. (Insert Formula) (insert correct citation).</w:t>
      </w:r>
    </w:p>
    <w:p w14:paraId="122B12DA" w14:textId="4D28A233" w:rsidR="00611062" w:rsidRDefault="00611062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  <w:r>
        <w:rPr>
          <w:rFonts w:ascii="Times New Roman" w:hAnsi="Times New Roman" w:cs="Times New Roman"/>
          <w:color w:val="131413"/>
        </w:rPr>
        <w:t>Results:</w:t>
      </w:r>
    </w:p>
    <w:p w14:paraId="2AE35BBD" w14:textId="65E67998" w:rsidR="00611062" w:rsidRDefault="002D61B4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>
        <w:rPr>
          <w:rFonts w:ascii="Times New Roman" w:hAnsi="Times New Roman" w:cs="Times New Roman"/>
          <w:b/>
          <w:bCs/>
          <w:color w:val="131413"/>
        </w:rPr>
        <w:t>Cumulative Return</w:t>
      </w:r>
      <w:r w:rsidR="0005515A" w:rsidRPr="00640A74">
        <w:rPr>
          <w:rFonts w:ascii="Times New Roman" w:hAnsi="Times New Roman" w:cs="Times New Roman"/>
          <w:b/>
          <w:bCs/>
          <w:color w:val="131413"/>
        </w:rPr>
        <w:t xml:space="preserve"> of long-only and long-short portfolios </w:t>
      </w:r>
      <w:r w:rsidR="00BF1A7D">
        <w:rPr>
          <w:rFonts w:ascii="Times New Roman" w:hAnsi="Times New Roman" w:cs="Times New Roman"/>
          <w:b/>
          <w:bCs/>
          <w:color w:val="131413"/>
        </w:rPr>
        <w:t>– Left Normalized to 10% volatility</w:t>
      </w:r>
    </w:p>
    <w:p w14:paraId="777E0840" w14:textId="31C8E1FE" w:rsidR="0018334F" w:rsidRPr="00640A74" w:rsidRDefault="001B1DF0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>
        <w:rPr>
          <w:rFonts w:ascii="Times New Roman" w:hAnsi="Times New Roman" w:cs="Times New Roman"/>
          <w:b/>
          <w:bCs/>
          <w:noProof/>
          <w:color w:val="131413"/>
        </w:rPr>
        <w:drawing>
          <wp:inline distT="0" distB="0" distL="0" distR="0" wp14:anchorId="02929ECD" wp14:editId="1882C72F">
            <wp:extent cx="5612130" cy="2817495"/>
            <wp:effectExtent l="0" t="0" r="7620" b="1905"/>
            <wp:docPr id="5" name="Picture 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548A" w14:textId="3EB857A3" w:rsidR="0086182D" w:rsidRDefault="0086182D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</w:p>
    <w:p w14:paraId="4106CE0C" w14:textId="3D1B874A" w:rsidR="00D62F21" w:rsidRDefault="00D62F21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</w:p>
    <w:p w14:paraId="6421EF0F" w14:textId="3B7C9BE6" w:rsidR="00D62F21" w:rsidRDefault="00D62F21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>
        <w:rPr>
          <w:rFonts w:ascii="Times New Roman" w:hAnsi="Times New Roman" w:cs="Times New Roman"/>
          <w:b/>
          <w:bCs/>
          <w:color w:val="131413"/>
        </w:rPr>
        <w:lastRenderedPageBreak/>
        <w:t>Table Report</w:t>
      </w:r>
    </w:p>
    <w:p w14:paraId="36758E90" w14:textId="092AAC60" w:rsidR="009D3987" w:rsidRPr="00640A74" w:rsidRDefault="009D3987" w:rsidP="002A03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 w:rsidRPr="009D3987">
        <w:drawing>
          <wp:inline distT="0" distB="0" distL="0" distR="0" wp14:anchorId="0D65780D" wp14:editId="7B601367">
            <wp:extent cx="5813503" cy="131162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66" cy="13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FDF4" w14:textId="333646FC" w:rsidR="00CA6AFE" w:rsidRPr="000E503C" w:rsidRDefault="00CA6AFE" w:rsidP="00A20A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</w:p>
    <w:p w14:paraId="6BEE57C3" w14:textId="77777777" w:rsidR="00FE7CD8" w:rsidRDefault="00FE7CD8" w:rsidP="00FE7CD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LMRoman10-Regular" w:hAnsi="LMRoman10-Regular" w:cs="LMRoman10-Regular"/>
          <w:sz w:val="20"/>
          <w:szCs w:val="20"/>
        </w:rPr>
        <w:t>Discuss these results and what you learn from them. Include a</w:t>
      </w:r>
    </w:p>
    <w:p w14:paraId="2D10F9F7" w14:textId="121CF4E6" w:rsidR="00FE7CD8" w:rsidRDefault="00FE7CD8" w:rsidP="00FE7CD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description of prior work on this topic or related topics, how your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findings are similar and how they differ, and your interpretation of</w:t>
      </w:r>
    </w:p>
    <w:p w14:paraId="146CAE8F" w14:textId="58B79413" w:rsidR="00FE7CD8" w:rsidRDefault="00FE7CD8" w:rsidP="00FE7CD8">
      <w:p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these findings</w:t>
      </w:r>
    </w:p>
    <w:p w14:paraId="0A2B8814" w14:textId="5451DB97" w:rsidR="001036D2" w:rsidRDefault="001036D2" w:rsidP="00343A43">
      <w:pPr>
        <w:tabs>
          <w:tab w:val="left" w:pos="46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 w:rsidRPr="007443E8">
        <w:rPr>
          <w:rFonts w:ascii="Times New Roman" w:hAnsi="Times New Roman" w:cs="Times New Roman"/>
          <w:b/>
          <w:bCs/>
          <w:color w:val="131413"/>
        </w:rPr>
        <w:t>3.</w:t>
      </w:r>
      <w:r>
        <w:rPr>
          <w:rFonts w:ascii="Times New Roman" w:hAnsi="Times New Roman" w:cs="Times New Roman"/>
          <w:b/>
          <w:bCs/>
          <w:color w:val="131413"/>
        </w:rPr>
        <w:t>3</w:t>
      </w:r>
      <w:r>
        <w:rPr>
          <w:rFonts w:ascii="Times New Roman" w:hAnsi="Times New Roman" w:cs="Times New Roman"/>
          <w:b/>
          <w:bCs/>
          <w:color w:val="131413"/>
        </w:rPr>
        <w:t xml:space="preserve"> Strategy </w:t>
      </w:r>
      <w:r>
        <w:rPr>
          <w:rFonts w:ascii="Times New Roman" w:hAnsi="Times New Roman" w:cs="Times New Roman"/>
          <w:b/>
          <w:bCs/>
          <w:color w:val="131413"/>
        </w:rPr>
        <w:t>as part of Diversified Portfolio</w:t>
      </w:r>
      <w:r w:rsidR="00343A43">
        <w:rPr>
          <w:rFonts w:ascii="Times New Roman" w:hAnsi="Times New Roman" w:cs="Times New Roman"/>
          <w:b/>
          <w:bCs/>
          <w:color w:val="131413"/>
        </w:rPr>
        <w:tab/>
      </w:r>
    </w:p>
    <w:p w14:paraId="054B05E1" w14:textId="699E3357" w:rsidR="00833B10" w:rsidRDefault="00A3310D" w:rsidP="00833B10">
      <w:pPr>
        <w:tabs>
          <w:tab w:val="left" w:pos="46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  <w:r>
        <w:rPr>
          <w:rFonts w:ascii="Times New Roman" w:hAnsi="Times New Roman" w:cs="Times New Roman"/>
          <w:color w:val="131413"/>
        </w:rPr>
        <w:t xml:space="preserve">Now </w:t>
      </w:r>
      <w:r w:rsidR="00014696">
        <w:rPr>
          <w:rFonts w:ascii="Times New Roman" w:hAnsi="Times New Roman" w:cs="Times New Roman"/>
          <w:color w:val="131413"/>
        </w:rPr>
        <w:t>we are</w:t>
      </w:r>
      <w:r>
        <w:rPr>
          <w:rFonts w:ascii="Times New Roman" w:hAnsi="Times New Roman" w:cs="Times New Roman"/>
          <w:color w:val="131413"/>
        </w:rPr>
        <w:t xml:space="preserve"> going to do the Mean-variance portfolio optimization.</w:t>
      </w:r>
      <w:r w:rsidR="00F8067E">
        <w:rPr>
          <w:rFonts w:ascii="Times New Roman" w:hAnsi="Times New Roman" w:cs="Times New Roman"/>
          <w:color w:val="131413"/>
        </w:rPr>
        <w:t xml:space="preserve"> </w:t>
      </w:r>
      <w:r w:rsidR="00014696">
        <w:rPr>
          <w:rFonts w:ascii="Times New Roman" w:hAnsi="Times New Roman" w:cs="Times New Roman"/>
          <w:color w:val="131413"/>
        </w:rPr>
        <w:t xml:space="preserve">This is a </w:t>
      </w:r>
      <w:r w:rsidR="00844042">
        <w:rPr>
          <w:rFonts w:ascii="Times New Roman" w:hAnsi="Times New Roman" w:cs="Times New Roman"/>
          <w:color w:val="131413"/>
        </w:rPr>
        <w:t>process of weighting risk, expressed as variance, against expected return</w:t>
      </w:r>
      <w:r w:rsidR="001F5AF3">
        <w:rPr>
          <w:rFonts w:ascii="Times New Roman" w:hAnsi="Times New Roman" w:cs="Times New Roman"/>
          <w:color w:val="131413"/>
        </w:rPr>
        <w:t xml:space="preserve"> and optimize it to find the best trade-off of </w:t>
      </w:r>
      <w:r w:rsidR="00FB4DC6">
        <w:rPr>
          <w:rFonts w:ascii="Times New Roman" w:hAnsi="Times New Roman" w:cs="Times New Roman"/>
          <w:color w:val="131413"/>
        </w:rPr>
        <w:t>risk-return</w:t>
      </w:r>
      <w:r w:rsidR="00B75525">
        <w:rPr>
          <w:rFonts w:ascii="Times New Roman" w:hAnsi="Times New Roman" w:cs="Times New Roman"/>
          <w:color w:val="131413"/>
        </w:rPr>
        <w:t xml:space="preserve">. </w:t>
      </w:r>
      <w:r w:rsidR="00A21134">
        <w:rPr>
          <w:rFonts w:ascii="Times New Roman" w:hAnsi="Times New Roman" w:cs="Times New Roman"/>
          <w:color w:val="131413"/>
        </w:rPr>
        <w:t>We</w:t>
      </w:r>
      <w:r w:rsidR="00B75525">
        <w:rPr>
          <w:rFonts w:ascii="Times New Roman" w:hAnsi="Times New Roman" w:cs="Times New Roman"/>
          <w:color w:val="131413"/>
        </w:rPr>
        <w:t xml:space="preserve"> want to find </w:t>
      </w:r>
      <w:r w:rsidR="00EF40B3">
        <w:rPr>
          <w:rFonts w:ascii="Times New Roman" w:hAnsi="Times New Roman" w:cs="Times New Roman"/>
          <w:color w:val="131413"/>
        </w:rPr>
        <w:t xml:space="preserve">the tangency portfolio, that is, the portfolio which, being fully invested in risky assets, has the maximum </w:t>
      </w:r>
      <w:r w:rsidR="00DB146C">
        <w:rPr>
          <w:rFonts w:ascii="Times New Roman" w:hAnsi="Times New Roman" w:cs="Times New Roman"/>
          <w:color w:val="131413"/>
        </w:rPr>
        <w:t xml:space="preserve">possible </w:t>
      </w:r>
      <w:r w:rsidR="00833B10">
        <w:rPr>
          <w:rFonts w:ascii="Times New Roman" w:hAnsi="Times New Roman" w:cs="Times New Roman"/>
          <w:color w:val="131413"/>
        </w:rPr>
        <w:t>sharp ratio</w:t>
      </w:r>
      <w:r w:rsidR="00AC6233">
        <w:rPr>
          <w:rFonts w:ascii="Times New Roman" w:hAnsi="Times New Roman" w:cs="Times New Roman"/>
          <w:color w:val="131413"/>
        </w:rPr>
        <w:t xml:space="preserve">. </w:t>
      </w:r>
      <w:r w:rsidR="0028402E">
        <w:rPr>
          <w:rFonts w:ascii="Times New Roman" w:hAnsi="Times New Roman" w:cs="Times New Roman"/>
          <w:color w:val="131413"/>
        </w:rPr>
        <w:t xml:space="preserve">Intuitively the tangency portfolio is </w:t>
      </w:r>
      <w:r w:rsidR="000A42BF">
        <w:rPr>
          <w:rFonts w:ascii="Times New Roman" w:hAnsi="Times New Roman" w:cs="Times New Roman"/>
          <w:color w:val="131413"/>
        </w:rPr>
        <w:t>the most efficient</w:t>
      </w:r>
      <w:r w:rsidR="006D4F07">
        <w:rPr>
          <w:rFonts w:ascii="Times New Roman" w:hAnsi="Times New Roman" w:cs="Times New Roman"/>
          <w:color w:val="131413"/>
        </w:rPr>
        <w:t xml:space="preserve">, generating the most return for every unit of risk </w:t>
      </w:r>
      <w:r w:rsidR="00833B10">
        <w:rPr>
          <w:rFonts w:ascii="Times New Roman" w:hAnsi="Times New Roman" w:cs="Times New Roman"/>
          <w:color w:val="131413"/>
        </w:rPr>
        <w:t>taken.</w:t>
      </w:r>
    </w:p>
    <w:p w14:paraId="159DB4D7" w14:textId="77777777" w:rsidR="001F5E12" w:rsidRPr="00640A74" w:rsidRDefault="001F5E12" w:rsidP="001F5E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 w:rsidRPr="00640A74">
        <w:rPr>
          <w:rFonts w:ascii="Times New Roman" w:hAnsi="Times New Roman" w:cs="Times New Roman"/>
          <w:b/>
          <w:bCs/>
          <w:color w:val="131413"/>
        </w:rPr>
        <w:t>Performance of long-only and long-short portfolios (Plot)</w:t>
      </w:r>
    </w:p>
    <w:p w14:paraId="5E2F665C" w14:textId="77777777" w:rsidR="001F5E12" w:rsidRPr="00640A74" w:rsidRDefault="001F5E12" w:rsidP="001F5E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 w:rsidRPr="00640A74">
        <w:rPr>
          <w:rFonts w:ascii="Times New Roman" w:hAnsi="Times New Roman" w:cs="Times New Roman"/>
          <w:b/>
          <w:bCs/>
          <w:color w:val="131413"/>
        </w:rPr>
        <w:t>Table report</w:t>
      </w:r>
    </w:p>
    <w:p w14:paraId="5B76B17C" w14:textId="77777777" w:rsidR="001F5E12" w:rsidRPr="00640A74" w:rsidRDefault="001F5E12" w:rsidP="001F5E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 w:rsidRPr="00640A74">
        <w:rPr>
          <w:rFonts w:ascii="Times New Roman" w:hAnsi="Times New Roman" w:cs="Times New Roman"/>
          <w:b/>
          <w:bCs/>
          <w:color w:val="131413"/>
        </w:rPr>
        <w:t>Discuss results</w:t>
      </w:r>
    </w:p>
    <w:p w14:paraId="752488B6" w14:textId="77777777" w:rsidR="001F5E12" w:rsidRDefault="001F5E12" w:rsidP="00833B10">
      <w:pPr>
        <w:tabs>
          <w:tab w:val="left" w:pos="46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</w:p>
    <w:p w14:paraId="757CEDBF" w14:textId="26B4E893" w:rsidR="0006706E" w:rsidRPr="00833B10" w:rsidRDefault="0006706E" w:rsidP="00833B10">
      <w:pPr>
        <w:tabs>
          <w:tab w:val="left" w:pos="46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31413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– </w:t>
      </w:r>
      <w:r>
        <w:rPr>
          <w:rFonts w:ascii="LMRoman10-Regular" w:hAnsi="LMRoman10-Regular" w:cs="LMRoman10-Regular"/>
          <w:sz w:val="20"/>
          <w:szCs w:val="20"/>
        </w:rPr>
        <w:t>Discuss these results and what you learn from them. Is your strategy</w:t>
      </w:r>
    </w:p>
    <w:p w14:paraId="54B9B19F" w14:textId="77777777" w:rsidR="0006706E" w:rsidRDefault="0006706E" w:rsidP="0006706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worth including in a diversified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portfolio?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How does the relatively</w:t>
      </w:r>
    </w:p>
    <w:p w14:paraId="363AF472" w14:textId="72DFF6B4" w:rsidR="0006706E" w:rsidRDefault="0006706E" w:rsidP="000670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31413"/>
        </w:rPr>
      </w:pPr>
      <w:r>
        <w:rPr>
          <w:rFonts w:ascii="LMRoman10-Regular" w:hAnsi="LMRoman10-Regular" w:cs="LMRoman10-Regular"/>
          <w:sz w:val="20"/>
          <w:szCs w:val="20"/>
        </w:rPr>
        <w:t xml:space="preserve">short time period (~20 years)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affect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your conclusions?</w:t>
      </w:r>
    </w:p>
    <w:p w14:paraId="48ED1D1C" w14:textId="0E7DC642" w:rsidR="001036D2" w:rsidRPr="00482BA2" w:rsidRDefault="001036D2" w:rsidP="001036D2">
      <w:pPr>
        <w:autoSpaceDE w:val="0"/>
        <w:autoSpaceDN w:val="0"/>
        <w:adjustRightInd w:val="0"/>
        <w:spacing w:after="0" w:line="360" w:lineRule="auto"/>
        <w:rPr>
          <w:rFonts w:ascii="ThvhmxAdvTT3713a231" w:hAnsi="ThvhmxAdvTT3713a231" w:cs="ThvhmxAdvTT3713a231"/>
          <w:color w:val="131413"/>
          <w:sz w:val="20"/>
          <w:szCs w:val="20"/>
        </w:rPr>
      </w:pPr>
    </w:p>
    <w:sectPr w:rsidR="001036D2" w:rsidRPr="00482BA2" w:rsidSect="009F2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vhmx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wqyycAdvTT577c760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bfyqlAdvTT50a2f13e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ychvAdvTT3713a231+2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MLAwNDKwNDcwNjZQ0lEKTi0uzszPAykwrgUATZsCGCwAAAA="/>
  </w:docVars>
  <w:rsids>
    <w:rsidRoot w:val="00116FEE"/>
    <w:rsid w:val="0000270D"/>
    <w:rsid w:val="00003997"/>
    <w:rsid w:val="0000695E"/>
    <w:rsid w:val="0000762C"/>
    <w:rsid w:val="000111F2"/>
    <w:rsid w:val="00014696"/>
    <w:rsid w:val="000177E1"/>
    <w:rsid w:val="00020403"/>
    <w:rsid w:val="00020B03"/>
    <w:rsid w:val="00043D61"/>
    <w:rsid w:val="0005515A"/>
    <w:rsid w:val="000665DD"/>
    <w:rsid w:val="0006706E"/>
    <w:rsid w:val="000731A4"/>
    <w:rsid w:val="00086521"/>
    <w:rsid w:val="00096EB4"/>
    <w:rsid w:val="000A42BF"/>
    <w:rsid w:val="000A60C2"/>
    <w:rsid w:val="000D0CF9"/>
    <w:rsid w:val="000D6A26"/>
    <w:rsid w:val="000E175B"/>
    <w:rsid w:val="000E503C"/>
    <w:rsid w:val="000E5658"/>
    <w:rsid w:val="001036D2"/>
    <w:rsid w:val="0011611B"/>
    <w:rsid w:val="00116FEE"/>
    <w:rsid w:val="00122334"/>
    <w:rsid w:val="00142086"/>
    <w:rsid w:val="001503EE"/>
    <w:rsid w:val="0015434E"/>
    <w:rsid w:val="0016206C"/>
    <w:rsid w:val="001753AA"/>
    <w:rsid w:val="0018334F"/>
    <w:rsid w:val="0019214E"/>
    <w:rsid w:val="001B1DF0"/>
    <w:rsid w:val="001B2AFB"/>
    <w:rsid w:val="001C4859"/>
    <w:rsid w:val="001F5AF3"/>
    <w:rsid w:val="001F5E12"/>
    <w:rsid w:val="001F7096"/>
    <w:rsid w:val="002003F0"/>
    <w:rsid w:val="00205138"/>
    <w:rsid w:val="00225C76"/>
    <w:rsid w:val="0023345D"/>
    <w:rsid w:val="00235656"/>
    <w:rsid w:val="00257DEE"/>
    <w:rsid w:val="0028402E"/>
    <w:rsid w:val="00291F86"/>
    <w:rsid w:val="002975A2"/>
    <w:rsid w:val="002A0334"/>
    <w:rsid w:val="002A3DD9"/>
    <w:rsid w:val="002A5BE2"/>
    <w:rsid w:val="002D61B4"/>
    <w:rsid w:val="002D76F4"/>
    <w:rsid w:val="002E412F"/>
    <w:rsid w:val="002F72A6"/>
    <w:rsid w:val="00306AA4"/>
    <w:rsid w:val="00313533"/>
    <w:rsid w:val="003401B5"/>
    <w:rsid w:val="00343A43"/>
    <w:rsid w:val="00385DE1"/>
    <w:rsid w:val="00390516"/>
    <w:rsid w:val="00397445"/>
    <w:rsid w:val="003C3854"/>
    <w:rsid w:val="003D0AAB"/>
    <w:rsid w:val="003E462B"/>
    <w:rsid w:val="003E6659"/>
    <w:rsid w:val="00403C06"/>
    <w:rsid w:val="00407260"/>
    <w:rsid w:val="00414871"/>
    <w:rsid w:val="00422CE0"/>
    <w:rsid w:val="00441796"/>
    <w:rsid w:val="00447F5F"/>
    <w:rsid w:val="00450E6B"/>
    <w:rsid w:val="0045458A"/>
    <w:rsid w:val="00456CDB"/>
    <w:rsid w:val="004658B0"/>
    <w:rsid w:val="0048297D"/>
    <w:rsid w:val="00482BA2"/>
    <w:rsid w:val="00486A4D"/>
    <w:rsid w:val="004C0A52"/>
    <w:rsid w:val="004C2166"/>
    <w:rsid w:val="004D69D4"/>
    <w:rsid w:val="00504E24"/>
    <w:rsid w:val="0051245F"/>
    <w:rsid w:val="00517C52"/>
    <w:rsid w:val="005203BC"/>
    <w:rsid w:val="00541184"/>
    <w:rsid w:val="00544C7C"/>
    <w:rsid w:val="00571FC7"/>
    <w:rsid w:val="00580B7C"/>
    <w:rsid w:val="0058611D"/>
    <w:rsid w:val="0059172C"/>
    <w:rsid w:val="00595F07"/>
    <w:rsid w:val="005971BE"/>
    <w:rsid w:val="005971C7"/>
    <w:rsid w:val="005A52A7"/>
    <w:rsid w:val="005A6D59"/>
    <w:rsid w:val="005C570A"/>
    <w:rsid w:val="005F1974"/>
    <w:rsid w:val="005F233C"/>
    <w:rsid w:val="005F4C5E"/>
    <w:rsid w:val="006050D6"/>
    <w:rsid w:val="00611062"/>
    <w:rsid w:val="00633946"/>
    <w:rsid w:val="00640A74"/>
    <w:rsid w:val="00642B00"/>
    <w:rsid w:val="00647C0F"/>
    <w:rsid w:val="00653E79"/>
    <w:rsid w:val="0068650D"/>
    <w:rsid w:val="006C699E"/>
    <w:rsid w:val="006D0EF9"/>
    <w:rsid w:val="006D4F07"/>
    <w:rsid w:val="006E0505"/>
    <w:rsid w:val="006F04FA"/>
    <w:rsid w:val="006F18A0"/>
    <w:rsid w:val="006F5DC5"/>
    <w:rsid w:val="006F5F84"/>
    <w:rsid w:val="007002C8"/>
    <w:rsid w:val="0070469F"/>
    <w:rsid w:val="0070585C"/>
    <w:rsid w:val="0070710D"/>
    <w:rsid w:val="007123FA"/>
    <w:rsid w:val="00722128"/>
    <w:rsid w:val="00722936"/>
    <w:rsid w:val="00724715"/>
    <w:rsid w:val="007261DC"/>
    <w:rsid w:val="00736036"/>
    <w:rsid w:val="007443E8"/>
    <w:rsid w:val="00745983"/>
    <w:rsid w:val="0075798C"/>
    <w:rsid w:val="00785A74"/>
    <w:rsid w:val="00786B05"/>
    <w:rsid w:val="00792DF4"/>
    <w:rsid w:val="00796EFB"/>
    <w:rsid w:val="007A1BA9"/>
    <w:rsid w:val="007A2E8E"/>
    <w:rsid w:val="007C27BF"/>
    <w:rsid w:val="007D1050"/>
    <w:rsid w:val="007E1A86"/>
    <w:rsid w:val="007E7C3D"/>
    <w:rsid w:val="00804667"/>
    <w:rsid w:val="008117CB"/>
    <w:rsid w:val="00812CE0"/>
    <w:rsid w:val="0081540F"/>
    <w:rsid w:val="008203B7"/>
    <w:rsid w:val="00822EE2"/>
    <w:rsid w:val="00833B10"/>
    <w:rsid w:val="00844042"/>
    <w:rsid w:val="00852DE2"/>
    <w:rsid w:val="0086182D"/>
    <w:rsid w:val="00865A34"/>
    <w:rsid w:val="00895C45"/>
    <w:rsid w:val="008A0E6C"/>
    <w:rsid w:val="008C0DCF"/>
    <w:rsid w:val="008E14C0"/>
    <w:rsid w:val="008F4EED"/>
    <w:rsid w:val="009217ED"/>
    <w:rsid w:val="009303D3"/>
    <w:rsid w:val="00947D20"/>
    <w:rsid w:val="00952980"/>
    <w:rsid w:val="009543D3"/>
    <w:rsid w:val="0097114B"/>
    <w:rsid w:val="009767D3"/>
    <w:rsid w:val="009972A6"/>
    <w:rsid w:val="009A77CA"/>
    <w:rsid w:val="009B68BB"/>
    <w:rsid w:val="009C2C0E"/>
    <w:rsid w:val="009D3987"/>
    <w:rsid w:val="009D6858"/>
    <w:rsid w:val="009E4C44"/>
    <w:rsid w:val="009F2605"/>
    <w:rsid w:val="00A04B6A"/>
    <w:rsid w:val="00A20AF1"/>
    <w:rsid w:val="00A21134"/>
    <w:rsid w:val="00A21E1C"/>
    <w:rsid w:val="00A30259"/>
    <w:rsid w:val="00A32A83"/>
    <w:rsid w:val="00A3310D"/>
    <w:rsid w:val="00A33136"/>
    <w:rsid w:val="00A4587B"/>
    <w:rsid w:val="00A81C2A"/>
    <w:rsid w:val="00AB1D57"/>
    <w:rsid w:val="00AC0B27"/>
    <w:rsid w:val="00AC3CC2"/>
    <w:rsid w:val="00AC6233"/>
    <w:rsid w:val="00AC75E8"/>
    <w:rsid w:val="00AC77ED"/>
    <w:rsid w:val="00AE138F"/>
    <w:rsid w:val="00AF781C"/>
    <w:rsid w:val="00B34408"/>
    <w:rsid w:val="00B367B2"/>
    <w:rsid w:val="00B46A55"/>
    <w:rsid w:val="00B65F82"/>
    <w:rsid w:val="00B75525"/>
    <w:rsid w:val="00B76F20"/>
    <w:rsid w:val="00B8190D"/>
    <w:rsid w:val="00BA0958"/>
    <w:rsid w:val="00BA4F75"/>
    <w:rsid w:val="00BB147F"/>
    <w:rsid w:val="00BB1EE2"/>
    <w:rsid w:val="00BB3FD7"/>
    <w:rsid w:val="00BB5220"/>
    <w:rsid w:val="00BC3F0F"/>
    <w:rsid w:val="00BF1A7D"/>
    <w:rsid w:val="00C228F7"/>
    <w:rsid w:val="00C3590D"/>
    <w:rsid w:val="00C40A4A"/>
    <w:rsid w:val="00C43A05"/>
    <w:rsid w:val="00C60BB6"/>
    <w:rsid w:val="00C61921"/>
    <w:rsid w:val="00C84476"/>
    <w:rsid w:val="00CA3947"/>
    <w:rsid w:val="00CA6AFE"/>
    <w:rsid w:val="00CB6C25"/>
    <w:rsid w:val="00CC0BB0"/>
    <w:rsid w:val="00CD00F7"/>
    <w:rsid w:val="00CD54AF"/>
    <w:rsid w:val="00CD7807"/>
    <w:rsid w:val="00CD7A02"/>
    <w:rsid w:val="00CE107A"/>
    <w:rsid w:val="00CE67B2"/>
    <w:rsid w:val="00CF25C7"/>
    <w:rsid w:val="00D070BC"/>
    <w:rsid w:val="00D07C1C"/>
    <w:rsid w:val="00D17BE1"/>
    <w:rsid w:val="00D21B84"/>
    <w:rsid w:val="00D278B0"/>
    <w:rsid w:val="00D3666F"/>
    <w:rsid w:val="00D40F4A"/>
    <w:rsid w:val="00D62F21"/>
    <w:rsid w:val="00D6581A"/>
    <w:rsid w:val="00D72F37"/>
    <w:rsid w:val="00D735F7"/>
    <w:rsid w:val="00D7408E"/>
    <w:rsid w:val="00D86D7A"/>
    <w:rsid w:val="00D90C71"/>
    <w:rsid w:val="00D921A9"/>
    <w:rsid w:val="00D97DAA"/>
    <w:rsid w:val="00DA34F4"/>
    <w:rsid w:val="00DA6B1B"/>
    <w:rsid w:val="00DA7E71"/>
    <w:rsid w:val="00DB146C"/>
    <w:rsid w:val="00DB7C11"/>
    <w:rsid w:val="00DC1B64"/>
    <w:rsid w:val="00DE1217"/>
    <w:rsid w:val="00DF0011"/>
    <w:rsid w:val="00E0117C"/>
    <w:rsid w:val="00E065DE"/>
    <w:rsid w:val="00E30C07"/>
    <w:rsid w:val="00E4226A"/>
    <w:rsid w:val="00E47F1B"/>
    <w:rsid w:val="00E55E35"/>
    <w:rsid w:val="00E564E5"/>
    <w:rsid w:val="00E67E89"/>
    <w:rsid w:val="00E74EFD"/>
    <w:rsid w:val="00E85376"/>
    <w:rsid w:val="00EA070F"/>
    <w:rsid w:val="00EA5BE1"/>
    <w:rsid w:val="00EC1E2D"/>
    <w:rsid w:val="00EC7952"/>
    <w:rsid w:val="00EE44C8"/>
    <w:rsid w:val="00EF40B3"/>
    <w:rsid w:val="00F03396"/>
    <w:rsid w:val="00F06350"/>
    <w:rsid w:val="00F17056"/>
    <w:rsid w:val="00F21AE4"/>
    <w:rsid w:val="00F24C3C"/>
    <w:rsid w:val="00F53E97"/>
    <w:rsid w:val="00F5555D"/>
    <w:rsid w:val="00F8067E"/>
    <w:rsid w:val="00F81ECF"/>
    <w:rsid w:val="00F944EB"/>
    <w:rsid w:val="00FA67AB"/>
    <w:rsid w:val="00FB4DC6"/>
    <w:rsid w:val="00FD0D0E"/>
    <w:rsid w:val="00FE1192"/>
    <w:rsid w:val="00FE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AE85"/>
  <w15:chartTrackingRefBased/>
  <w15:docId w15:val="{F6B37D77-0E6F-4303-AD79-D5A6CAC6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4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46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46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66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rningstar.com/articles/746828/the-what-why-and-how-of-qualit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 Ribeiro</dc:creator>
  <cp:keywords/>
  <dc:description/>
  <cp:lastModifiedBy>João Gil Ribeiro</cp:lastModifiedBy>
  <cp:revision>276</cp:revision>
  <dcterms:created xsi:type="dcterms:W3CDTF">2021-05-04T11:20:00Z</dcterms:created>
  <dcterms:modified xsi:type="dcterms:W3CDTF">2021-05-26T16:07:00Z</dcterms:modified>
</cp:coreProperties>
</file>