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320"/>
        <w:jc w:val="center"/>
      </w:pPr>
      <w:r>
        <w:rPr>
          <w:rFonts w:eastAsia="맑은 고딕"/>
          <w:rFonts w:ascii="맑은 고딕" w:hAnsi="맑은 고딕"/>
          <w:b/>
          <w:color w:val="1F497D"/>
          <w:sz w:val="48"/>
        </w:rPr>
        <w:t>글로벌 자동차 산업</w:t>
        <w:br/>
        <w:t>TAM 분석 보고서</w:t>
      </w:r>
    </w:p>
    <w:p>
      <w:pPr>
        <w:jc w:val="center"/>
      </w:pPr>
      <w:r>
        <w:rPr>
          <w:rFonts w:eastAsia="맑은 고딕"/>
          <w:rFonts w:ascii="맑은 고딕" w:hAnsi="맑은 고딕"/>
          <w:b w:val="0"/>
          <w:color w:val="595959"/>
          <w:sz w:val="26"/>
        </w:rPr>
        <w:t>Total Addressable Market Analysis Report</w:t>
      </w:r>
    </w:p>
    <w:p/>
    <w:p/>
    <w:p>
      <w:pPr>
        <w:jc w:val="center"/>
      </w:pPr>
      <w:r>
        <w:rPr>
          <w:rFonts w:eastAsia="맑은 고딕"/>
          <w:rFonts w:ascii="맑은 고딕" w:hAnsi="맑은 고딕"/>
          <w:b/>
          <w:color w:val="1F497D"/>
          <w:sz w:val="22"/>
        </w:rPr>
        <w:t xml:space="preserve">작성일: </w:t>
      </w:r>
      <w:r>
        <w:rPr>
          <w:rFonts w:eastAsia="맑은 고딕"/>
          <w:rFonts w:ascii="맑은 고딕" w:hAnsi="맑은 고딕"/>
          <w:b w:val="0"/>
          <w:sz w:val="22"/>
        </w:rPr>
        <w:t>2026년 5월 24일</w:t>
      </w:r>
    </w:p>
    <w:p>
      <w:pPr>
        <w:jc w:val="center"/>
      </w:pPr>
      <w:r>
        <w:rPr>
          <w:rFonts w:eastAsia="맑은 고딕"/>
          <w:rFonts w:ascii="맑은 고딕" w:hAnsi="맑은 고딕"/>
          <w:b/>
          <w:color w:val="1F497D"/>
          <w:sz w:val="22"/>
        </w:rPr>
        <w:t xml:space="preserve">버전: </w:t>
      </w:r>
      <w:r>
        <w:rPr>
          <w:rFonts w:eastAsia="맑은 고딕"/>
          <w:rFonts w:ascii="맑은 고딕" w:hAnsi="맑은 고딕"/>
          <w:b w:val="0"/>
          <w:sz w:val="22"/>
        </w:rPr>
        <w:t>v1.1 (검수 반영본)</w:t>
      </w:r>
    </w:p>
    <w:p>
      <w:pPr>
        <w:jc w:val="center"/>
      </w:pPr>
      <w:r>
        <w:rPr>
          <w:rFonts w:eastAsia="맑은 고딕"/>
          <w:rFonts w:ascii="맑은 고딕" w:hAnsi="맑은 고딕"/>
          <w:b/>
          <w:color w:val="1F497D"/>
          <w:sz w:val="22"/>
        </w:rPr>
        <w:t xml:space="preserve">배포 대상: </w:t>
      </w:r>
      <w:r>
        <w:rPr>
          <w:rFonts w:eastAsia="맑은 고딕"/>
          <w:rFonts w:ascii="맑은 고딕" w:hAnsi="맑은 고딕"/>
          <w:b w:val="0"/>
          <w:sz w:val="22"/>
        </w:rPr>
        <w:t>경영진 / 전략기획 담당자 (대외비)</w:t>
      </w:r>
    </w:p>
    <w:p>
      <w:pPr>
        <w:jc w:val="center"/>
      </w:pPr>
      <w:r>
        <w:rPr>
          <w:rFonts w:eastAsia="맑은 고딕"/>
          <w:rFonts w:ascii="맑은 고딕" w:hAnsi="맑은 고딕"/>
          <w:b/>
          <w:color w:val="1F497D"/>
          <w:sz w:val="22"/>
        </w:rPr>
        <w:t xml:space="preserve">작성: </w:t>
      </w:r>
      <w:r>
        <w:rPr>
          <w:rFonts w:eastAsia="맑은 고딕"/>
          <w:rFonts w:ascii="맑은 고딕" w:hAnsi="맑은 고딕"/>
          <w:b w:val="0"/>
          <w:sz w:val="22"/>
        </w:rPr>
        <w:t>리포트-팀 (market-research-analyst · report-writer · report-reviewer)</w:t>
      </w:r>
    </w:p>
    <w:p>
      <w:r>
        <w:br w:type="page"/>
      </w:r>
    </w:p>
    <w:p>
      <w:pPr>
        <w:spacing w:before="280" w:after="120"/>
      </w:pPr>
      <w:r>
        <w:rPr>
          <w:rFonts w:eastAsia="맑은 고딕"/>
          <w:rFonts w:ascii="맑은 고딕" w:hAnsi="맑은 고딕"/>
          <w:b/>
          <w:color w:val="1F497D"/>
          <w:sz w:val="32"/>
        </w:rPr>
        <w:t>1. 이그제큐티브 서머리</w:t>
      </w:r>
    </w:p>
    <w:p>
      <w:pPr>
        <w:pBdr>
          <w:bottom w:val="single" w:sz="6" w:space="1" w:color="1F497D"/>
        </w:pBdr>
        <w:spacing w:after="120"/>
      </w:pPr>
    </w:p>
    <w:p>
      <w:pPr>
        <w:spacing w:before="200" w:after="120"/>
      </w:pPr>
      <w:r>
        <w:rPr>
          <w:rFonts w:eastAsia="맑은 고딕"/>
          <w:rFonts w:ascii="맑은 고딕" w:hAnsi="맑은 고딕"/>
          <w:b/>
          <w:color w:val="1F497D"/>
          <w:sz w:val="26"/>
        </w:rPr>
        <w:t>핵심 인사이트</w:t>
      </w:r>
    </w:p>
    <w:p>
      <w:pPr>
        <w:pStyle w:val="ListBullet"/>
        <w:spacing w:after="40"/>
        <w:ind w:left="283"/>
      </w:pPr>
      <w:r>
        <w:rPr>
          <w:rFonts w:eastAsia="맑은 고딕"/>
          <w:rFonts w:ascii="맑은 고딕" w:hAnsi="맑은 고딕"/>
          <w:b w:val="0"/>
          <w:sz w:val="20"/>
        </w:rPr>
        <w:t>글로벌 자동차 TAM은 2025년 기준 약 2.75조 달러, CAGR 3.46%로 2030년 3.26조 달러 도달 전망 (출처: Mordor Intelligence; 부품·서비스 포함 확장 기준 시 최대 4.54조 달러)</w:t>
      </w:r>
    </w:p>
    <w:p>
      <w:pPr>
        <w:pStyle w:val="ListBullet"/>
        <w:spacing w:after="40"/>
        <w:ind w:left="283"/>
      </w:pPr>
      <w:r>
        <w:rPr>
          <w:rFonts w:eastAsia="맑은 고딕"/>
          <w:rFonts w:ascii="맑은 고딕" w:hAnsi="맑은 고딕"/>
          <w:b w:val="0"/>
          <w:sz w:val="20"/>
        </w:rPr>
        <w:t>EV(전기차)는 신차 판매의 25%(2,070만 대), 2026년 28%(2,300만 대) 예상. 중국이 글로벌 EV 생산의 55~60% 장악</w:t>
      </w:r>
    </w:p>
    <w:p>
      <w:pPr>
        <w:pStyle w:val="ListBullet"/>
        <w:spacing w:after="40"/>
        <w:ind w:left="283"/>
      </w:pPr>
      <w:r>
        <w:rPr>
          <w:rFonts w:eastAsia="맑은 고딕"/>
          <w:rFonts w:ascii="맑은 고딕" w:hAnsi="맑은 고딕"/>
          <w:b w:val="0"/>
          <w:sz w:val="20"/>
        </w:rPr>
        <w:t>하이브리드(HEV/PHEV) 시장 3,125억 달러 → 2034년 5,708억 달러(CAGR 6.9%). EU 신차의 35%가 하이브리드</w:t>
      </w:r>
    </w:p>
    <w:p>
      <w:pPr>
        <w:pStyle w:val="ListBullet"/>
        <w:spacing w:after="40"/>
        <w:ind w:left="283"/>
      </w:pPr>
      <w:r>
        <w:rPr>
          <w:rFonts w:eastAsia="맑은 고딕"/>
          <w:rFonts w:ascii="맑은 고딕" w:hAnsi="맑은 고딕"/>
          <w:b w:val="0"/>
          <w:sz w:val="20"/>
        </w:rPr>
        <w:t>자율주행(AV) CAGR 24.37%, 커넥티드카 CAGR 18.60%로 전체 시장 성장률을 크게 상회</w:t>
      </w:r>
    </w:p>
    <w:p>
      <w:pPr>
        <w:pStyle w:val="ListBullet"/>
        <w:spacing w:after="40"/>
        <w:ind w:left="283"/>
      </w:pPr>
      <w:r>
        <w:rPr>
          <w:rFonts w:eastAsia="맑은 고딕"/>
          <w:rFonts w:ascii="맑은 고딕" w:hAnsi="맑은 고딕"/>
          <w:b w:val="0"/>
          <w:sz w:val="20"/>
        </w:rPr>
        <w:t>지정학적 리스크(미국 관세, EU 규제 조정, 중국 확장)로 지역별 전략 분화 불가피</w:t>
      </w:r>
    </w:p>
    <w:p>
      <w:pPr>
        <w:spacing w:before="200" w:after="120"/>
      </w:pPr>
      <w:r>
        <w:rPr>
          <w:rFonts w:eastAsia="맑은 고딕"/>
          <w:rFonts w:ascii="맑은 고딕" w:hAnsi="맑은 고딕"/>
          <w:b/>
          <w:color w:val="1F497D"/>
          <w:sz w:val="26"/>
        </w:rPr>
        <w:t>전략적 시사점</w:t>
      </w:r>
    </w:p>
    <w:p>
      <w:pPr>
        <w:spacing w:before="80" w:after="120"/>
        <w:ind w:left="283" w:right="283"/>
        <w:shd w:val="clear" w:color="auto" w:fill="DEEAF1"/>
      </w:pPr>
      <w:r>
        <w:rPr>
          <w:rFonts w:eastAsia="맑은 고딕"/>
          <w:rFonts w:ascii="맑은 고딕" w:hAnsi="맑은 고딕"/>
          <w:b w:val="0"/>
          <w:sz w:val="19"/>
        </w:rPr>
        <w:t>당사는 단기적으로 BEV(순수 전기차)/HEV 병행 포트폴리오를 유지하면서 동남아·인도 시장 EV 선제 진입을 최우선 과제로 설정해야 한다. 미국 관세와 반도체 수급 리스크에 대응하기 위해 2026년 1분기 공급망 리스크 감사(Risk Audit) 착수를 권고한다. SDV(소프트웨어 정의 차량) 수익화 로드맵은 2027년까지 완성이 필요하다.</w:t>
      </w:r>
    </w:p>
    <w:p>
      <w:pPr>
        <w:spacing w:before="80" w:after="120"/>
        <w:ind w:left="283" w:right="283"/>
        <w:shd w:val="clear" w:color="auto" w:fill="FFF2CC"/>
      </w:pPr>
      <w:r>
        <w:rPr>
          <w:rFonts w:eastAsia="맑은 고딕"/>
          <w:rFonts w:ascii="맑은 고딕" w:hAnsi="맑은 고딕"/>
          <w:b w:val="0"/>
          <w:sz w:val="19"/>
        </w:rPr>
        <w:t>⚠ 주의: SOM(확보 가능 시장) 수치는 당사 자체 역량 데이터 확보 후 v1.2에서 보완 예정입니다.</w:t>
      </w:r>
    </w:p>
    <w:p>
      <w:r>
        <w:br w:type="page"/>
      </w:r>
    </w:p>
    <w:p>
      <w:pPr>
        <w:spacing w:before="280" w:after="120"/>
      </w:pPr>
      <w:r>
        <w:rPr>
          <w:rFonts w:eastAsia="맑은 고딕"/>
          <w:rFonts w:ascii="맑은 고딕" w:hAnsi="맑은 고딕"/>
          <w:b/>
          <w:color w:val="1F497D"/>
          <w:sz w:val="32"/>
        </w:rPr>
        <w:t>2. 시장 개요 (TAM · SAM · SOM)</w:t>
      </w:r>
    </w:p>
    <w:p>
      <w:pPr>
        <w:pBdr>
          <w:bottom w:val="single" w:sz="6" w:space="1" w:color="1F497D"/>
        </w:pBdr>
        <w:spacing w:after="120"/>
      </w:pPr>
    </w:p>
    <w:p>
      <w:pPr>
        <w:spacing w:after="80"/>
      </w:pPr>
      <w:r>
        <w:rPr>
          <w:rFonts w:eastAsia="맑은 고딕"/>
          <w:rFonts w:ascii="맑은 고딕" w:hAnsi="맑은 고딕"/>
          <w:b w:val="0"/>
          <w:sz w:val="21"/>
        </w:rPr>
        <w:t>2025년 TAM: 2.75조 달러 (Mordor Intelligence, OEM 완성차 판매 중심 기준)</w:t>
      </w:r>
    </w:p>
    <w:p>
      <w:pPr>
        <w:spacing w:after="80"/>
      </w:pPr>
      <w:r>
        <w:rPr>
          <w:rFonts w:eastAsia="맑은 고딕"/>
          <w:rFonts w:ascii="맑은 고딕" w:hAnsi="맑은 고딕"/>
          <w:b w:val="0"/>
          <w:sz w:val="21"/>
        </w:rPr>
        <w:t>2030F TAM: 3.26조 달러, CAGR 3.46%</w:t>
      </w:r>
    </w:p>
    <w:p>
      <w:pPr>
        <w:spacing w:after="80"/>
      </w:pPr>
      <w:r>
        <w:rPr>
          <w:rFonts w:eastAsia="맑은 고딕"/>
          <w:rFonts w:ascii="맑은 고딕" w:hAnsi="맑은 고딕"/>
          <w:b w:val="0"/>
          <w:sz w:val="21"/>
        </w:rPr>
        <w:t>글로벌 신차 판매량: 약 8,510만 대 (2025년)</w:t>
      </w:r>
    </w:p>
    <w:p/>
    <w:p>
      <w:pPr>
        <w:spacing w:before="200" w:after="120"/>
      </w:pPr>
      <w:r>
        <w:rPr>
          <w:rFonts w:eastAsia="맑은 고딕"/>
          <w:rFonts w:ascii="맑은 고딕" w:hAnsi="맑은 고딕"/>
          <w:b/>
          <w:color w:val="1F497D"/>
          <w:sz w:val="26"/>
        </w:rPr>
        <w:t>조사기관별 TAM 비교</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551"/>
            <w:shd w:val="clear" w:color="auto" w:fill="1F497D"/>
          </w:tcPr>
          <w:p>
            <w:pPr>
              <w:jc w:val="center"/>
            </w:pPr>
            <w:r>
              <w:rPr>
                <w:rFonts w:eastAsia="맑은 고딕"/>
                <w:rFonts w:ascii="맑은 고딕" w:hAnsi="맑은 고딕"/>
                <w:b/>
                <w:color w:val="FFFFFF"/>
                <w:sz w:val="19"/>
              </w:rPr>
              <w:t>조사기관</w:t>
            </w:r>
          </w:p>
        </w:tc>
        <w:tc>
          <w:tcPr>
            <w:tcW w:type="dxa" w:w="1984"/>
            <w:shd w:val="clear" w:color="auto" w:fill="1F497D"/>
          </w:tcPr>
          <w:p>
            <w:pPr>
              <w:jc w:val="center"/>
            </w:pPr>
            <w:r>
              <w:rPr>
                <w:rFonts w:eastAsia="맑은 고딕"/>
                <w:rFonts w:ascii="맑은 고딕" w:hAnsi="맑은 고딕"/>
                <w:b/>
                <w:color w:val="FFFFFF"/>
                <w:sz w:val="19"/>
              </w:rPr>
              <w:t>시장 규모</w:t>
            </w:r>
          </w:p>
        </w:tc>
        <w:tc>
          <w:tcPr>
            <w:tcW w:type="dxa" w:w="1417"/>
            <w:shd w:val="clear" w:color="auto" w:fill="1F497D"/>
          </w:tcPr>
          <w:p>
            <w:pPr>
              <w:jc w:val="center"/>
            </w:pPr>
            <w:r>
              <w:rPr>
                <w:rFonts w:eastAsia="맑은 고딕"/>
                <w:rFonts w:ascii="맑은 고딕" w:hAnsi="맑은 고딕"/>
                <w:b/>
                <w:color w:val="FFFFFF"/>
                <w:sz w:val="19"/>
              </w:rPr>
              <w:t>CAGR</w:t>
            </w:r>
          </w:p>
        </w:tc>
        <w:tc>
          <w:tcPr>
            <w:tcW w:type="dxa" w:w="2551"/>
            <w:shd w:val="clear" w:color="auto" w:fill="1F497D"/>
          </w:tcPr>
          <w:p>
            <w:pPr>
              <w:jc w:val="center"/>
            </w:pPr>
            <w:r>
              <w:rPr>
                <w:rFonts w:eastAsia="맑은 고딕"/>
                <w:rFonts w:ascii="맑은 고딕" w:hAnsi="맑은 고딕"/>
                <w:b/>
                <w:color w:val="FFFFFF"/>
                <w:sz w:val="19"/>
              </w:rPr>
              <w:t>비고</w:t>
            </w:r>
          </w:p>
        </w:tc>
      </w:tr>
      <w:tr>
        <w:tc>
          <w:tcPr>
            <w:tcW w:type="dxa" w:w="2551"/>
          </w:tcPr>
          <w:p>
            <w:r>
              <w:rPr>
                <w:rFonts w:eastAsia="맑은 고딕"/>
                <w:rFonts w:ascii="맑은 고딕" w:hAnsi="맑은 고딕"/>
                <w:b w:val="0"/>
                <w:sz w:val="19"/>
              </w:rPr>
              <w:t>Mordor Intelligence</w:t>
            </w:r>
          </w:p>
        </w:tc>
        <w:tc>
          <w:tcPr>
            <w:tcW w:type="dxa" w:w="1984"/>
          </w:tcPr>
          <w:p>
            <w:r>
              <w:rPr>
                <w:rFonts w:eastAsia="맑은 고딕"/>
                <w:rFonts w:ascii="맑은 고딕" w:hAnsi="맑은 고딕"/>
                <w:b w:val="0"/>
                <w:sz w:val="19"/>
              </w:rPr>
              <w:t>2.75조 달러 (2025)</w:t>
            </w:r>
          </w:p>
        </w:tc>
        <w:tc>
          <w:tcPr>
            <w:tcW w:type="dxa" w:w="1417"/>
          </w:tcPr>
          <w:p>
            <w:r>
              <w:rPr>
                <w:rFonts w:eastAsia="맑은 고딕"/>
                <w:rFonts w:ascii="맑은 고딕" w:hAnsi="맑은 고딕"/>
                <w:b w:val="0"/>
                <w:sz w:val="19"/>
              </w:rPr>
              <w:t>3.46%</w:t>
            </w:r>
          </w:p>
        </w:tc>
        <w:tc>
          <w:tcPr>
            <w:tcW w:type="dxa" w:w="2551"/>
          </w:tcPr>
          <w:p>
            <w:r>
              <w:rPr>
                <w:rFonts w:eastAsia="맑은 고딕"/>
                <w:rFonts w:ascii="맑은 고딕" w:hAnsi="맑은 고딕"/>
                <w:b w:val="0"/>
                <w:sz w:val="19"/>
              </w:rPr>
              <w:t>OEM 완성차 판매 중심 ★채택</w:t>
            </w:r>
          </w:p>
        </w:tc>
      </w:tr>
      <w:tr>
        <w:tc>
          <w:tcPr>
            <w:tcW w:type="dxa" w:w="2551"/>
            <w:shd w:val="clear" w:color="auto" w:fill="DCE6F1"/>
          </w:tcPr>
          <w:p>
            <w:r>
              <w:rPr>
                <w:rFonts w:eastAsia="맑은 고딕"/>
                <w:rFonts w:ascii="맑은 고딕" w:hAnsi="맑은 고딕"/>
                <w:b w:val="0"/>
                <w:sz w:val="19"/>
              </w:rPr>
              <w:t>Business Research Insights</w:t>
            </w:r>
          </w:p>
        </w:tc>
        <w:tc>
          <w:tcPr>
            <w:tcW w:type="dxa" w:w="1984"/>
            <w:shd w:val="clear" w:color="auto" w:fill="DCE6F1"/>
          </w:tcPr>
          <w:p>
            <w:r>
              <w:rPr>
                <w:rFonts w:eastAsia="맑은 고딕"/>
                <w:rFonts w:ascii="맑은 고딕" w:hAnsi="맑은 고딕"/>
                <w:b w:val="0"/>
                <w:sz w:val="19"/>
              </w:rPr>
              <w:t>2.33조 달러 (2026)</w:t>
            </w:r>
          </w:p>
        </w:tc>
        <w:tc>
          <w:tcPr>
            <w:tcW w:type="dxa" w:w="1417"/>
            <w:shd w:val="clear" w:color="auto" w:fill="DCE6F1"/>
          </w:tcPr>
          <w:p>
            <w:r>
              <w:rPr>
                <w:rFonts w:eastAsia="맑은 고딕"/>
                <w:rFonts w:ascii="맑은 고딕" w:hAnsi="맑은 고딕"/>
                <w:b w:val="0"/>
                <w:sz w:val="19"/>
              </w:rPr>
              <w:t>2.79%</w:t>
            </w:r>
          </w:p>
        </w:tc>
        <w:tc>
          <w:tcPr>
            <w:tcW w:type="dxa" w:w="2551"/>
            <w:shd w:val="clear" w:color="auto" w:fill="DCE6F1"/>
          </w:tcPr>
          <w:p>
            <w:r>
              <w:rPr>
                <w:rFonts w:eastAsia="맑은 고딕"/>
                <w:rFonts w:ascii="맑은 고딕" w:hAnsi="맑은 고딕"/>
                <w:b w:val="0"/>
                <w:sz w:val="19"/>
              </w:rPr>
              <w:t>가장 보수적 추정</w:t>
            </w:r>
          </w:p>
        </w:tc>
      </w:tr>
      <w:tr>
        <w:tc>
          <w:tcPr>
            <w:tcW w:type="dxa" w:w="2551"/>
          </w:tcPr>
          <w:p>
            <w:r>
              <w:rPr>
                <w:rFonts w:eastAsia="맑은 고딕"/>
                <w:rFonts w:ascii="맑은 고딕" w:hAnsi="맑은 고딕"/>
                <w:b w:val="0"/>
                <w:sz w:val="19"/>
              </w:rPr>
              <w:t>Global Market Insights</w:t>
            </w:r>
          </w:p>
        </w:tc>
        <w:tc>
          <w:tcPr>
            <w:tcW w:type="dxa" w:w="1984"/>
          </w:tcPr>
          <w:p>
            <w:r>
              <w:rPr>
                <w:rFonts w:eastAsia="맑은 고딕"/>
                <w:rFonts w:ascii="맑은 고딕" w:hAnsi="맑은 고딕"/>
                <w:b w:val="0"/>
                <w:sz w:val="19"/>
              </w:rPr>
              <w:t>2.5조 달러</w:t>
            </w:r>
          </w:p>
        </w:tc>
        <w:tc>
          <w:tcPr>
            <w:tcW w:type="dxa" w:w="1417"/>
          </w:tcPr>
          <w:p>
            <w:r>
              <w:rPr>
                <w:rFonts w:eastAsia="맑은 고딕"/>
                <w:rFonts w:ascii="맑은 고딕" w:hAnsi="맑은 고딕"/>
                <w:b w:val="0"/>
                <w:sz w:val="19"/>
              </w:rPr>
              <w:t>8.2%</w:t>
            </w:r>
          </w:p>
        </w:tc>
        <w:tc>
          <w:tcPr>
            <w:tcW w:type="dxa" w:w="2551"/>
          </w:tcPr>
          <w:p>
            <w:r>
              <w:rPr>
                <w:rFonts w:eastAsia="맑은 고딕"/>
                <w:rFonts w:ascii="맑은 고딕" w:hAnsi="맑은 고딕"/>
                <w:b w:val="0"/>
                <w:sz w:val="19"/>
              </w:rPr>
              <w:t>—</w:t>
            </w:r>
          </w:p>
        </w:tc>
      </w:tr>
      <w:tr>
        <w:tc>
          <w:tcPr>
            <w:tcW w:type="dxa" w:w="2551"/>
            <w:shd w:val="clear" w:color="auto" w:fill="DCE6F1"/>
          </w:tcPr>
          <w:p>
            <w:r>
              <w:rPr>
                <w:rFonts w:eastAsia="맑은 고딕"/>
                <w:rFonts w:ascii="맑은 고딕" w:hAnsi="맑은 고딕"/>
                <w:b w:val="0"/>
                <w:sz w:val="19"/>
              </w:rPr>
              <w:t>Future Market Insights</w:t>
            </w:r>
          </w:p>
        </w:tc>
        <w:tc>
          <w:tcPr>
            <w:tcW w:type="dxa" w:w="1984"/>
            <w:shd w:val="clear" w:color="auto" w:fill="DCE6F1"/>
          </w:tcPr>
          <w:p>
            <w:r>
              <w:rPr>
                <w:rFonts w:eastAsia="맑은 고딕"/>
                <w:rFonts w:ascii="맑은 고딕" w:hAnsi="맑은 고딕"/>
                <w:b w:val="0"/>
                <w:sz w:val="19"/>
              </w:rPr>
              <w:t>4.54조 달러</w:t>
            </w:r>
          </w:p>
        </w:tc>
        <w:tc>
          <w:tcPr>
            <w:tcW w:type="dxa" w:w="1417"/>
            <w:shd w:val="clear" w:color="auto" w:fill="DCE6F1"/>
          </w:tcPr>
          <w:p>
            <w:r>
              <w:rPr>
                <w:rFonts w:eastAsia="맑은 고딕"/>
                <w:rFonts w:ascii="맑은 고딕" w:hAnsi="맑은 고딕"/>
                <w:b w:val="0"/>
                <w:sz w:val="19"/>
              </w:rPr>
              <w:t>5.6%</w:t>
            </w:r>
          </w:p>
        </w:tc>
        <w:tc>
          <w:tcPr>
            <w:tcW w:type="dxa" w:w="2551"/>
            <w:shd w:val="clear" w:color="auto" w:fill="DCE6F1"/>
          </w:tcPr>
          <w:p>
            <w:r>
              <w:rPr>
                <w:rFonts w:eastAsia="맑은 고딕"/>
                <w:rFonts w:ascii="맑은 고딕" w:hAnsi="맑은 고딕"/>
                <w:b w:val="0"/>
                <w:sz w:val="19"/>
              </w:rPr>
              <w:t>부품·서비스·금융 포함 광의</w:t>
            </w:r>
          </w:p>
        </w:tc>
      </w:tr>
    </w:tbl>
    <w:p/>
    <w:p>
      <w:pPr>
        <w:spacing w:before="80" w:after="120"/>
        <w:ind w:left="283" w:right="283"/>
        <w:shd w:val="clear" w:color="auto" w:fill="F2F2F2"/>
      </w:pPr>
      <w:r>
        <w:rPr>
          <w:rFonts w:eastAsia="맑은 고딕"/>
          <w:rFonts w:ascii="맑은 고딕" w:hAnsi="맑은 고딕"/>
          <w:b w:val="0"/>
          <w:sz w:val="19"/>
        </w:rPr>
        <w:t>방법론 주석: 조사기관별 시장 범위 정의 차이로 TAM 편차가 크다. 본 보고서는 완성차 직접 판매 규모 중심의 Mordor Intelligence 정의를 기준으로 채택한다. Future Market Insights의 4.54조 달러는 부품·애프터마켓·금융서비스 포함 확장 정의다.</w:t>
      </w:r>
    </w:p>
    <w:p>
      <w:pPr>
        <w:spacing w:before="200" w:after="120"/>
      </w:pPr>
      <w:r>
        <w:rPr>
          <w:rFonts w:eastAsia="맑은 고딕"/>
          <w:rFonts w:ascii="맑은 고딕" w:hAnsi="맑은 고딕"/>
          <w:b/>
          <w:color w:val="1F497D"/>
          <w:sz w:val="26"/>
        </w:rPr>
        <w:t>SAM / SOM</w:t>
      </w:r>
    </w:p>
    <w:p>
      <w:pPr>
        <w:spacing w:after="80"/>
      </w:pPr>
      <w:r>
        <w:rPr>
          <w:rFonts w:eastAsia="맑은 고딕"/>
          <w:rFonts w:ascii="맑은 고딕" w:hAnsi="맑은 고딕"/>
          <w:b w:val="0"/>
          <w:sz w:val="21"/>
        </w:rPr>
        <w:t>SAM (서비스 가능 시장): 고성장 세그먼트(EV·하이브리드·AV·커넥티드카) 합산 약 6,000~7,000억 달러 (TAM의 25~28%)</w:t>
      </w:r>
    </w:p>
    <w:p>
      <w:pPr>
        <w:spacing w:after="80"/>
      </w:pPr>
      <w:r>
        <w:rPr>
          <w:rFonts w:eastAsia="맑은 고딕"/>
          <w:rFonts w:ascii="맑은 고딕" w:hAnsi="맑은 고딕"/>
          <w:b w:val="0"/>
          <w:sz w:val="21"/>
        </w:rPr>
        <w:t>SOM (확보 가능 시장): 당사 역량 데이터 확보 후 v1.2에서 보완 예정</w:t>
      </w:r>
    </w:p>
    <w:p>
      <w:r>
        <w:br w:type="page"/>
      </w:r>
    </w:p>
    <w:p>
      <w:pPr>
        <w:spacing w:before="280" w:after="120"/>
      </w:pPr>
      <w:r>
        <w:rPr>
          <w:rFonts w:eastAsia="맑은 고딕"/>
          <w:rFonts w:ascii="맑은 고딕" w:hAnsi="맑은 고딕"/>
          <w:b/>
          <w:color w:val="1F497D"/>
          <w:sz w:val="32"/>
        </w:rPr>
        <w:t>3. 세그먼트별 분석</w:t>
      </w:r>
    </w:p>
    <w:p>
      <w:pPr>
        <w:pBdr>
          <w:bottom w:val="single" w:sz="6" w:space="1" w:color="1F497D"/>
        </w:pBdr>
        <w:spacing w:after="120"/>
      </w:pPr>
    </w:p>
    <w:p>
      <w:pPr>
        <w:spacing w:before="80" w:after="120"/>
        <w:ind w:left="283" w:right="283"/>
        <w:shd w:val="clear" w:color="auto" w:fill="F2F2F2"/>
      </w:pPr>
      <w:r>
        <w:rPr>
          <w:rFonts w:eastAsia="맑은 고딕"/>
          <w:rFonts w:ascii="맑은 고딕" w:hAnsi="맑은 고딕"/>
          <w:b w:val="0"/>
          <w:sz w:val="19"/>
        </w:rPr>
        <w:t>전망 수치 주요 가정 (2026F~2034F): ① 주요국 EV 보조금 2027년까지 현행 유지 ② EU 2035년 CO2 규제 현행 방향 유지 ③ 중국 NEV 지원 정책 지속 ④ 반도체 공급 2026년 하반기 이후 점진적 정상화 ⑤ 글로벌 유가 배럴당 70~90달러 범위 유지</w:t>
      </w:r>
    </w:p>
    <w:p>
      <w:pPr>
        <w:spacing w:before="200" w:after="120"/>
      </w:pPr>
      <w:r>
        <w:rPr>
          <w:rFonts w:eastAsia="맑은 고딕"/>
          <w:rFonts w:ascii="맑은 고딕" w:hAnsi="맑은 고딕"/>
          <w:b/>
          <w:color w:val="1F497D"/>
          <w:sz w:val="26"/>
        </w:rPr>
        <w:t>3.1 전기차 (BEV · PHEV)</w:t>
      </w:r>
    </w:p>
    <w:tbl>
      <w:tblPr>
        <w:tblStyle w:val="TableGrid"/>
        <w:tblW w:type="auto" w:w="0"/>
        <w:jc w:val="center"/>
        <w:tblLook w:firstColumn="1" w:firstRow="1" w:lastColumn="0" w:lastRow="0" w:noHBand="0" w:noVBand="1" w:val="04A0"/>
      </w:tblPr>
      <w:tblGrid>
        <w:gridCol w:w="3041"/>
        <w:gridCol w:w="3041"/>
        <w:gridCol w:w="3041"/>
      </w:tblGrid>
      <w:tr>
        <w:tc>
          <w:tcPr>
            <w:tcW w:type="dxa" w:w="2835"/>
            <w:shd w:val="clear" w:color="auto" w:fill="1F497D"/>
          </w:tcPr>
          <w:p>
            <w:pPr>
              <w:jc w:val="center"/>
            </w:pPr>
            <w:r>
              <w:rPr>
                <w:rFonts w:eastAsia="맑은 고딕"/>
                <w:rFonts w:ascii="맑은 고딕" w:hAnsi="맑은 고딕"/>
                <w:b/>
                <w:color w:val="FFFFFF"/>
                <w:sz w:val="19"/>
              </w:rPr>
              <w:t>지표</w:t>
            </w:r>
          </w:p>
        </w:tc>
        <w:tc>
          <w:tcPr>
            <w:tcW w:type="dxa" w:w="2268"/>
            <w:shd w:val="clear" w:color="auto" w:fill="1F497D"/>
          </w:tcPr>
          <w:p>
            <w:pPr>
              <w:jc w:val="center"/>
            </w:pPr>
            <w:r>
              <w:rPr>
                <w:rFonts w:eastAsia="맑은 고딕"/>
                <w:rFonts w:ascii="맑은 고딕" w:hAnsi="맑은 고딕"/>
                <w:b/>
                <w:color w:val="FFFFFF"/>
                <w:sz w:val="19"/>
              </w:rPr>
              <w:t>2025년</w:t>
            </w:r>
          </w:p>
        </w:tc>
        <w:tc>
          <w:tcPr>
            <w:tcW w:type="dxa" w:w="2268"/>
            <w:shd w:val="clear" w:color="auto" w:fill="1F497D"/>
          </w:tcPr>
          <w:p>
            <w:pPr>
              <w:jc w:val="center"/>
            </w:pPr>
            <w:r>
              <w:rPr>
                <w:rFonts w:eastAsia="맑은 고딕"/>
                <w:rFonts w:ascii="맑은 고딕" w:hAnsi="맑은 고딕"/>
                <w:b/>
                <w:color w:val="FFFFFF"/>
                <w:sz w:val="19"/>
              </w:rPr>
              <w:t>2026F (전망)</w:t>
            </w:r>
          </w:p>
        </w:tc>
      </w:tr>
      <w:tr>
        <w:tc>
          <w:tcPr>
            <w:tcW w:type="dxa" w:w="2835"/>
          </w:tcPr>
          <w:p>
            <w:r>
              <w:rPr>
                <w:rFonts w:eastAsia="맑은 고딕"/>
                <w:rFonts w:ascii="맑은 고딕" w:hAnsi="맑은 고딕"/>
                <w:b w:val="0"/>
                <w:sz w:val="19"/>
              </w:rPr>
              <w:t>글로벌 EV 판매량</w:t>
            </w:r>
          </w:p>
        </w:tc>
        <w:tc>
          <w:tcPr>
            <w:tcW w:type="dxa" w:w="2268"/>
          </w:tcPr>
          <w:p>
            <w:r>
              <w:rPr>
                <w:rFonts w:eastAsia="맑은 고딕"/>
                <w:rFonts w:ascii="맑은 고딕" w:hAnsi="맑은 고딕"/>
                <w:b w:val="0"/>
                <w:sz w:val="19"/>
              </w:rPr>
              <w:t>2,070만 대</w:t>
            </w:r>
          </w:p>
        </w:tc>
        <w:tc>
          <w:tcPr>
            <w:tcW w:type="dxa" w:w="2268"/>
          </w:tcPr>
          <w:p>
            <w:r>
              <w:rPr>
                <w:rFonts w:eastAsia="맑은 고딕"/>
                <w:rFonts w:ascii="맑은 고딕" w:hAnsi="맑은 고딕"/>
                <w:b w:val="0"/>
                <w:sz w:val="19"/>
              </w:rPr>
              <w:t>2,300만 대</w:t>
            </w:r>
          </w:p>
        </w:tc>
      </w:tr>
      <w:tr>
        <w:tc>
          <w:tcPr>
            <w:tcW w:type="dxa" w:w="2835"/>
            <w:shd w:val="clear" w:color="auto" w:fill="DCE6F1"/>
          </w:tcPr>
          <w:p>
            <w:r>
              <w:rPr>
                <w:rFonts w:eastAsia="맑은 고딕"/>
                <w:rFonts w:ascii="맑은 고딕" w:hAnsi="맑은 고딕"/>
                <w:b w:val="0"/>
                <w:sz w:val="19"/>
              </w:rPr>
              <w:t>신차 대비 EV 비중</w:t>
            </w:r>
          </w:p>
        </w:tc>
        <w:tc>
          <w:tcPr>
            <w:tcW w:type="dxa" w:w="2268"/>
            <w:shd w:val="clear" w:color="auto" w:fill="DCE6F1"/>
          </w:tcPr>
          <w:p>
            <w:r>
              <w:rPr>
                <w:rFonts w:eastAsia="맑은 고딕"/>
                <w:rFonts w:ascii="맑은 고딕" w:hAnsi="맑은 고딕"/>
                <w:b w:val="0"/>
                <w:sz w:val="19"/>
              </w:rPr>
              <w:t>25%</w:t>
            </w:r>
          </w:p>
        </w:tc>
        <w:tc>
          <w:tcPr>
            <w:tcW w:type="dxa" w:w="2268"/>
            <w:shd w:val="clear" w:color="auto" w:fill="DCE6F1"/>
          </w:tcPr>
          <w:p>
            <w:r>
              <w:rPr>
                <w:rFonts w:eastAsia="맑은 고딕"/>
                <w:rFonts w:ascii="맑은 고딕" w:hAnsi="맑은 고딕"/>
                <w:b w:val="0"/>
                <w:sz w:val="19"/>
              </w:rPr>
              <w:t>28%</w:t>
            </w:r>
          </w:p>
        </w:tc>
      </w:tr>
      <w:tr>
        <w:tc>
          <w:tcPr>
            <w:tcW w:type="dxa" w:w="2835"/>
          </w:tcPr>
          <w:p>
            <w:r>
              <w:rPr>
                <w:rFonts w:eastAsia="맑은 고딕"/>
                <w:rFonts w:ascii="맑은 고딕" w:hAnsi="맑은 고딕"/>
                <w:b w:val="0"/>
                <w:sz w:val="19"/>
              </w:rPr>
              <w:t>EV 시장 규모</w:t>
            </w:r>
          </w:p>
        </w:tc>
        <w:tc>
          <w:tcPr>
            <w:tcW w:type="dxa" w:w="2268"/>
          </w:tcPr>
          <w:p>
            <w:r>
              <w:rPr>
                <w:rFonts w:eastAsia="맑은 고딕"/>
                <w:rFonts w:ascii="맑은 고딕" w:hAnsi="맑은 고딕"/>
                <w:b w:val="0"/>
                <w:sz w:val="19"/>
              </w:rPr>
              <w:t>1,596억 달러</w:t>
            </w:r>
          </w:p>
        </w:tc>
        <w:tc>
          <w:tcPr>
            <w:tcW w:type="dxa" w:w="2268"/>
          </w:tcPr>
          <w:p>
            <w:r>
              <w:rPr>
                <w:rFonts w:eastAsia="맑은 고딕"/>
                <w:rFonts w:ascii="맑은 고딕" w:hAnsi="맑은 고딕"/>
                <w:b w:val="0"/>
                <w:sz w:val="19"/>
              </w:rPr>
              <w:t>—</w:t>
            </w:r>
          </w:p>
        </w:tc>
      </w:tr>
      <w:tr>
        <w:tc>
          <w:tcPr>
            <w:tcW w:type="dxa" w:w="2835"/>
            <w:shd w:val="clear" w:color="auto" w:fill="DCE6F1"/>
          </w:tcPr>
          <w:p>
            <w:r>
              <w:rPr>
                <w:rFonts w:eastAsia="맑은 고딕"/>
                <w:rFonts w:ascii="맑은 고딕" w:hAnsi="맑은 고딕"/>
                <w:b w:val="0"/>
                <w:sz w:val="19"/>
              </w:rPr>
              <w:t>시장 CAGR (2026-2035)</w:t>
            </w:r>
          </w:p>
        </w:tc>
        <w:tc>
          <w:tcPr>
            <w:tcW w:type="dxa" w:w="2268"/>
            <w:shd w:val="clear" w:color="auto" w:fill="DCE6F1"/>
          </w:tcPr>
          <w:p>
            <w:r>
              <w:rPr>
                <w:rFonts w:eastAsia="맑은 고딕"/>
                <w:rFonts w:ascii="맑은 고딕" w:hAnsi="맑은 고딕"/>
                <w:b w:val="0"/>
                <w:sz w:val="19"/>
              </w:rPr>
              <w:t>14.2%</w:t>
            </w:r>
          </w:p>
        </w:tc>
        <w:tc>
          <w:tcPr>
            <w:tcW w:type="dxa" w:w="2268"/>
            <w:shd w:val="clear" w:color="auto" w:fill="DCE6F1"/>
          </w:tcPr>
          <w:p>
            <w:r>
              <w:rPr>
                <w:rFonts w:eastAsia="맑은 고딕"/>
                <w:rFonts w:ascii="맑은 고딕" w:hAnsi="맑은 고딕"/>
                <w:b w:val="0"/>
                <w:sz w:val="19"/>
              </w:rPr>
              <w:t>—</w:t>
            </w:r>
          </w:p>
        </w:tc>
      </w:tr>
    </w:tbl>
    <w:p/>
    <w:p>
      <w:pPr>
        <w:spacing w:before="200" w:after="120"/>
      </w:pPr>
      <w:r>
        <w:rPr>
          <w:rFonts w:eastAsia="맑은 고딕"/>
          <w:rFonts w:ascii="맑은 고딕" w:hAnsi="맑은 고딕"/>
          <w:b/>
          <w:color w:val="4472C4"/>
          <w:sz w:val="22"/>
        </w:rPr>
        <w:t>지역별 기준</w:t>
      </w:r>
    </w:p>
    <w:p>
      <w:pPr>
        <w:pStyle w:val="ListBullet"/>
        <w:spacing w:after="40"/>
        <w:ind w:left="283"/>
      </w:pPr>
      <w:r>
        <w:rPr>
          <w:rFonts w:eastAsia="맑은 고딕"/>
          <w:rFonts w:ascii="맑은 고딕" w:hAnsi="맑은 고딕"/>
          <w:b w:val="0"/>
          <w:sz w:val="20"/>
        </w:rPr>
        <w:t>중국: 글로벌 EV 생산의 55~60% 점유 (생산 기준)</w:t>
      </w:r>
    </w:p>
    <w:p>
      <w:pPr>
        <w:pStyle w:val="ListBullet"/>
        <w:spacing w:after="40"/>
        <w:ind w:left="283"/>
      </w:pPr>
      <w:r>
        <w:rPr>
          <w:rFonts w:eastAsia="맑은 고딕"/>
          <w:rFonts w:ascii="맑은 고딕" w:hAnsi="맑은 고딕"/>
          <w:b w:val="0"/>
          <w:sz w:val="20"/>
        </w:rPr>
        <w:t>유럽: 유럽 신차 판매 중 EV 비중 약 28% (침투율 기준)</w:t>
      </w:r>
    </w:p>
    <w:p>
      <w:pPr>
        <w:pStyle w:val="ListBullet"/>
        <w:spacing w:after="40"/>
        <w:ind w:left="283"/>
      </w:pPr>
      <w:r>
        <w:rPr>
          <w:rFonts w:eastAsia="맑은 고딕"/>
          <w:rFonts w:ascii="맑은 고딕" w:hAnsi="맑은 고딕"/>
          <w:b w:val="0"/>
          <w:sz w:val="20"/>
        </w:rPr>
        <w:t>동남아: 동남아 신차 판매 중 EV 비중 약 20% (침투율 기준)</w:t>
      </w:r>
    </w:p>
    <w:p>
      <w:pPr>
        <w:pStyle w:val="ListBullet"/>
        <w:spacing w:after="40"/>
        <w:ind w:left="283"/>
      </w:pPr>
      <w:r>
        <w:rPr>
          <w:rFonts w:eastAsia="맑은 고딕"/>
          <w:rFonts w:ascii="맑은 고딕" w:hAnsi="맑은 고딕"/>
          <w:b w:val="0"/>
          <w:sz w:val="20"/>
        </w:rPr>
        <w:t>미국: 미국 신차 판매 중 EV 비중 약 10% (침투율 기준, IRA 축소 영향)</w:t>
      </w:r>
    </w:p>
    <w:p>
      <w:pPr>
        <w:spacing w:before="200" w:after="120"/>
      </w:pPr>
      <w:r>
        <w:rPr>
          <w:rFonts w:eastAsia="맑은 고딕"/>
          <w:rFonts w:ascii="맑은 고딕" w:hAnsi="맑은 고딕"/>
          <w:b/>
          <w:color w:val="1F497D"/>
          <w:sz w:val="26"/>
        </w:rPr>
        <w:t>3.2 내연기관 (ICE)</w:t>
      </w:r>
    </w:p>
    <w:p>
      <w:pPr>
        <w:pStyle w:val="ListBullet"/>
        <w:spacing w:after="40"/>
        <w:ind w:left="283"/>
      </w:pPr>
      <w:r>
        <w:rPr>
          <w:rFonts w:eastAsia="맑은 고딕"/>
          <w:rFonts w:ascii="맑은 고딕" w:hAnsi="맑은 고딕"/>
          <w:b w:val="0"/>
          <w:sz w:val="20"/>
        </w:rPr>
        <w:t>EU 신차 가솔린 비중: 27% (2025년), 감소 추세 지속</w:t>
      </w:r>
    </w:p>
    <w:p>
      <w:pPr>
        <w:pStyle w:val="ListBullet"/>
        <w:spacing w:after="40"/>
        <w:ind w:left="283"/>
      </w:pPr>
      <w:r>
        <w:rPr>
          <w:rFonts w:eastAsia="맑은 고딕"/>
          <w:rFonts w:ascii="맑은 고딕" w:hAnsi="맑은 고딕"/>
          <w:b w:val="0"/>
          <w:sz w:val="20"/>
        </w:rPr>
        <w:t>EU 2035년 CO2 90% 감축 목표 (합성연료 예외 등 정책 수정 진행 중)</w:t>
      </w:r>
    </w:p>
    <w:p>
      <w:pPr>
        <w:pStyle w:val="ListBullet"/>
        <w:spacing w:after="40"/>
        <w:ind w:left="283"/>
      </w:pPr>
      <w:r>
        <w:rPr>
          <w:rFonts w:eastAsia="맑은 고딕"/>
          <w:rFonts w:ascii="맑은 고딕" w:hAnsi="맑은 고딕"/>
          <w:b w:val="0"/>
          <w:sz w:val="20"/>
        </w:rPr>
        <w:t>신흥 시장(아프리카·중동·남미)에서 ICE 수요는 2030년대 중반까지 유지 전망</w:t>
      </w:r>
    </w:p>
    <w:p>
      <w:pPr>
        <w:spacing w:before="200" w:after="120"/>
      </w:pPr>
      <w:r>
        <w:rPr>
          <w:rFonts w:eastAsia="맑은 고딕"/>
          <w:rFonts w:ascii="맑은 고딕" w:hAnsi="맑은 고딕"/>
          <w:b/>
          <w:color w:val="1F497D"/>
          <w:sz w:val="26"/>
        </w:rPr>
        <w:t>3.3 하이브리드 (HEV · PHEV)</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835"/>
            <w:shd w:val="clear" w:color="auto" w:fill="1F497D"/>
          </w:tcPr>
          <w:p>
            <w:pPr>
              <w:jc w:val="center"/>
            </w:pPr>
            <w:r>
              <w:rPr>
                <w:rFonts w:eastAsia="맑은 고딕"/>
                <w:rFonts w:ascii="맑은 고딕" w:hAnsi="맑은 고딕"/>
                <w:b/>
                <w:color w:val="FFFFFF"/>
                <w:sz w:val="19"/>
              </w:rPr>
              <w:t>지표</w:t>
            </w:r>
          </w:p>
        </w:tc>
        <w:tc>
          <w:tcPr>
            <w:tcW w:type="dxa" w:w="1984"/>
            <w:shd w:val="clear" w:color="auto" w:fill="1F497D"/>
          </w:tcPr>
          <w:p>
            <w:pPr>
              <w:jc w:val="center"/>
            </w:pPr>
            <w:r>
              <w:rPr>
                <w:rFonts w:eastAsia="맑은 고딕"/>
                <w:rFonts w:ascii="맑은 고딕" w:hAnsi="맑은 고딕"/>
                <w:b/>
                <w:color w:val="FFFFFF"/>
                <w:sz w:val="19"/>
              </w:rPr>
              <w:t>2025년</w:t>
            </w:r>
          </w:p>
        </w:tc>
        <w:tc>
          <w:tcPr>
            <w:tcW w:type="dxa" w:w="1984"/>
            <w:shd w:val="clear" w:color="auto" w:fill="1F497D"/>
          </w:tcPr>
          <w:p>
            <w:pPr>
              <w:jc w:val="center"/>
            </w:pPr>
            <w:r>
              <w:rPr>
                <w:rFonts w:eastAsia="맑은 고딕"/>
                <w:rFonts w:ascii="맑은 고딕" w:hAnsi="맑은 고딕"/>
                <w:b/>
                <w:color w:val="FFFFFF"/>
                <w:sz w:val="19"/>
              </w:rPr>
              <w:t>2034F (전망)</w:t>
            </w:r>
          </w:p>
        </w:tc>
        <w:tc>
          <w:tcPr>
            <w:tcW w:type="dxa" w:w="1701"/>
            <w:shd w:val="clear" w:color="auto" w:fill="1F497D"/>
          </w:tcPr>
          <w:p>
            <w:pPr>
              <w:jc w:val="center"/>
            </w:pPr>
            <w:r>
              <w:rPr>
                <w:rFonts w:eastAsia="맑은 고딕"/>
                <w:rFonts w:ascii="맑은 고딕" w:hAnsi="맑은 고딕"/>
                <w:b/>
                <w:color w:val="FFFFFF"/>
                <w:sz w:val="19"/>
              </w:rPr>
              <w:t>CAGR</w:t>
            </w:r>
          </w:p>
        </w:tc>
      </w:tr>
      <w:tr>
        <w:tc>
          <w:tcPr>
            <w:tcW w:type="dxa" w:w="2835"/>
          </w:tcPr>
          <w:p>
            <w:r>
              <w:rPr>
                <w:rFonts w:eastAsia="맑은 고딕"/>
                <w:rFonts w:ascii="맑은 고딕" w:hAnsi="맑은 고딕"/>
                <w:b w:val="0"/>
                <w:sz w:val="19"/>
              </w:rPr>
              <w:t>시장 규모</w:t>
            </w:r>
          </w:p>
        </w:tc>
        <w:tc>
          <w:tcPr>
            <w:tcW w:type="dxa" w:w="1984"/>
          </w:tcPr>
          <w:p>
            <w:r>
              <w:rPr>
                <w:rFonts w:eastAsia="맑은 고딕"/>
                <w:rFonts w:ascii="맑은 고딕" w:hAnsi="맑은 고딕"/>
                <w:b w:val="0"/>
                <w:sz w:val="19"/>
              </w:rPr>
              <w:t>3,125억 달러</w:t>
            </w:r>
          </w:p>
        </w:tc>
        <w:tc>
          <w:tcPr>
            <w:tcW w:type="dxa" w:w="1984"/>
          </w:tcPr>
          <w:p>
            <w:r>
              <w:rPr>
                <w:rFonts w:eastAsia="맑은 고딕"/>
                <w:rFonts w:ascii="맑은 고딕" w:hAnsi="맑은 고딕"/>
                <w:b w:val="0"/>
                <w:sz w:val="19"/>
              </w:rPr>
              <w:t>5,708억 달러</w:t>
            </w:r>
          </w:p>
        </w:tc>
        <w:tc>
          <w:tcPr>
            <w:tcW w:type="dxa" w:w="1701"/>
          </w:tcPr>
          <w:p>
            <w:r>
              <w:rPr>
                <w:rFonts w:eastAsia="맑은 고딕"/>
                <w:rFonts w:ascii="맑은 고딕" w:hAnsi="맑은 고딕"/>
                <w:b w:val="0"/>
                <w:sz w:val="19"/>
              </w:rPr>
              <w:t>6.90%</w:t>
            </w:r>
          </w:p>
        </w:tc>
      </w:tr>
      <w:tr>
        <w:tc>
          <w:tcPr>
            <w:tcW w:type="dxa" w:w="2835"/>
            <w:shd w:val="clear" w:color="auto" w:fill="DCE6F1"/>
          </w:tcPr>
          <w:p>
            <w:r>
              <w:rPr>
                <w:rFonts w:eastAsia="맑은 고딕"/>
                <w:rFonts w:ascii="맑은 고딕" w:hAnsi="맑은 고딕"/>
                <w:b w:val="0"/>
                <w:sz w:val="19"/>
              </w:rPr>
              <w:t>EU 신차 내 비중</w:t>
            </w:r>
          </w:p>
        </w:tc>
        <w:tc>
          <w:tcPr>
            <w:tcW w:type="dxa" w:w="1984"/>
            <w:shd w:val="clear" w:color="auto" w:fill="DCE6F1"/>
          </w:tcPr>
          <w:p>
            <w:r>
              <w:rPr>
                <w:rFonts w:eastAsia="맑은 고딕"/>
                <w:rFonts w:ascii="맑은 고딕" w:hAnsi="맑은 고딕"/>
                <w:b w:val="0"/>
                <w:sz w:val="19"/>
              </w:rPr>
              <w:t>35%</w:t>
            </w:r>
          </w:p>
        </w:tc>
        <w:tc>
          <w:tcPr>
            <w:tcW w:type="dxa" w:w="1984"/>
            <w:shd w:val="clear" w:color="auto" w:fill="DCE6F1"/>
          </w:tcPr>
          <w:p>
            <w:r>
              <w:rPr>
                <w:rFonts w:eastAsia="맑은 고딕"/>
                <w:rFonts w:ascii="맑은 고딕" w:hAnsi="맑은 고딕"/>
                <w:b w:val="0"/>
                <w:sz w:val="19"/>
              </w:rPr>
              <w:t>—</w:t>
            </w:r>
          </w:p>
        </w:tc>
        <w:tc>
          <w:tcPr>
            <w:tcW w:type="dxa" w:w="1701"/>
            <w:shd w:val="clear" w:color="auto" w:fill="DCE6F1"/>
          </w:tcPr>
          <w:p>
            <w:r>
              <w:rPr>
                <w:rFonts w:eastAsia="맑은 고딕"/>
                <w:rFonts w:ascii="맑은 고딕" w:hAnsi="맑은 고딕"/>
                <w:b w:val="0"/>
                <w:sz w:val="19"/>
              </w:rPr>
              <w:t>—</w:t>
            </w:r>
          </w:p>
        </w:tc>
      </w:tr>
    </w:tbl>
    <w:p/>
    <w:p>
      <w:pPr>
        <w:pStyle w:val="ListBullet"/>
        <w:spacing w:after="40"/>
        <w:ind w:left="283"/>
      </w:pPr>
      <w:r>
        <w:rPr>
          <w:rFonts w:eastAsia="맑은 고딕"/>
          <w:rFonts w:ascii="맑은 고딕" w:hAnsi="맑은 고딕"/>
          <w:b w:val="0"/>
          <w:sz w:val="20"/>
        </w:rPr>
        <w:t>EV 캐즘(수요 정체) 구간에서 현실적 중간 대안으로 부상</w:t>
      </w:r>
    </w:p>
    <w:p>
      <w:pPr>
        <w:spacing w:before="200" w:after="120"/>
      </w:pPr>
      <w:r>
        <w:rPr>
          <w:rFonts w:eastAsia="맑은 고딕"/>
          <w:rFonts w:ascii="맑은 고딕" w:hAnsi="맑은 고딕"/>
          <w:b/>
          <w:color w:val="1F497D"/>
          <w:sz w:val="26"/>
        </w:rPr>
        <w:t>3.4 자율주행 (Autonomous Vehicles)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835"/>
            <w:shd w:val="clear" w:color="auto" w:fill="1F497D"/>
          </w:tcPr>
          <w:p>
            <w:pPr>
              <w:jc w:val="center"/>
            </w:pPr>
            <w:r>
              <w:rPr>
                <w:rFonts w:eastAsia="맑은 고딕"/>
                <w:rFonts w:ascii="맑은 고딕" w:hAnsi="맑은 고딕"/>
                <w:b/>
                <w:color w:val="FFFFFF"/>
                <w:sz w:val="19"/>
              </w:rPr>
              <w:t>지표</w:t>
            </w:r>
          </w:p>
        </w:tc>
        <w:tc>
          <w:tcPr>
            <w:tcW w:type="dxa" w:w="1984"/>
            <w:shd w:val="clear" w:color="auto" w:fill="1F497D"/>
          </w:tcPr>
          <w:p>
            <w:pPr>
              <w:jc w:val="center"/>
            </w:pPr>
            <w:r>
              <w:rPr>
                <w:rFonts w:eastAsia="맑은 고딕"/>
                <w:rFonts w:ascii="맑은 고딕" w:hAnsi="맑은 고딕"/>
                <w:b/>
                <w:color w:val="FFFFFF"/>
                <w:sz w:val="19"/>
              </w:rPr>
              <w:t>2026년</w:t>
            </w:r>
          </w:p>
        </w:tc>
        <w:tc>
          <w:tcPr>
            <w:tcW w:type="dxa" w:w="1984"/>
            <w:shd w:val="clear" w:color="auto" w:fill="1F497D"/>
          </w:tcPr>
          <w:p>
            <w:pPr>
              <w:jc w:val="center"/>
            </w:pPr>
            <w:r>
              <w:rPr>
                <w:rFonts w:eastAsia="맑은 고딕"/>
                <w:rFonts w:ascii="맑은 고딕" w:hAnsi="맑은 고딕"/>
                <w:b/>
                <w:color w:val="FFFFFF"/>
                <w:sz w:val="19"/>
              </w:rPr>
              <w:t>2031F (전망)</w:t>
            </w:r>
          </w:p>
        </w:tc>
        <w:tc>
          <w:tcPr>
            <w:tcW w:type="dxa" w:w="1701"/>
            <w:shd w:val="clear" w:color="auto" w:fill="1F497D"/>
          </w:tcPr>
          <w:p>
            <w:pPr>
              <w:jc w:val="center"/>
            </w:pPr>
            <w:r>
              <w:rPr>
                <w:rFonts w:eastAsia="맑은 고딕"/>
                <w:rFonts w:ascii="맑은 고딕" w:hAnsi="맑은 고딕"/>
                <w:b/>
                <w:color w:val="FFFFFF"/>
                <w:sz w:val="19"/>
              </w:rPr>
              <w:t>CAGR</w:t>
            </w:r>
          </w:p>
        </w:tc>
      </w:tr>
      <w:tr>
        <w:tc>
          <w:tcPr>
            <w:tcW w:type="dxa" w:w="2835"/>
          </w:tcPr>
          <w:p>
            <w:r>
              <w:rPr>
                <w:rFonts w:eastAsia="맑은 고딕"/>
                <w:rFonts w:ascii="맑은 고딕" w:hAnsi="맑은 고딕"/>
                <w:b w:val="0"/>
                <w:sz w:val="19"/>
              </w:rPr>
              <w:t>시장 규모</w:t>
            </w:r>
          </w:p>
        </w:tc>
        <w:tc>
          <w:tcPr>
            <w:tcW w:type="dxa" w:w="1984"/>
          </w:tcPr>
          <w:p>
            <w:r>
              <w:rPr>
                <w:rFonts w:eastAsia="맑은 고딕"/>
                <w:rFonts w:ascii="맑은 고딕" w:hAnsi="맑은 고딕"/>
                <w:b w:val="0"/>
                <w:sz w:val="19"/>
              </w:rPr>
              <w:t>2,206억 달러</w:t>
            </w:r>
          </w:p>
        </w:tc>
        <w:tc>
          <w:tcPr>
            <w:tcW w:type="dxa" w:w="1984"/>
          </w:tcPr>
          <w:p>
            <w:r>
              <w:rPr>
                <w:rFonts w:eastAsia="맑은 고딕"/>
                <w:rFonts w:ascii="맑은 고딕" w:hAnsi="맑은 고딕"/>
                <w:b w:val="0"/>
                <w:sz w:val="19"/>
              </w:rPr>
              <w:t>6,564억 달러</w:t>
            </w:r>
          </w:p>
        </w:tc>
        <w:tc>
          <w:tcPr>
            <w:tcW w:type="dxa" w:w="1701"/>
          </w:tcPr>
          <w:p>
            <w:r>
              <w:rPr>
                <w:rFonts w:eastAsia="맑은 고딕"/>
                <w:rFonts w:ascii="맑은 고딕" w:hAnsi="맑은 고딕"/>
                <w:b w:val="0"/>
                <w:sz w:val="19"/>
              </w:rPr>
              <w:t>24.37%</w:t>
            </w:r>
          </w:p>
        </w:tc>
      </w:tr>
    </w:tbl>
    <w:p/>
    <w:p>
      <w:pPr>
        <w:pStyle w:val="ListBullet"/>
        <w:spacing w:after="40"/>
        <w:ind w:left="283"/>
      </w:pPr>
      <w:r>
        <w:rPr>
          <w:rFonts w:eastAsia="맑은 고딕"/>
          <w:rFonts w:ascii="맑은 고딕" w:hAnsi="맑은 고딕"/>
          <w:b w:val="0"/>
          <w:sz w:val="20"/>
        </w:rPr>
        <w:t>SAE 레벨 3 상용화 단계 진입</w:t>
      </w:r>
    </w:p>
    <w:p>
      <w:pPr>
        <w:pStyle w:val="ListBullet"/>
        <w:spacing w:after="40"/>
        <w:ind w:left="283"/>
      </w:pPr>
      <w:r>
        <w:rPr>
          <w:rFonts w:eastAsia="맑은 고딕"/>
          <w:rFonts w:ascii="맑은 고딕" w:hAnsi="맑은 고딕"/>
          <w:b w:val="0"/>
          <w:sz w:val="20"/>
        </w:rPr>
        <w:t>로보택시(Robotaxi) 서비스 가속 — Waymo, Baidu Apollo 주도</w:t>
      </w:r>
    </w:p>
    <w:p>
      <w:pPr>
        <w:spacing w:before="200" w:after="120"/>
      </w:pPr>
      <w:r>
        <w:rPr>
          <w:rFonts w:eastAsia="맑은 고딕"/>
          <w:rFonts w:ascii="맑은 고딕" w:hAnsi="맑은 고딕"/>
          <w:b/>
          <w:color w:val="1F497D"/>
          <w:sz w:val="26"/>
        </w:rPr>
        <w:t>3.5 커넥티드카</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835"/>
            <w:shd w:val="clear" w:color="auto" w:fill="1F497D"/>
          </w:tcPr>
          <w:p>
            <w:pPr>
              <w:jc w:val="center"/>
            </w:pPr>
            <w:r>
              <w:rPr>
                <w:rFonts w:eastAsia="맑은 고딕"/>
                <w:rFonts w:ascii="맑은 고딕" w:hAnsi="맑은 고딕"/>
                <w:b/>
                <w:color w:val="FFFFFF"/>
                <w:sz w:val="19"/>
              </w:rPr>
              <w:t>지표</w:t>
            </w:r>
          </w:p>
        </w:tc>
        <w:tc>
          <w:tcPr>
            <w:tcW w:type="dxa" w:w="1984"/>
            <w:shd w:val="clear" w:color="auto" w:fill="1F497D"/>
          </w:tcPr>
          <w:p>
            <w:pPr>
              <w:jc w:val="center"/>
            </w:pPr>
            <w:r>
              <w:rPr>
                <w:rFonts w:eastAsia="맑은 고딕"/>
                <w:rFonts w:ascii="맑은 고딕" w:hAnsi="맑은 고딕"/>
                <w:b/>
                <w:color w:val="FFFFFF"/>
                <w:sz w:val="19"/>
              </w:rPr>
              <w:t>2026년</w:t>
            </w:r>
          </w:p>
        </w:tc>
        <w:tc>
          <w:tcPr>
            <w:tcW w:type="dxa" w:w="1984"/>
            <w:shd w:val="clear" w:color="auto" w:fill="1F497D"/>
          </w:tcPr>
          <w:p>
            <w:pPr>
              <w:jc w:val="center"/>
            </w:pPr>
            <w:r>
              <w:rPr>
                <w:rFonts w:eastAsia="맑은 고딕"/>
                <w:rFonts w:ascii="맑은 고딕" w:hAnsi="맑은 고딕"/>
                <w:b/>
                <w:color w:val="FFFFFF"/>
                <w:sz w:val="19"/>
              </w:rPr>
              <w:t>2034F (전망)</w:t>
            </w:r>
          </w:p>
        </w:tc>
        <w:tc>
          <w:tcPr>
            <w:tcW w:type="dxa" w:w="1701"/>
            <w:shd w:val="clear" w:color="auto" w:fill="1F497D"/>
          </w:tcPr>
          <w:p>
            <w:pPr>
              <w:jc w:val="center"/>
            </w:pPr>
            <w:r>
              <w:rPr>
                <w:rFonts w:eastAsia="맑은 고딕"/>
                <w:rFonts w:ascii="맑은 고딕" w:hAnsi="맑은 고딕"/>
                <w:b/>
                <w:color w:val="FFFFFF"/>
                <w:sz w:val="19"/>
              </w:rPr>
              <w:t>CAGR</w:t>
            </w:r>
          </w:p>
        </w:tc>
      </w:tr>
      <w:tr>
        <w:tc>
          <w:tcPr>
            <w:tcW w:type="dxa" w:w="2835"/>
          </w:tcPr>
          <w:p>
            <w:r>
              <w:rPr>
                <w:rFonts w:eastAsia="맑은 고딕"/>
                <w:rFonts w:ascii="맑은 고딕" w:hAnsi="맑은 고딕"/>
                <w:b w:val="0"/>
                <w:sz w:val="19"/>
              </w:rPr>
              <w:t>시장 규모</w:t>
            </w:r>
          </w:p>
        </w:tc>
        <w:tc>
          <w:tcPr>
            <w:tcW w:type="dxa" w:w="1984"/>
          </w:tcPr>
          <w:p>
            <w:r>
              <w:rPr>
                <w:rFonts w:eastAsia="맑은 고딕"/>
                <w:rFonts w:ascii="맑은 고딕" w:hAnsi="맑은 고딕"/>
                <w:b w:val="0"/>
                <w:sz w:val="19"/>
              </w:rPr>
              <w:t>1,453억 달러</w:t>
            </w:r>
          </w:p>
        </w:tc>
        <w:tc>
          <w:tcPr>
            <w:tcW w:type="dxa" w:w="1984"/>
          </w:tcPr>
          <w:p>
            <w:r>
              <w:rPr>
                <w:rFonts w:eastAsia="맑은 고딕"/>
                <w:rFonts w:ascii="맑은 고딕" w:hAnsi="맑은 고딕"/>
                <w:b w:val="0"/>
                <w:sz w:val="19"/>
              </w:rPr>
              <w:t>5,688억 달러</w:t>
            </w:r>
          </w:p>
        </w:tc>
        <w:tc>
          <w:tcPr>
            <w:tcW w:type="dxa" w:w="1701"/>
          </w:tcPr>
          <w:p>
            <w:r>
              <w:rPr>
                <w:rFonts w:eastAsia="맑은 고딕"/>
                <w:rFonts w:ascii="맑은 고딕" w:hAnsi="맑은 고딕"/>
                <w:b w:val="0"/>
                <w:sz w:val="19"/>
              </w:rPr>
              <w:t>18.60%</w:t>
            </w:r>
          </w:p>
        </w:tc>
      </w:tr>
    </w:tbl>
    <w:p/>
    <w:p>
      <w:pPr>
        <w:pStyle w:val="ListBullet"/>
        <w:spacing w:after="40"/>
        <w:ind w:left="283"/>
      </w:pPr>
      <w:r>
        <w:rPr>
          <w:rFonts w:eastAsia="맑은 고딕"/>
          <w:rFonts w:ascii="맑은 고딕" w:hAnsi="맑은 고딕"/>
          <w:b w:val="0"/>
          <w:sz w:val="20"/>
        </w:rPr>
        <w:t>5G V2X(차량·사물 통신), OTA(무선 업데이트), 구독 기반 반복 수익 모델 성장 견인</w:t>
      </w:r>
    </w:p>
    <w:p>
      <w:r>
        <w:br w:type="page"/>
      </w:r>
    </w:p>
    <w:p>
      <w:pPr>
        <w:spacing w:before="280" w:after="120"/>
      </w:pPr>
      <w:r>
        <w:rPr>
          <w:rFonts w:eastAsia="맑은 고딕"/>
          <w:rFonts w:ascii="맑은 고딕" w:hAnsi="맑은 고딕"/>
          <w:b/>
          <w:color w:val="1F497D"/>
          <w:sz w:val="32"/>
        </w:rPr>
        <w:t>4. 경쟁 구도</w:t>
      </w:r>
    </w:p>
    <w:p>
      <w:pPr>
        <w:pBdr>
          <w:bottom w:val="single" w:sz="6" w:space="1" w:color="1F497D"/>
        </w:pBdr>
        <w:spacing w:after="120"/>
      </w:pPr>
    </w:p>
    <w:p>
      <w:pPr>
        <w:spacing w:before="200" w:after="120"/>
      </w:pPr>
      <w:r>
        <w:rPr>
          <w:rFonts w:eastAsia="맑은 고딕"/>
          <w:rFonts w:ascii="맑은 고딕" w:hAnsi="맑은 고딕"/>
          <w:b/>
          <w:color w:val="1F497D"/>
          <w:sz w:val="26"/>
        </w:rPr>
        <w:t>글로벌 주요 OEM 현황 (2025년 기준)</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850"/>
            <w:shd w:val="clear" w:color="auto" w:fill="1F497D"/>
          </w:tcPr>
          <w:p>
            <w:pPr>
              <w:jc w:val="center"/>
            </w:pPr>
            <w:r>
              <w:rPr>
                <w:rFonts w:eastAsia="맑은 고딕"/>
                <w:rFonts w:ascii="맑은 고딕" w:hAnsi="맑은 고딕"/>
                <w:b/>
                <w:color w:val="FFFFFF"/>
                <w:sz w:val="19"/>
              </w:rPr>
              <w:t>순위</w:t>
            </w:r>
          </w:p>
        </w:tc>
        <w:tc>
          <w:tcPr>
            <w:tcW w:type="dxa" w:w="2268"/>
            <w:shd w:val="clear" w:color="auto" w:fill="1F497D"/>
          </w:tcPr>
          <w:p>
            <w:pPr>
              <w:jc w:val="center"/>
            </w:pPr>
            <w:r>
              <w:rPr>
                <w:rFonts w:eastAsia="맑은 고딕"/>
                <w:rFonts w:ascii="맑은 고딕" w:hAnsi="맑은 고딕"/>
                <w:b/>
                <w:color w:val="FFFFFF"/>
                <w:sz w:val="19"/>
              </w:rPr>
              <w:t>그룹</w:t>
            </w:r>
          </w:p>
        </w:tc>
        <w:tc>
          <w:tcPr>
            <w:tcW w:type="dxa" w:w="1701"/>
            <w:shd w:val="clear" w:color="auto" w:fill="1F497D"/>
          </w:tcPr>
          <w:p>
            <w:pPr>
              <w:jc w:val="center"/>
            </w:pPr>
            <w:r>
              <w:rPr>
                <w:rFonts w:eastAsia="맑은 고딕"/>
                <w:rFonts w:ascii="맑은 고딕" w:hAnsi="맑은 고딕"/>
                <w:b/>
                <w:color w:val="FFFFFF"/>
                <w:sz w:val="19"/>
              </w:rPr>
              <w:t>판매량</w:t>
            </w:r>
          </w:p>
        </w:tc>
        <w:tc>
          <w:tcPr>
            <w:tcW w:type="dxa" w:w="3402"/>
            <w:shd w:val="clear" w:color="auto" w:fill="1F497D"/>
          </w:tcPr>
          <w:p>
            <w:pPr>
              <w:jc w:val="center"/>
            </w:pPr>
            <w:r>
              <w:rPr>
                <w:rFonts w:eastAsia="맑은 고딕"/>
                <w:rFonts w:ascii="맑은 고딕" w:hAnsi="맑은 고딕"/>
                <w:b/>
                <w:color w:val="FFFFFF"/>
                <w:sz w:val="19"/>
              </w:rPr>
              <w:t>특이사항</w:t>
            </w:r>
          </w:p>
        </w:tc>
      </w:tr>
      <w:tr>
        <w:tc>
          <w:tcPr>
            <w:tcW w:type="dxa" w:w="850"/>
          </w:tcPr>
          <w:p>
            <w:r>
              <w:rPr>
                <w:rFonts w:eastAsia="맑은 고딕"/>
                <w:rFonts w:ascii="맑은 고딕" w:hAnsi="맑은 고딕"/>
                <w:b w:val="0"/>
                <w:sz w:val="19"/>
              </w:rPr>
              <w:t>1</w:t>
            </w:r>
          </w:p>
        </w:tc>
        <w:tc>
          <w:tcPr>
            <w:tcW w:type="dxa" w:w="2268"/>
          </w:tcPr>
          <w:p>
            <w:r>
              <w:rPr>
                <w:rFonts w:eastAsia="맑은 고딕"/>
                <w:rFonts w:ascii="맑은 고딕" w:hAnsi="맑은 고딕"/>
                <w:b w:val="0"/>
                <w:sz w:val="19"/>
              </w:rPr>
              <w:t>Toyota</w:t>
            </w:r>
          </w:p>
        </w:tc>
        <w:tc>
          <w:tcPr>
            <w:tcW w:type="dxa" w:w="1701"/>
          </w:tcPr>
          <w:p>
            <w:r>
              <w:rPr>
                <w:rFonts w:eastAsia="맑은 고딕"/>
                <w:rFonts w:ascii="맑은 고딕" w:hAnsi="맑은 고딕"/>
                <w:b w:val="0"/>
                <w:sz w:val="19"/>
              </w:rPr>
              <w:t>1,130만 대</w:t>
            </w:r>
          </w:p>
        </w:tc>
        <w:tc>
          <w:tcPr>
            <w:tcW w:type="dxa" w:w="3402"/>
          </w:tcPr>
          <w:p>
            <w:r>
              <w:rPr>
                <w:rFonts w:eastAsia="맑은 고딕"/>
                <w:rFonts w:ascii="맑은 고딕" w:hAnsi="맑은 고딕"/>
                <w:b w:val="0"/>
                <w:sz w:val="19"/>
              </w:rPr>
              <w:t>11년 연속 세계 1위, 하이브리드 리더십</w:t>
            </w:r>
          </w:p>
        </w:tc>
      </w:tr>
      <w:tr>
        <w:tc>
          <w:tcPr>
            <w:tcW w:type="dxa" w:w="850"/>
            <w:shd w:val="clear" w:color="auto" w:fill="DCE6F1"/>
          </w:tcPr>
          <w:p>
            <w:r>
              <w:rPr>
                <w:rFonts w:eastAsia="맑은 고딕"/>
                <w:rFonts w:ascii="맑은 고딕" w:hAnsi="맑은 고딕"/>
                <w:b w:val="0"/>
                <w:sz w:val="19"/>
              </w:rPr>
              <w:t>2</w:t>
            </w:r>
          </w:p>
        </w:tc>
        <w:tc>
          <w:tcPr>
            <w:tcW w:type="dxa" w:w="2268"/>
            <w:shd w:val="clear" w:color="auto" w:fill="DCE6F1"/>
          </w:tcPr>
          <w:p>
            <w:r>
              <w:rPr>
                <w:rFonts w:eastAsia="맑은 고딕"/>
                <w:rFonts w:ascii="맑은 고딕" w:hAnsi="맑은 고딕"/>
                <w:b w:val="0"/>
                <w:sz w:val="19"/>
              </w:rPr>
              <w:t>Volkswagen Group</w:t>
            </w:r>
          </w:p>
        </w:tc>
        <w:tc>
          <w:tcPr>
            <w:tcW w:type="dxa" w:w="1701"/>
            <w:shd w:val="clear" w:color="auto" w:fill="DCE6F1"/>
          </w:tcPr>
          <w:p>
            <w:r>
              <w:rPr>
                <w:rFonts w:eastAsia="맑은 고딕"/>
                <w:rFonts w:ascii="맑은 고딕" w:hAnsi="맑은 고딕"/>
                <w:b w:val="0"/>
                <w:sz w:val="19"/>
              </w:rPr>
              <w:t>약 900만 대</w:t>
            </w:r>
          </w:p>
        </w:tc>
        <w:tc>
          <w:tcPr>
            <w:tcW w:type="dxa" w:w="3402"/>
            <w:shd w:val="clear" w:color="auto" w:fill="DCE6F1"/>
          </w:tcPr>
          <w:p>
            <w:r>
              <w:rPr>
                <w:rFonts w:eastAsia="맑은 고딕"/>
                <w:rFonts w:ascii="맑은 고딕" w:hAnsi="맑은 고딕"/>
                <w:b w:val="0"/>
                <w:sz w:val="19"/>
              </w:rPr>
              <w:t>EV 전환 투자 지속 (ID. 시리즈 확대)</w:t>
            </w:r>
          </w:p>
        </w:tc>
      </w:tr>
      <w:tr>
        <w:tc>
          <w:tcPr>
            <w:tcW w:type="dxa" w:w="850"/>
          </w:tcPr>
          <w:p>
            <w:r>
              <w:rPr>
                <w:rFonts w:eastAsia="맑은 고딕"/>
                <w:rFonts w:ascii="맑은 고딕" w:hAnsi="맑은 고딕"/>
                <w:b w:val="0"/>
                <w:sz w:val="19"/>
              </w:rPr>
              <w:t>3</w:t>
            </w:r>
          </w:p>
        </w:tc>
        <w:tc>
          <w:tcPr>
            <w:tcW w:type="dxa" w:w="2268"/>
          </w:tcPr>
          <w:p>
            <w:r>
              <w:rPr>
                <w:rFonts w:eastAsia="맑은 고딕"/>
                <w:rFonts w:ascii="맑은 고딕" w:hAnsi="맑은 고딕"/>
                <w:b w:val="0"/>
                <w:sz w:val="19"/>
              </w:rPr>
              <w:t>Hyundai Motor Group</w:t>
            </w:r>
          </w:p>
        </w:tc>
        <w:tc>
          <w:tcPr>
            <w:tcW w:type="dxa" w:w="1701"/>
          </w:tcPr>
          <w:p>
            <w:r>
              <w:rPr>
                <w:rFonts w:eastAsia="맑은 고딕"/>
                <w:rFonts w:ascii="맑은 고딕" w:hAnsi="맑은 고딕"/>
                <w:b w:val="0"/>
                <w:sz w:val="19"/>
              </w:rPr>
              <w:t>727만 대</w:t>
            </w:r>
          </w:p>
        </w:tc>
        <w:tc>
          <w:tcPr>
            <w:tcW w:type="dxa" w:w="3402"/>
          </w:tcPr>
          <w:p>
            <w:r>
              <w:rPr>
                <w:rFonts w:eastAsia="맑은 고딕"/>
                <w:rFonts w:ascii="맑은 고딕" w:hAnsi="맑은 고딕"/>
                <w:b w:val="0"/>
                <w:sz w:val="19"/>
              </w:rPr>
              <w:t>전동화 비중 23~24%</w:t>
            </w:r>
          </w:p>
        </w:tc>
      </w:tr>
      <w:tr>
        <w:tc>
          <w:tcPr>
            <w:tcW w:type="dxa" w:w="850"/>
            <w:shd w:val="clear" w:color="auto" w:fill="DCE6F1"/>
          </w:tcPr>
          <w:p>
            <w:r>
              <w:rPr>
                <w:rFonts w:eastAsia="맑은 고딕"/>
                <w:rFonts w:ascii="맑은 고딕" w:hAnsi="맑은 고딕"/>
                <w:b w:val="0"/>
                <w:sz w:val="19"/>
              </w:rPr>
              <w:t>4</w:t>
            </w:r>
          </w:p>
        </w:tc>
        <w:tc>
          <w:tcPr>
            <w:tcW w:type="dxa" w:w="2268"/>
            <w:shd w:val="clear" w:color="auto" w:fill="DCE6F1"/>
          </w:tcPr>
          <w:p>
            <w:r>
              <w:rPr>
                <w:rFonts w:eastAsia="맑은 고딕"/>
                <w:rFonts w:ascii="맑은 고딕" w:hAnsi="맑은 고딕"/>
                <w:b w:val="0"/>
                <w:sz w:val="19"/>
              </w:rPr>
              <w:t>BYD</w:t>
            </w:r>
          </w:p>
        </w:tc>
        <w:tc>
          <w:tcPr>
            <w:tcW w:type="dxa" w:w="1701"/>
            <w:shd w:val="clear" w:color="auto" w:fill="DCE6F1"/>
          </w:tcPr>
          <w:p>
            <w:r>
              <w:rPr>
                <w:rFonts w:eastAsia="맑은 고딕"/>
                <w:rFonts w:ascii="맑은 고딕" w:hAnsi="맑은 고딕"/>
                <w:b w:val="0"/>
                <w:sz w:val="19"/>
              </w:rPr>
              <w:t>460만 대</w:t>
            </w:r>
          </w:p>
        </w:tc>
        <w:tc>
          <w:tcPr>
            <w:tcW w:type="dxa" w:w="3402"/>
            <w:shd w:val="clear" w:color="auto" w:fill="DCE6F1"/>
          </w:tcPr>
          <w:p>
            <w:r>
              <w:rPr>
                <w:rFonts w:eastAsia="맑은 고딕"/>
                <w:rFonts w:ascii="맑은 고딕" w:hAnsi="맑은 고딕"/>
                <w:b w:val="0"/>
                <w:sz w:val="19"/>
              </w:rPr>
              <w:t>EV 세계 판매 1위 (PHEV 포함)</w:t>
            </w:r>
          </w:p>
        </w:tc>
      </w:tr>
      <w:tr>
        <w:tc>
          <w:tcPr>
            <w:tcW w:type="dxa" w:w="850"/>
          </w:tcPr>
          <w:p>
            <w:r>
              <w:rPr>
                <w:rFonts w:eastAsia="맑은 고딕"/>
                <w:rFonts w:ascii="맑은 고딕" w:hAnsi="맑은 고딕"/>
                <w:b w:val="0"/>
                <w:sz w:val="19"/>
              </w:rPr>
              <w:t>5</w:t>
            </w:r>
          </w:p>
        </w:tc>
        <w:tc>
          <w:tcPr>
            <w:tcW w:type="dxa" w:w="2268"/>
          </w:tcPr>
          <w:p>
            <w:r>
              <w:rPr>
                <w:rFonts w:eastAsia="맑은 고딕"/>
                <w:rFonts w:ascii="맑은 고딕" w:hAnsi="맑은 고딕"/>
                <w:b w:val="0"/>
                <w:sz w:val="19"/>
              </w:rPr>
              <w:t>Tesla</w:t>
            </w:r>
          </w:p>
        </w:tc>
        <w:tc>
          <w:tcPr>
            <w:tcW w:type="dxa" w:w="1701"/>
          </w:tcPr>
          <w:p>
            <w:r>
              <w:rPr>
                <w:rFonts w:eastAsia="맑은 고딕"/>
                <w:rFonts w:ascii="맑은 고딕" w:hAnsi="맑은 고딕"/>
                <w:b w:val="0"/>
                <w:sz w:val="19"/>
              </w:rPr>
              <w:t>164만 대</w:t>
            </w:r>
          </w:p>
        </w:tc>
        <w:tc>
          <w:tcPr>
            <w:tcW w:type="dxa" w:w="3402"/>
          </w:tcPr>
          <w:p>
            <w:r>
              <w:rPr>
                <w:rFonts w:eastAsia="맑은 고딕"/>
                <w:rFonts w:ascii="맑은 고딕" w:hAnsi="맑은 고딕"/>
                <w:b w:val="0"/>
                <w:sz w:val="19"/>
              </w:rPr>
              <w:t>시가총액 1.43조 달러, 순수 EV 단일 브랜드</w:t>
            </w:r>
          </w:p>
        </w:tc>
      </w:tr>
    </w:tbl>
    <w:p/>
    <w:p>
      <w:pPr>
        <w:spacing w:before="200" w:after="120"/>
      </w:pPr>
      <w:r>
        <w:rPr>
          <w:rFonts w:eastAsia="맑은 고딕"/>
          <w:rFonts w:ascii="맑은 고딕" w:hAnsi="맑은 고딕"/>
          <w:b/>
          <w:color w:val="1F497D"/>
          <w:sz w:val="26"/>
        </w:rPr>
        <w:t>현대차그룹 세부 실적 (2025년)</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1F497D"/>
          </w:tcPr>
          <w:p>
            <w:pPr>
              <w:jc w:val="center"/>
            </w:pPr>
            <w:r>
              <w:rPr>
                <w:rFonts w:eastAsia="맑은 고딕"/>
                <w:rFonts w:ascii="맑은 고딕" w:hAnsi="맑은 고딕"/>
                <w:b/>
                <w:color w:val="FFFFFF"/>
                <w:sz w:val="19"/>
              </w:rPr>
              <w:t>항목</w:t>
            </w:r>
          </w:p>
        </w:tc>
        <w:tc>
          <w:tcPr>
            <w:tcW w:type="dxa" w:w="2835"/>
            <w:shd w:val="clear" w:color="auto" w:fill="1F497D"/>
          </w:tcPr>
          <w:p>
            <w:pPr>
              <w:jc w:val="center"/>
            </w:pPr>
            <w:r>
              <w:rPr>
                <w:rFonts w:eastAsia="맑은 고딕"/>
                <w:rFonts w:ascii="맑은 고딕" w:hAnsi="맑은 고딕"/>
                <w:b/>
                <w:color w:val="FFFFFF"/>
                <w:sz w:val="19"/>
              </w:rPr>
              <w:t>현대차</w:t>
            </w:r>
          </w:p>
        </w:tc>
        <w:tc>
          <w:tcPr>
            <w:tcW w:type="dxa" w:w="2835"/>
            <w:shd w:val="clear" w:color="auto" w:fill="1F497D"/>
          </w:tcPr>
          <w:p>
            <w:pPr>
              <w:jc w:val="center"/>
            </w:pPr>
            <w:r>
              <w:rPr>
                <w:rFonts w:eastAsia="맑은 고딕"/>
                <w:rFonts w:ascii="맑은 고딕" w:hAnsi="맑은 고딕"/>
                <w:b/>
                <w:color w:val="FFFFFF"/>
                <w:sz w:val="19"/>
              </w:rPr>
              <w:t>기아</w:t>
            </w:r>
          </w:p>
        </w:tc>
      </w:tr>
      <w:tr>
        <w:tc>
          <w:tcPr>
            <w:tcW w:type="dxa" w:w="2268"/>
          </w:tcPr>
          <w:p>
            <w:r>
              <w:rPr>
                <w:rFonts w:eastAsia="맑은 고딕"/>
                <w:rFonts w:ascii="맑은 고딕" w:hAnsi="맑은 고딕"/>
                <w:b w:val="0"/>
                <w:sz w:val="19"/>
              </w:rPr>
              <w:t>글로벌 판매량</w:t>
            </w:r>
          </w:p>
        </w:tc>
        <w:tc>
          <w:tcPr>
            <w:tcW w:type="dxa" w:w="2835"/>
          </w:tcPr>
          <w:p>
            <w:r>
              <w:rPr>
                <w:rFonts w:eastAsia="맑은 고딕"/>
                <w:rFonts w:ascii="맑은 고딕" w:hAnsi="맑은 고딕"/>
                <w:b w:val="0"/>
                <w:sz w:val="19"/>
              </w:rPr>
              <w:t>414만 대</w:t>
            </w:r>
          </w:p>
        </w:tc>
        <w:tc>
          <w:tcPr>
            <w:tcW w:type="dxa" w:w="2835"/>
          </w:tcPr>
          <w:p>
            <w:r>
              <w:rPr>
                <w:rFonts w:eastAsia="맑은 고딕"/>
                <w:rFonts w:ascii="맑은 고딕" w:hAnsi="맑은 고딕"/>
                <w:b w:val="0"/>
                <w:sz w:val="19"/>
              </w:rPr>
              <w:t>314만 대 (역대 최대)</w:t>
            </w:r>
          </w:p>
        </w:tc>
      </w:tr>
      <w:tr>
        <w:tc>
          <w:tcPr>
            <w:tcW w:type="dxa" w:w="2268"/>
            <w:shd w:val="clear" w:color="auto" w:fill="DCE6F1"/>
          </w:tcPr>
          <w:p>
            <w:r>
              <w:rPr>
                <w:rFonts w:eastAsia="맑은 고딕"/>
                <w:rFonts w:ascii="맑은 고딕" w:hAnsi="맑은 고딕"/>
                <w:b w:val="0"/>
                <w:sz w:val="19"/>
              </w:rPr>
              <w:t>연간 매출</w:t>
            </w:r>
          </w:p>
        </w:tc>
        <w:tc>
          <w:tcPr>
            <w:tcW w:type="dxa" w:w="2835"/>
            <w:shd w:val="clear" w:color="auto" w:fill="DCE6F1"/>
          </w:tcPr>
          <w:p>
            <w:r>
              <w:rPr>
                <w:rFonts w:eastAsia="맑은 고딕"/>
                <w:rFonts w:ascii="맑은 고딕" w:hAnsi="맑은 고딕"/>
                <w:b w:val="0"/>
                <w:sz w:val="19"/>
              </w:rPr>
              <w:t>186.3조 원</w:t>
            </w:r>
          </w:p>
        </w:tc>
        <w:tc>
          <w:tcPr>
            <w:tcW w:type="dxa" w:w="2835"/>
            <w:shd w:val="clear" w:color="auto" w:fill="DCE6F1"/>
          </w:tcPr>
          <w:p>
            <w:r>
              <w:rPr>
                <w:rFonts w:eastAsia="맑은 고딕"/>
                <w:rFonts w:ascii="맑은 고딕" w:hAnsi="맑은 고딕"/>
                <w:b w:val="0"/>
                <w:sz w:val="19"/>
              </w:rPr>
              <w:t>114.1조 원</w:t>
            </w:r>
          </w:p>
        </w:tc>
      </w:tr>
      <w:tr>
        <w:tc>
          <w:tcPr>
            <w:tcW w:type="dxa" w:w="2268"/>
          </w:tcPr>
          <w:p>
            <w:r>
              <w:rPr>
                <w:rFonts w:eastAsia="맑은 고딕"/>
                <w:rFonts w:ascii="맑은 고딕" w:hAnsi="맑은 고딕"/>
                <w:b w:val="0"/>
                <w:sz w:val="19"/>
              </w:rPr>
              <w:t>전동화 비중</w:t>
            </w:r>
          </w:p>
        </w:tc>
        <w:tc>
          <w:tcPr>
            <w:tcW w:type="dxa" w:w="2835"/>
          </w:tcPr>
          <w:p>
            <w:r>
              <w:rPr>
                <w:rFonts w:eastAsia="맑은 고딕"/>
                <w:rFonts w:ascii="맑은 고딕" w:hAnsi="맑은 고딕"/>
                <w:b w:val="0"/>
                <w:sz w:val="19"/>
              </w:rPr>
              <w:t>약 23%</w:t>
            </w:r>
          </w:p>
        </w:tc>
        <w:tc>
          <w:tcPr>
            <w:tcW w:type="dxa" w:w="2835"/>
          </w:tcPr>
          <w:p>
            <w:r>
              <w:rPr>
                <w:rFonts w:eastAsia="맑은 고딕"/>
                <w:rFonts w:ascii="맑은 고딕" w:hAnsi="맑은 고딕"/>
                <w:b w:val="0"/>
                <w:sz w:val="19"/>
              </w:rPr>
              <w:t>약 24.2%</w:t>
            </w:r>
          </w:p>
        </w:tc>
      </w:tr>
    </w:tbl>
    <w:p/>
    <w:p>
      <w:r>
        <w:br w:type="page"/>
      </w:r>
    </w:p>
    <w:p>
      <w:pPr>
        <w:spacing w:before="280" w:after="120"/>
      </w:pPr>
      <w:r>
        <w:rPr>
          <w:rFonts w:eastAsia="맑은 고딕"/>
          <w:rFonts w:ascii="맑은 고딕" w:hAnsi="맑은 고딕"/>
          <w:b/>
          <w:color w:val="1F497D"/>
          <w:sz w:val="32"/>
        </w:rPr>
        <w:t>5. 지역별 시장 현황</w:t>
      </w:r>
    </w:p>
    <w:p>
      <w:pPr>
        <w:pBdr>
          <w:bottom w:val="single" w:sz="6" w:space="1" w:color="1F497D"/>
        </w:pBdr>
        <w:spacing w:after="120"/>
      </w:pP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701"/>
            <w:shd w:val="clear" w:color="auto" w:fill="1F497D"/>
          </w:tcPr>
          <w:p>
            <w:pPr>
              <w:jc w:val="center"/>
            </w:pPr>
            <w:r>
              <w:rPr>
                <w:rFonts w:eastAsia="맑은 고딕"/>
                <w:rFonts w:ascii="맑은 고딕" w:hAnsi="맑은 고딕"/>
                <w:b/>
                <w:color w:val="FFFFFF"/>
                <w:sz w:val="19"/>
              </w:rPr>
              <w:t>지역</w:t>
            </w:r>
          </w:p>
        </w:tc>
        <w:tc>
          <w:tcPr>
            <w:tcW w:type="dxa" w:w="1417"/>
            <w:shd w:val="clear" w:color="auto" w:fill="1F497D"/>
          </w:tcPr>
          <w:p>
            <w:pPr>
              <w:jc w:val="center"/>
            </w:pPr>
            <w:r>
              <w:rPr>
                <w:rFonts w:eastAsia="맑은 고딕"/>
                <w:rFonts w:ascii="맑은 고딕" w:hAnsi="맑은 고딕"/>
                <w:b/>
                <w:color w:val="FFFFFF"/>
                <w:sz w:val="19"/>
              </w:rPr>
              <w:t>TAM 점유율</w:t>
            </w:r>
          </w:p>
        </w:tc>
        <w:tc>
          <w:tcPr>
            <w:tcW w:type="dxa" w:w="1984"/>
            <w:shd w:val="clear" w:color="auto" w:fill="1F497D"/>
          </w:tcPr>
          <w:p>
            <w:pPr>
              <w:jc w:val="center"/>
            </w:pPr>
            <w:r>
              <w:rPr>
                <w:rFonts w:eastAsia="맑은 고딕"/>
                <w:rFonts w:ascii="맑은 고딕" w:hAnsi="맑은 고딕"/>
                <w:b/>
                <w:color w:val="FFFFFF"/>
                <w:sz w:val="19"/>
              </w:rPr>
              <w:t>시장 규모 (추정)</w:t>
            </w:r>
          </w:p>
        </w:tc>
        <w:tc>
          <w:tcPr>
            <w:tcW w:type="dxa" w:w="1134"/>
            <w:shd w:val="clear" w:color="auto" w:fill="1F497D"/>
          </w:tcPr>
          <w:p>
            <w:pPr>
              <w:jc w:val="center"/>
            </w:pPr>
            <w:r>
              <w:rPr>
                <w:rFonts w:eastAsia="맑은 고딕"/>
                <w:rFonts w:ascii="맑은 고딕" w:hAnsi="맑은 고딕"/>
                <w:b/>
                <w:color w:val="FFFFFF"/>
                <w:sz w:val="19"/>
              </w:rPr>
              <w:t>CAGR</w:t>
            </w:r>
          </w:p>
        </w:tc>
        <w:tc>
          <w:tcPr>
            <w:tcW w:type="dxa" w:w="2268"/>
            <w:shd w:val="clear" w:color="auto" w:fill="1F497D"/>
          </w:tcPr>
          <w:p>
            <w:pPr>
              <w:jc w:val="center"/>
            </w:pPr>
            <w:r>
              <w:rPr>
                <w:rFonts w:eastAsia="맑은 고딕"/>
                <w:rFonts w:ascii="맑은 고딕" w:hAnsi="맑은 고딕"/>
                <w:b/>
                <w:color w:val="FFFFFF"/>
                <w:sz w:val="19"/>
              </w:rPr>
              <w:t>주요 특성</w:t>
            </w:r>
          </w:p>
        </w:tc>
      </w:tr>
      <w:tr>
        <w:tc>
          <w:tcPr>
            <w:tcW w:type="dxa" w:w="1701"/>
          </w:tcPr>
          <w:p>
            <w:r>
              <w:rPr>
                <w:rFonts w:eastAsia="맑은 고딕"/>
                <w:rFonts w:ascii="맑은 고딕" w:hAnsi="맑은 고딕"/>
                <w:b w:val="0"/>
                <w:sz w:val="19"/>
              </w:rPr>
              <w:t>아시아-태평양</w:t>
            </w:r>
          </w:p>
        </w:tc>
        <w:tc>
          <w:tcPr>
            <w:tcW w:type="dxa" w:w="1417"/>
          </w:tcPr>
          <w:p>
            <w:r>
              <w:rPr>
                <w:rFonts w:eastAsia="맑은 고딕"/>
                <w:rFonts w:ascii="맑은 고딕" w:hAnsi="맑은 고딕"/>
                <w:b w:val="0"/>
                <w:sz w:val="19"/>
              </w:rPr>
              <w:t>53.11%</w:t>
            </w:r>
          </w:p>
        </w:tc>
        <w:tc>
          <w:tcPr>
            <w:tcW w:type="dxa" w:w="1984"/>
          </w:tcPr>
          <w:p>
            <w:r>
              <w:rPr>
                <w:rFonts w:eastAsia="맑은 고딕"/>
                <w:rFonts w:ascii="맑은 고딕" w:hAnsi="맑은 고딕"/>
                <w:b w:val="0"/>
                <w:sz w:val="19"/>
              </w:rPr>
              <w:t>약 1.46조 달러</w:t>
            </w:r>
          </w:p>
        </w:tc>
        <w:tc>
          <w:tcPr>
            <w:tcW w:type="dxa" w:w="1134"/>
          </w:tcPr>
          <w:p>
            <w:r>
              <w:rPr>
                <w:rFonts w:eastAsia="맑은 고딕"/>
                <w:rFonts w:ascii="맑은 고딕" w:hAnsi="맑은 고딕"/>
                <w:b w:val="0"/>
                <w:sz w:val="19"/>
              </w:rPr>
              <w:t>3.85%</w:t>
            </w:r>
          </w:p>
        </w:tc>
        <w:tc>
          <w:tcPr>
            <w:tcW w:type="dxa" w:w="2268"/>
          </w:tcPr>
          <w:p>
            <w:r>
              <w:rPr>
                <w:rFonts w:eastAsia="맑은 고딕"/>
                <w:rFonts w:ascii="맑은 고딕" w:hAnsi="맑은 고딕"/>
                <w:b w:val="0"/>
                <w:sz w:val="19"/>
              </w:rPr>
              <w:t>중국 28.5%, 동남아 급성장</w:t>
            </w:r>
          </w:p>
        </w:tc>
      </w:tr>
      <w:tr>
        <w:tc>
          <w:tcPr>
            <w:tcW w:type="dxa" w:w="1701"/>
            <w:shd w:val="clear" w:color="auto" w:fill="DCE6F1"/>
          </w:tcPr>
          <w:p>
            <w:r>
              <w:rPr>
                <w:rFonts w:eastAsia="맑은 고딕"/>
                <w:rFonts w:ascii="맑은 고딕" w:hAnsi="맑은 고딕"/>
                <w:b w:val="0"/>
                <w:sz w:val="19"/>
              </w:rPr>
              <w:t>북미</w:t>
            </w:r>
          </w:p>
        </w:tc>
        <w:tc>
          <w:tcPr>
            <w:tcW w:type="dxa" w:w="1417"/>
            <w:shd w:val="clear" w:color="auto" w:fill="DCE6F1"/>
          </w:tcPr>
          <w:p>
            <w:r>
              <w:rPr>
                <w:rFonts w:eastAsia="맑은 고딕"/>
                <w:rFonts w:ascii="맑은 고딕" w:hAnsi="맑은 고딕"/>
                <w:b w:val="0"/>
                <w:sz w:val="19"/>
              </w:rPr>
              <w:t>19.3%</w:t>
            </w:r>
          </w:p>
        </w:tc>
        <w:tc>
          <w:tcPr>
            <w:tcW w:type="dxa" w:w="1984"/>
            <w:shd w:val="clear" w:color="auto" w:fill="DCE6F1"/>
          </w:tcPr>
          <w:p>
            <w:r>
              <w:rPr>
                <w:rFonts w:eastAsia="맑은 고딕"/>
                <w:rFonts w:ascii="맑은 고딕" w:hAnsi="맑은 고딕"/>
                <w:b w:val="0"/>
                <w:sz w:val="19"/>
              </w:rPr>
              <w:t>약 5,308억 달러</w:t>
            </w:r>
          </w:p>
        </w:tc>
        <w:tc>
          <w:tcPr>
            <w:tcW w:type="dxa" w:w="1134"/>
            <w:shd w:val="clear" w:color="auto" w:fill="DCE6F1"/>
          </w:tcPr>
          <w:p>
            <w:r>
              <w:rPr>
                <w:rFonts w:eastAsia="맑은 고딕"/>
                <w:rFonts w:ascii="맑은 고딕" w:hAnsi="맑은 고딕"/>
                <w:b w:val="0"/>
                <w:sz w:val="19"/>
              </w:rPr>
              <w:t>—</w:t>
            </w:r>
          </w:p>
        </w:tc>
        <w:tc>
          <w:tcPr>
            <w:tcW w:type="dxa" w:w="2268"/>
            <w:shd w:val="clear" w:color="auto" w:fill="DCE6F1"/>
          </w:tcPr>
          <w:p>
            <w:r>
              <w:rPr>
                <w:rFonts w:eastAsia="맑은 고딕"/>
                <w:rFonts w:ascii="맑은 고딕" w:hAnsi="맑은 고딕"/>
                <w:b w:val="0"/>
                <w:sz w:val="19"/>
              </w:rPr>
              <w:t>커넥티드카·자율주행 기술 선도</w:t>
            </w:r>
          </w:p>
        </w:tc>
      </w:tr>
      <w:tr>
        <w:tc>
          <w:tcPr>
            <w:tcW w:type="dxa" w:w="1701"/>
          </w:tcPr>
          <w:p>
            <w:r>
              <w:rPr>
                <w:rFonts w:eastAsia="맑은 고딕"/>
                <w:rFonts w:ascii="맑은 고딕" w:hAnsi="맑은 고딕"/>
                <w:b w:val="0"/>
                <w:sz w:val="19"/>
              </w:rPr>
              <w:t>유럽</w:t>
            </w:r>
          </w:p>
        </w:tc>
        <w:tc>
          <w:tcPr>
            <w:tcW w:type="dxa" w:w="1417"/>
          </w:tcPr>
          <w:p>
            <w:r>
              <w:rPr>
                <w:rFonts w:eastAsia="맑은 고딕"/>
                <w:rFonts w:ascii="맑은 고딕" w:hAnsi="맑은 고딕"/>
                <w:b w:val="0"/>
                <w:sz w:val="19"/>
              </w:rPr>
              <w:t>27%</w:t>
            </w:r>
          </w:p>
        </w:tc>
        <w:tc>
          <w:tcPr>
            <w:tcW w:type="dxa" w:w="1984"/>
          </w:tcPr>
          <w:p>
            <w:r>
              <w:rPr>
                <w:rFonts w:eastAsia="맑은 고딕"/>
                <w:rFonts w:ascii="맑은 고딕" w:hAnsi="맑은 고딕"/>
                <w:b w:val="0"/>
                <w:sz w:val="19"/>
              </w:rPr>
              <w:t>약 7,425억 달러</w:t>
            </w:r>
          </w:p>
        </w:tc>
        <w:tc>
          <w:tcPr>
            <w:tcW w:type="dxa" w:w="1134"/>
          </w:tcPr>
          <w:p>
            <w:r>
              <w:rPr>
                <w:rFonts w:eastAsia="맑은 고딕"/>
                <w:rFonts w:ascii="맑은 고딕" w:hAnsi="맑은 고딕"/>
                <w:b w:val="0"/>
                <w:sz w:val="19"/>
              </w:rPr>
              <w:t>—</w:t>
            </w:r>
          </w:p>
        </w:tc>
        <w:tc>
          <w:tcPr>
            <w:tcW w:type="dxa" w:w="2268"/>
          </w:tcPr>
          <w:p>
            <w:r>
              <w:rPr>
                <w:rFonts w:eastAsia="맑은 고딕"/>
                <w:rFonts w:ascii="맑은 고딕" w:hAnsi="맑은 고딕"/>
                <w:b w:val="0"/>
                <w:sz w:val="19"/>
              </w:rPr>
              <w:t>EV 침투율 28% → 33%(2026F)</w:t>
            </w:r>
          </w:p>
        </w:tc>
      </w:tr>
      <w:tr>
        <w:tc>
          <w:tcPr>
            <w:tcW w:type="dxa" w:w="1701"/>
            <w:shd w:val="clear" w:color="auto" w:fill="DCE6F1"/>
          </w:tcPr>
          <w:p>
            <w:r>
              <w:rPr>
                <w:rFonts w:eastAsia="맑은 고딕"/>
                <w:rFonts w:ascii="맑은 고딕" w:hAnsi="맑은 고딕"/>
                <w:b w:val="0"/>
                <w:sz w:val="19"/>
              </w:rPr>
              <w:t>한국</w:t>
            </w:r>
          </w:p>
        </w:tc>
        <w:tc>
          <w:tcPr>
            <w:tcW w:type="dxa" w:w="1417"/>
            <w:shd w:val="clear" w:color="auto" w:fill="DCE6F1"/>
          </w:tcPr>
          <w:p>
            <w:r>
              <w:rPr>
                <w:rFonts w:eastAsia="맑은 고딕"/>
                <w:rFonts w:ascii="맑은 고딕" w:hAnsi="맑은 고딕"/>
                <w:b w:val="0"/>
                <w:sz w:val="19"/>
              </w:rPr>
              <w:t>—</w:t>
            </w:r>
          </w:p>
        </w:tc>
        <w:tc>
          <w:tcPr>
            <w:tcW w:type="dxa" w:w="1984"/>
            <w:shd w:val="clear" w:color="auto" w:fill="DCE6F1"/>
          </w:tcPr>
          <w:p>
            <w:r>
              <w:rPr>
                <w:rFonts w:eastAsia="맑은 고딕"/>
                <w:rFonts w:ascii="맑은 고딕" w:hAnsi="맑은 고딕"/>
                <w:b w:val="0"/>
                <w:sz w:val="19"/>
              </w:rPr>
              <w:t>약 160만 대/년</w:t>
            </w:r>
          </w:p>
        </w:tc>
        <w:tc>
          <w:tcPr>
            <w:tcW w:type="dxa" w:w="1134"/>
            <w:shd w:val="clear" w:color="auto" w:fill="DCE6F1"/>
          </w:tcPr>
          <w:p>
            <w:r>
              <w:rPr>
                <w:rFonts w:eastAsia="맑은 고딕"/>
                <w:rFonts w:ascii="맑은 고딕" w:hAnsi="맑은 고딕"/>
                <w:b w:val="0"/>
                <w:sz w:val="19"/>
              </w:rPr>
              <w:t>—</w:t>
            </w:r>
          </w:p>
        </w:tc>
        <w:tc>
          <w:tcPr>
            <w:tcW w:type="dxa" w:w="2268"/>
            <w:shd w:val="clear" w:color="auto" w:fill="DCE6F1"/>
          </w:tcPr>
          <w:p>
            <w:r>
              <w:rPr>
                <w:rFonts w:eastAsia="맑은 고딕"/>
                <w:rFonts w:ascii="맑은 고딕" w:hAnsi="맑은 고딕"/>
                <w:b w:val="0"/>
                <w:sz w:val="19"/>
              </w:rPr>
              <w:t>현대·기아 합산 68.3%, 하이브리드 강세</w:t>
            </w:r>
          </w:p>
        </w:tc>
      </w:tr>
    </w:tbl>
    <w:p/>
    <w:p>
      <w:r>
        <w:br w:type="page"/>
      </w:r>
    </w:p>
    <w:p>
      <w:pPr>
        <w:spacing w:before="280" w:after="120"/>
      </w:pPr>
      <w:r>
        <w:rPr>
          <w:rFonts w:eastAsia="맑은 고딕"/>
          <w:rFonts w:ascii="맑은 고딕" w:hAnsi="맑은 고딕"/>
          <w:b/>
          <w:color w:val="1F497D"/>
          <w:sz w:val="32"/>
        </w:rPr>
        <w:t>6. 핵심 트렌드</w:t>
      </w:r>
    </w:p>
    <w:p>
      <w:pPr>
        <w:pBdr>
          <w:bottom w:val="single" w:sz="6" w:space="1" w:color="1F497D"/>
        </w:pBdr>
        <w:spacing w:after="120"/>
      </w:pPr>
    </w:p>
    <w:p>
      <w:pPr>
        <w:spacing w:after="120"/>
      </w:pPr>
      <w:r>
        <w:rPr>
          <w:rFonts w:eastAsia="맑은 고딕"/>
          <w:rFonts w:ascii="맑은 고딕" w:hAnsi="맑은 고딕"/>
          <w:b/>
          <w:color w:val="1F497D"/>
          <w:sz w:val="21"/>
        </w:rPr>
        <w:t xml:space="preserve">▶ 전동화 가속: </w:t>
      </w:r>
      <w:r>
        <w:rPr>
          <w:rFonts w:eastAsia="맑은 고딕"/>
          <w:rFonts w:ascii="맑은 고딕" w:hAnsi="맑은 고딕"/>
          <w:b w:val="0"/>
          <w:sz w:val="21"/>
        </w:rPr>
        <w:t>EV 연간 약 20% 성장, 중국 독주 구도 심화. EV 캐즘(일시적 수요 정체) 국면에서 하이브리드가 현실적 중간 대안으로 부상</w:t>
      </w:r>
    </w:p>
    <w:p>
      <w:pPr>
        <w:spacing w:after="120"/>
      </w:pPr>
      <w:r>
        <w:rPr>
          <w:rFonts w:eastAsia="맑은 고딕"/>
          <w:rFonts w:ascii="맑은 고딕" w:hAnsi="맑은 고딕"/>
          <w:b/>
          <w:color w:val="1F497D"/>
          <w:sz w:val="21"/>
        </w:rPr>
        <w:t xml:space="preserve">▶ 자율주행 상용화: </w:t>
      </w:r>
      <w:r>
        <w:rPr>
          <w:rFonts w:eastAsia="맑은 고딕"/>
          <w:rFonts w:ascii="맑은 고딕" w:hAnsi="맑은 고딕"/>
          <w:b w:val="0"/>
          <w:sz w:val="21"/>
        </w:rPr>
        <w:t>SAE 레벨 3 양산 시작, 로보택시 서비스 확산 본격화. 수익화의 병목은 법적 책임·보험 체계 등 비기술적 요인</w:t>
      </w:r>
    </w:p>
    <w:p>
      <w:pPr>
        <w:spacing w:after="120"/>
      </w:pPr>
      <w:r>
        <w:rPr>
          <w:rFonts w:eastAsia="맑은 고딕"/>
          <w:rFonts w:ascii="맑은 고딕" w:hAnsi="맑은 고딕"/>
          <w:b/>
          <w:color w:val="1F497D"/>
          <w:sz w:val="21"/>
        </w:rPr>
        <w:t xml:space="preserve">▶ 커넥티드카 · SDV: </w:t>
      </w:r>
      <w:r>
        <w:rPr>
          <w:rFonts w:eastAsia="맑은 고딕"/>
          <w:rFonts w:ascii="맑은 고딕" w:hAnsi="맑은 고딕"/>
          <w:b w:val="0"/>
          <w:sz w:val="21"/>
        </w:rPr>
        <w:t>5G V2X, OTA 기반 구독 서비스 수익화. 소프트웨어 중심 차량 아키텍처 전환으로 차량 판매 이후 반복 수익(Recurring Revenue) 창출</w:t>
      </w:r>
    </w:p>
    <w:p>
      <w:pPr>
        <w:spacing w:after="120"/>
      </w:pPr>
      <w:r>
        <w:rPr>
          <w:rFonts w:eastAsia="맑은 고딕"/>
          <w:rFonts w:ascii="맑은 고딕" w:hAnsi="맑은 고딕"/>
          <w:b/>
          <w:color w:val="1F497D"/>
          <w:sz w:val="21"/>
        </w:rPr>
        <w:t xml:space="preserve">▶ 탄소중립 규제 재편: </w:t>
      </w:r>
      <w:r>
        <w:rPr>
          <w:rFonts w:eastAsia="맑은 고딕"/>
          <w:rFonts w:ascii="맑은 고딕" w:hAnsi="맑은 고딕"/>
          <w:b w:val="0"/>
          <w:sz w:val="21"/>
        </w:rPr>
        <w:t>EU 2035년 규제 세부 수정(합성연료 예외), 미국 IRA EV 보조금 후퇴 가능성, 중국 NEV 정책 지속</w:t>
      </w:r>
    </w:p>
    <w:p>
      <w:r>
        <w:br w:type="page"/>
      </w:r>
    </w:p>
    <w:p>
      <w:pPr>
        <w:spacing w:before="280" w:after="120"/>
      </w:pPr>
      <w:r>
        <w:rPr>
          <w:rFonts w:eastAsia="맑은 고딕"/>
          <w:rFonts w:ascii="맑은 고딕" w:hAnsi="맑은 고딕"/>
          <w:b/>
          <w:color w:val="1F497D"/>
          <w:sz w:val="32"/>
        </w:rPr>
        <w:t>7. 성장 기회 및 리스크</w:t>
      </w:r>
    </w:p>
    <w:p>
      <w:pPr>
        <w:pBdr>
          <w:bottom w:val="single" w:sz="6" w:space="1" w:color="1F497D"/>
        </w:pBdr>
        <w:spacing w:after="120"/>
      </w:pPr>
    </w:p>
    <w:p>
      <w:pPr>
        <w:spacing w:before="200" w:after="120"/>
      </w:pPr>
      <w:r>
        <w:rPr>
          <w:rFonts w:eastAsia="맑은 고딕"/>
          <w:rFonts w:ascii="맑은 고딕" w:hAnsi="맑은 고딕"/>
          <w:b/>
          <w:color w:val="1F497D"/>
          <w:sz w:val="26"/>
        </w:rPr>
        <w:t>주요 성장 기회</w:t>
      </w:r>
    </w:p>
    <w:p>
      <w:pPr>
        <w:pStyle w:val="ListBullet"/>
        <w:spacing w:after="40"/>
        <w:ind w:left="283"/>
      </w:pPr>
      <w:r>
        <w:rPr>
          <w:rFonts w:eastAsia="맑은 고딕"/>
          <w:rFonts w:ascii="맑은 고딕" w:hAnsi="맑은 고딕"/>
          <w:b w:val="0"/>
          <w:sz w:val="20"/>
        </w:rPr>
        <w:t>신흥 시장(동남아·인도·중동) EV 선점 — 브랜드 충성도 미형성 지역, 선제 진입 효과 극대화 가능</w:t>
      </w:r>
    </w:p>
    <w:p>
      <w:pPr>
        <w:pStyle w:val="ListBullet"/>
        <w:spacing w:after="40"/>
        <w:ind w:left="283"/>
      </w:pPr>
      <w:r>
        <w:rPr>
          <w:rFonts w:eastAsia="맑은 고딕"/>
          <w:rFonts w:ascii="맑은 고딕" w:hAnsi="맑은 고딕"/>
          <w:b w:val="0"/>
          <w:sz w:val="20"/>
        </w:rPr>
        <w:t>SDV 소프트웨어 수익화 — 구독·데이터·OTA 기반 반복 수익 창출</w:t>
      </w:r>
    </w:p>
    <w:p>
      <w:pPr>
        <w:pStyle w:val="ListBullet"/>
        <w:spacing w:after="40"/>
        <w:ind w:left="283"/>
      </w:pPr>
      <w:r>
        <w:rPr>
          <w:rFonts w:eastAsia="맑은 고딕"/>
          <w:rFonts w:ascii="맑은 고딕" w:hAnsi="맑은 고딕"/>
          <w:b w:val="0"/>
          <w:sz w:val="20"/>
        </w:rPr>
        <w:t>자율주행 인프라 및 로보택시 플랫폼 — HD맵, V2X, 엣지 컴퓨팅 동반 성장</w:t>
      </w:r>
    </w:p>
    <w:p>
      <w:pPr>
        <w:pStyle w:val="ListBullet"/>
        <w:spacing w:after="40"/>
        <w:ind w:left="283"/>
      </w:pPr>
      <w:r>
        <w:rPr>
          <w:rFonts w:eastAsia="맑은 고딕"/>
          <w:rFonts w:ascii="맑은 고딕" w:hAnsi="맑은 고딕"/>
          <w:b w:val="0"/>
          <w:sz w:val="20"/>
        </w:rPr>
        <w:t>하이브리드 중기 수요 — EV 캐즘 완충 역할, 특히 Toyota·Hyundai 등 기술 보유사 수혜</w:t>
      </w:r>
    </w:p>
    <w:p>
      <w:pPr>
        <w:pStyle w:val="ListBullet"/>
        <w:spacing w:after="40"/>
        <w:ind w:left="283"/>
      </w:pPr>
      <w:r>
        <w:rPr>
          <w:rFonts w:eastAsia="맑은 고딕"/>
          <w:rFonts w:ascii="맑은 고딕" w:hAnsi="맑은 고딕"/>
          <w:b w:val="0"/>
          <w:sz w:val="20"/>
        </w:rPr>
        <w:t>배터리 수직 계열화 — EV 원가의 35~40%인 배터리 내재화로 장기 수익성 방어</w:t>
      </w:r>
    </w:p>
    <w:p>
      <w:pPr>
        <w:spacing w:before="200" w:after="120"/>
      </w:pPr>
      <w:r>
        <w:rPr>
          <w:rFonts w:eastAsia="맑은 고딕"/>
          <w:rFonts w:ascii="맑은 고딕" w:hAnsi="맑은 고딕"/>
          <w:b/>
          <w:color w:val="1F497D"/>
          <w:sz w:val="26"/>
        </w:rPr>
        <w:t>주요 리스크 및 완화 방향</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1F497D"/>
          </w:tcPr>
          <w:p>
            <w:pPr>
              <w:jc w:val="center"/>
            </w:pPr>
            <w:r>
              <w:rPr>
                <w:rFonts w:eastAsia="맑은 고딕"/>
                <w:rFonts w:ascii="맑은 고딕" w:hAnsi="맑은 고딕"/>
                <w:b/>
                <w:color w:val="FFFFFF"/>
                <w:sz w:val="19"/>
              </w:rPr>
              <w:t>리스크 요인</w:t>
            </w:r>
          </w:p>
        </w:tc>
        <w:tc>
          <w:tcPr>
            <w:tcW w:type="dxa" w:w="1417"/>
            <w:shd w:val="clear" w:color="auto" w:fill="1F497D"/>
          </w:tcPr>
          <w:p>
            <w:pPr>
              <w:jc w:val="center"/>
            </w:pPr>
            <w:r>
              <w:rPr>
                <w:rFonts w:eastAsia="맑은 고딕"/>
                <w:rFonts w:ascii="맑은 고딕" w:hAnsi="맑은 고딕"/>
                <w:b/>
                <w:color w:val="FFFFFF"/>
                <w:sz w:val="19"/>
              </w:rPr>
              <w:t>심각도</w:t>
            </w:r>
          </w:p>
        </w:tc>
        <w:tc>
          <w:tcPr>
            <w:tcW w:type="dxa" w:w="4535"/>
            <w:shd w:val="clear" w:color="auto" w:fill="1F497D"/>
          </w:tcPr>
          <w:p>
            <w:pPr>
              <w:jc w:val="center"/>
            </w:pPr>
            <w:r>
              <w:rPr>
                <w:rFonts w:eastAsia="맑은 고딕"/>
                <w:rFonts w:ascii="맑은 고딕" w:hAnsi="맑은 고딕"/>
                <w:b/>
                <w:color w:val="FFFFFF"/>
                <w:sz w:val="19"/>
              </w:rPr>
              <w:t>완화 방향</w:t>
            </w:r>
          </w:p>
        </w:tc>
      </w:tr>
      <w:tr>
        <w:tc>
          <w:tcPr>
            <w:tcW w:type="dxa" w:w="2268"/>
          </w:tcPr>
          <w:p>
            <w:r>
              <w:rPr>
                <w:rFonts w:eastAsia="맑은 고딕"/>
                <w:rFonts w:ascii="맑은 고딕" w:hAnsi="맑은 고딕"/>
                <w:b w:val="0"/>
                <w:sz w:val="19"/>
              </w:rPr>
              <w:t>미국 관세 (자동차·부품)</w:t>
            </w:r>
          </w:p>
        </w:tc>
        <w:tc>
          <w:tcPr>
            <w:tcW w:type="dxa" w:w="1417"/>
          </w:tcPr>
          <w:p>
            <w:r>
              <w:rPr>
                <w:rFonts w:eastAsia="맑은 고딕"/>
                <w:rFonts w:ascii="맑은 고딕" w:hAnsi="맑은 고딕"/>
                <w:b w:val="0"/>
                <w:sz w:val="19"/>
              </w:rPr>
              <w:t>높음</w:t>
            </w:r>
          </w:p>
        </w:tc>
        <w:tc>
          <w:tcPr>
            <w:tcW w:type="dxa" w:w="4535"/>
          </w:tcPr>
          <w:p>
            <w:r>
              <w:rPr>
                <w:rFonts w:eastAsia="맑은 고딕"/>
                <w:rFonts w:ascii="맑은 고딕" w:hAnsi="맑은 고딕"/>
                <w:b w:val="0"/>
                <w:sz w:val="19"/>
              </w:rPr>
              <w:t>북미 현지 생산 비중 확대; 관세 유예·협상 시나리오 플래닝 병행</w:t>
            </w:r>
          </w:p>
        </w:tc>
      </w:tr>
      <w:tr>
        <w:tc>
          <w:tcPr>
            <w:tcW w:type="dxa" w:w="2268"/>
            <w:shd w:val="clear" w:color="auto" w:fill="DCE6F1"/>
          </w:tcPr>
          <w:p>
            <w:r>
              <w:rPr>
                <w:rFonts w:eastAsia="맑은 고딕"/>
                <w:rFonts w:ascii="맑은 고딕" w:hAnsi="맑은 고딕"/>
                <w:b w:val="0"/>
                <w:sz w:val="19"/>
              </w:rPr>
              <w:t>반도체 수급 불안정</w:t>
            </w:r>
          </w:p>
        </w:tc>
        <w:tc>
          <w:tcPr>
            <w:tcW w:type="dxa" w:w="1417"/>
            <w:shd w:val="clear" w:color="auto" w:fill="DCE6F1"/>
          </w:tcPr>
          <w:p>
            <w:r>
              <w:rPr>
                <w:rFonts w:eastAsia="맑은 고딕"/>
                <w:rFonts w:ascii="맑은 고딕" w:hAnsi="맑은 고딕"/>
                <w:b w:val="0"/>
                <w:sz w:val="19"/>
              </w:rPr>
              <w:t>높음</w:t>
            </w:r>
          </w:p>
        </w:tc>
        <w:tc>
          <w:tcPr>
            <w:tcW w:type="dxa" w:w="4535"/>
            <w:shd w:val="clear" w:color="auto" w:fill="DCE6F1"/>
          </w:tcPr>
          <w:p>
            <w:r>
              <w:rPr>
                <w:rFonts w:eastAsia="맑은 고딕"/>
                <w:rFonts w:ascii="맑은 고딕" w:hAnsi="맑은 고딕"/>
                <w:b w:val="0"/>
                <w:sz w:val="19"/>
              </w:rPr>
              <w:t>핵심 반도체 복수 공급망 확보; 차량용 반도체 내재화 로드맵 수립</w:t>
            </w:r>
          </w:p>
        </w:tc>
      </w:tr>
      <w:tr>
        <w:tc>
          <w:tcPr>
            <w:tcW w:type="dxa" w:w="2268"/>
          </w:tcPr>
          <w:p>
            <w:r>
              <w:rPr>
                <w:rFonts w:eastAsia="맑은 고딕"/>
                <w:rFonts w:ascii="맑은 고딕" w:hAnsi="맑은 고딕"/>
                <w:b w:val="0"/>
                <w:sz w:val="19"/>
              </w:rPr>
              <w:t>EV 캐즘 (수요 정체)</w:t>
            </w:r>
          </w:p>
        </w:tc>
        <w:tc>
          <w:tcPr>
            <w:tcW w:type="dxa" w:w="1417"/>
          </w:tcPr>
          <w:p>
            <w:r>
              <w:rPr>
                <w:rFonts w:eastAsia="맑은 고딕"/>
                <w:rFonts w:ascii="맑은 고딕" w:hAnsi="맑은 고딕"/>
                <w:b w:val="0"/>
                <w:sz w:val="19"/>
              </w:rPr>
              <w:t>중간~높음</w:t>
            </w:r>
          </w:p>
        </w:tc>
        <w:tc>
          <w:tcPr>
            <w:tcW w:type="dxa" w:w="4535"/>
          </w:tcPr>
          <w:p>
            <w:r>
              <w:rPr>
                <w:rFonts w:eastAsia="맑은 고딕"/>
                <w:rFonts w:ascii="맑은 고딕" w:hAnsi="맑은 고딕"/>
                <w:b w:val="0"/>
                <w:sz w:val="19"/>
              </w:rPr>
              <w:t>HEV·PHEV 라인업 강화로 전환기 수요 흡수; EV 가격 경쟁력 개선</w:t>
            </w:r>
          </w:p>
        </w:tc>
      </w:tr>
      <w:tr>
        <w:tc>
          <w:tcPr>
            <w:tcW w:type="dxa" w:w="2268"/>
            <w:shd w:val="clear" w:color="auto" w:fill="DCE6F1"/>
          </w:tcPr>
          <w:p>
            <w:r>
              <w:rPr>
                <w:rFonts w:eastAsia="맑은 고딕"/>
                <w:rFonts w:ascii="맑은 고딕" w:hAnsi="맑은 고딕"/>
                <w:b w:val="0"/>
                <w:sz w:val="19"/>
              </w:rPr>
              <w:t>중국 OEM 글로벌 확장</w:t>
            </w:r>
          </w:p>
        </w:tc>
        <w:tc>
          <w:tcPr>
            <w:tcW w:type="dxa" w:w="1417"/>
            <w:shd w:val="clear" w:color="auto" w:fill="DCE6F1"/>
          </w:tcPr>
          <w:p>
            <w:r>
              <w:rPr>
                <w:rFonts w:eastAsia="맑은 고딕"/>
                <w:rFonts w:ascii="맑은 고딕" w:hAnsi="맑은 고딕"/>
                <w:b w:val="0"/>
                <w:sz w:val="19"/>
              </w:rPr>
              <w:t>높음</w:t>
            </w:r>
          </w:p>
        </w:tc>
        <w:tc>
          <w:tcPr>
            <w:tcW w:type="dxa" w:w="4535"/>
            <w:shd w:val="clear" w:color="auto" w:fill="DCE6F1"/>
          </w:tcPr>
          <w:p>
            <w:r>
              <w:rPr>
                <w:rFonts w:eastAsia="맑은 고딕"/>
                <w:rFonts w:ascii="맑은 고딕" w:hAnsi="맑은 고딕"/>
                <w:b w:val="0"/>
                <w:sz w:val="19"/>
              </w:rPr>
              <w:t>프리미엄·SDV 차별화; 중국 외 신흥 시장 선점으로 정면 경쟁 회피</w:t>
            </w:r>
          </w:p>
        </w:tc>
      </w:tr>
      <w:tr>
        <w:tc>
          <w:tcPr>
            <w:tcW w:type="dxa" w:w="2268"/>
          </w:tcPr>
          <w:p>
            <w:r>
              <w:rPr>
                <w:rFonts w:eastAsia="맑은 고딕"/>
                <w:rFonts w:ascii="맑은 고딕" w:hAnsi="맑은 고딕"/>
                <w:b w:val="0"/>
                <w:sz w:val="19"/>
              </w:rPr>
              <w:t>EU 규제 변동성</w:t>
            </w:r>
          </w:p>
        </w:tc>
        <w:tc>
          <w:tcPr>
            <w:tcW w:type="dxa" w:w="1417"/>
          </w:tcPr>
          <w:p>
            <w:r>
              <w:rPr>
                <w:rFonts w:eastAsia="맑은 고딕"/>
                <w:rFonts w:ascii="맑은 고딕" w:hAnsi="맑은 고딕"/>
                <w:b w:val="0"/>
                <w:sz w:val="19"/>
              </w:rPr>
              <w:t>중간</w:t>
            </w:r>
          </w:p>
        </w:tc>
        <w:tc>
          <w:tcPr>
            <w:tcW w:type="dxa" w:w="4535"/>
          </w:tcPr>
          <w:p>
            <w:r>
              <w:rPr>
                <w:rFonts w:eastAsia="맑은 고딕"/>
                <w:rFonts w:ascii="맑은 고딕" w:hAnsi="맑은 고딕"/>
                <w:b w:val="0"/>
                <w:sz w:val="19"/>
              </w:rPr>
              <w:t>분기별 규제 모니터링 체계화; 다파워트레인 유연 생산 체계 유지</w:t>
            </w:r>
          </w:p>
        </w:tc>
      </w:tr>
    </w:tbl>
    <w:p/>
    <w:p>
      <w:r>
        <w:br w:type="page"/>
      </w:r>
    </w:p>
    <w:p>
      <w:pPr>
        <w:spacing w:before="280" w:after="120"/>
      </w:pPr>
      <w:r>
        <w:rPr>
          <w:rFonts w:eastAsia="맑은 고딕"/>
          <w:rFonts w:ascii="맑은 고딕" w:hAnsi="맑은 고딕"/>
          <w:b/>
          <w:color w:val="1F497D"/>
          <w:sz w:val="32"/>
        </w:rPr>
        <w:t>8. 결론 및 전략적 권고사항</w:t>
      </w:r>
    </w:p>
    <w:p>
      <w:pPr>
        <w:pBdr>
          <w:bottom w:val="single" w:sz="6" w:space="1" w:color="1F497D"/>
        </w:pBdr>
        <w:spacing w:after="120"/>
      </w:pPr>
    </w:p>
    <w:p>
      <w:pPr>
        <w:spacing w:after="80"/>
      </w:pPr>
      <w:r>
        <w:rPr>
          <w:rFonts w:eastAsia="맑은 고딕"/>
          <w:rFonts w:ascii="맑은 고딕" w:hAnsi="맑은 고딕"/>
          <w:b w:val="0"/>
          <w:sz w:val="21"/>
        </w:rPr>
        <w:t>글로벌 자동차 산업은 2025~2030년 구간에서 단순한 성장을 넘어 산업 구조 자체가 재편되고 있다. TAM 규모는 2030년까지 3.26조 달러로 성장이 확실하나, 그 성장의 주요 수혜자가 전통 OEM인지 중국 EV 제조사인지 기술 기업인지는 향후 3~5년간의 전략적 선택에 의해 결정될 것이다.</w:t>
      </w:r>
    </w:p>
    <w:p/>
    <w:p>
      <w:pPr>
        <w:spacing w:before="200" w:after="120"/>
      </w:pPr>
      <w:r>
        <w:rPr>
          <w:rFonts w:eastAsia="맑은 고딕"/>
          <w:rFonts w:ascii="맑은 고딕" w:hAnsi="맑은 고딕"/>
          <w:b/>
          <w:color w:val="1F497D"/>
          <w:sz w:val="26"/>
        </w:rPr>
        <w:t>실행 로드맵</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118"/>
            <w:shd w:val="clear" w:color="auto" w:fill="1F497D"/>
          </w:tcPr>
          <w:p>
            <w:pPr>
              <w:jc w:val="center"/>
            </w:pPr>
            <w:r>
              <w:rPr>
                <w:rFonts w:eastAsia="맑은 고딕"/>
                <w:rFonts w:ascii="맑은 고딕" w:hAnsi="맑은 고딕"/>
                <w:b/>
                <w:color w:val="FFFFFF"/>
                <w:sz w:val="19"/>
              </w:rPr>
              <w:t>권고사항</w:t>
            </w:r>
          </w:p>
        </w:tc>
        <w:tc>
          <w:tcPr>
            <w:tcW w:type="dxa" w:w="1587"/>
            <w:shd w:val="clear" w:color="auto" w:fill="1F497D"/>
          </w:tcPr>
          <w:p>
            <w:pPr>
              <w:jc w:val="center"/>
            </w:pPr>
            <w:r>
              <w:rPr>
                <w:rFonts w:eastAsia="맑은 고딕"/>
                <w:rFonts w:ascii="맑은 고딕" w:hAnsi="맑은 고딕"/>
                <w:b/>
                <w:color w:val="FFFFFF"/>
                <w:sz w:val="19"/>
              </w:rPr>
              <w:t>시한</w:t>
            </w:r>
          </w:p>
        </w:tc>
        <w:tc>
          <w:tcPr>
            <w:tcW w:type="dxa" w:w="1984"/>
            <w:shd w:val="clear" w:color="auto" w:fill="1F497D"/>
          </w:tcPr>
          <w:p>
            <w:pPr>
              <w:jc w:val="center"/>
            </w:pPr>
            <w:r>
              <w:rPr>
                <w:rFonts w:eastAsia="맑은 고딕"/>
                <w:rFonts w:ascii="맑은 고딕" w:hAnsi="맑은 고딕"/>
                <w:b/>
                <w:color w:val="FFFFFF"/>
                <w:sz w:val="19"/>
              </w:rPr>
              <w:t>담당 (예시)</w:t>
            </w:r>
          </w:p>
        </w:tc>
        <w:tc>
          <w:tcPr>
            <w:tcW w:type="dxa" w:w="2665"/>
            <w:shd w:val="clear" w:color="auto" w:fill="1F497D"/>
          </w:tcPr>
          <w:p>
            <w:pPr>
              <w:jc w:val="center"/>
            </w:pPr>
            <w:r>
              <w:rPr>
                <w:rFonts w:eastAsia="맑은 고딕"/>
                <w:rFonts w:ascii="맑은 고딕" w:hAnsi="맑은 고딕"/>
                <w:b/>
                <w:color w:val="FFFFFF"/>
                <w:sz w:val="19"/>
              </w:rPr>
              <w:t>KPI</w:t>
            </w:r>
          </w:p>
        </w:tc>
      </w:tr>
      <w:tr>
        <w:tc>
          <w:tcPr>
            <w:tcW w:type="dxa" w:w="3118"/>
          </w:tcPr>
          <w:p>
            <w:r>
              <w:rPr>
                <w:rFonts w:eastAsia="맑은 고딕"/>
                <w:rFonts w:ascii="맑은 고딕" w:hAnsi="맑은 고딕"/>
                <w:b w:val="0"/>
                <w:sz w:val="19"/>
              </w:rPr>
              <w:t>다중 파워트레인 포트폴리오 전략 내재화 (BEV·PHEV·HEV 동시 유지)</w:t>
            </w:r>
          </w:p>
        </w:tc>
        <w:tc>
          <w:tcPr>
            <w:tcW w:type="dxa" w:w="1587"/>
          </w:tcPr>
          <w:p>
            <w:r>
              <w:rPr>
                <w:rFonts w:eastAsia="맑은 고딕"/>
                <w:rFonts w:ascii="맑은 고딕" w:hAnsi="맑은 고딕"/>
                <w:b w:val="0"/>
                <w:sz w:val="19"/>
              </w:rPr>
              <w:t>2026년 상반기</w:t>
            </w:r>
          </w:p>
        </w:tc>
        <w:tc>
          <w:tcPr>
            <w:tcW w:type="dxa" w:w="1984"/>
          </w:tcPr>
          <w:p>
            <w:r>
              <w:rPr>
                <w:rFonts w:eastAsia="맑은 고딕"/>
                <w:rFonts w:ascii="맑은 고딕" w:hAnsi="맑은 고딕"/>
                <w:b w:val="0"/>
                <w:sz w:val="19"/>
              </w:rPr>
              <w:t>제품전략본부</w:t>
            </w:r>
          </w:p>
        </w:tc>
        <w:tc>
          <w:tcPr>
            <w:tcW w:type="dxa" w:w="2665"/>
          </w:tcPr>
          <w:p>
            <w:r>
              <w:rPr>
                <w:rFonts w:eastAsia="맑은 고딕"/>
                <w:rFonts w:ascii="맑은 고딕" w:hAnsi="맑은 고딕"/>
                <w:b w:val="0"/>
                <w:sz w:val="19"/>
              </w:rPr>
              <w:t>HEV·PHEV 라인업 비중 목표 달성률</w:t>
            </w:r>
          </w:p>
        </w:tc>
      </w:tr>
      <w:tr>
        <w:tc>
          <w:tcPr>
            <w:tcW w:type="dxa" w:w="3118"/>
            <w:shd w:val="clear" w:color="auto" w:fill="DCE6F1"/>
          </w:tcPr>
          <w:p>
            <w:r>
              <w:rPr>
                <w:rFonts w:eastAsia="맑은 고딕"/>
                <w:rFonts w:ascii="맑은 고딕" w:hAnsi="맑은 고딕"/>
                <w:b w:val="0"/>
                <w:sz w:val="19"/>
              </w:rPr>
              <w:t>SDV·소프트웨어 수익화 로드맵 수립</w:t>
            </w:r>
          </w:p>
        </w:tc>
        <w:tc>
          <w:tcPr>
            <w:tcW w:type="dxa" w:w="1587"/>
            <w:shd w:val="clear" w:color="auto" w:fill="DCE6F1"/>
          </w:tcPr>
          <w:p>
            <w:r>
              <w:rPr>
                <w:rFonts w:eastAsia="맑은 고딕"/>
                <w:rFonts w:ascii="맑은 고딕" w:hAnsi="맑은 고딕"/>
                <w:b w:val="0"/>
                <w:sz w:val="19"/>
              </w:rPr>
              <w:t>2027년까지</w:t>
            </w:r>
          </w:p>
        </w:tc>
        <w:tc>
          <w:tcPr>
            <w:tcW w:type="dxa" w:w="1984"/>
            <w:shd w:val="clear" w:color="auto" w:fill="DCE6F1"/>
          </w:tcPr>
          <w:p>
            <w:r>
              <w:rPr>
                <w:rFonts w:eastAsia="맑은 고딕"/>
                <w:rFonts w:ascii="맑은 고딕" w:hAnsi="맑은 고딕"/>
                <w:b w:val="0"/>
                <w:sz w:val="19"/>
              </w:rPr>
              <w:t>CTO실 / 소프트웨어사업부</w:t>
            </w:r>
          </w:p>
        </w:tc>
        <w:tc>
          <w:tcPr>
            <w:tcW w:type="dxa" w:w="2665"/>
            <w:shd w:val="clear" w:color="auto" w:fill="DCE6F1"/>
          </w:tcPr>
          <w:p>
            <w:r>
              <w:rPr>
                <w:rFonts w:eastAsia="맑은 고딕"/>
                <w:rFonts w:ascii="맑은 고딕" w:hAnsi="맑은 고딕"/>
                <w:b w:val="0"/>
                <w:sz w:val="19"/>
              </w:rPr>
              <w:t>OTA 수익 매출 비중, 구독 가입자 수</w:t>
            </w:r>
          </w:p>
        </w:tc>
      </w:tr>
      <w:tr>
        <w:tc>
          <w:tcPr>
            <w:tcW w:type="dxa" w:w="3118"/>
          </w:tcPr>
          <w:p>
            <w:r>
              <w:rPr>
                <w:rFonts w:eastAsia="맑은 고딕"/>
                <w:rFonts w:ascii="맑은 고딕" w:hAnsi="맑은 고딕"/>
                <w:b w:val="0"/>
                <w:sz w:val="19"/>
              </w:rPr>
              <w:t>신흥 시장(동남아·인도·중동) EV 선제 진입 파일럿</w:t>
            </w:r>
          </w:p>
        </w:tc>
        <w:tc>
          <w:tcPr>
            <w:tcW w:type="dxa" w:w="1587"/>
          </w:tcPr>
          <w:p>
            <w:r>
              <w:rPr>
                <w:rFonts w:eastAsia="맑은 고딕"/>
                <w:rFonts w:ascii="맑은 고딕" w:hAnsi="맑은 고딕"/>
                <w:b w:val="0"/>
                <w:sz w:val="19"/>
              </w:rPr>
              <w:t>2027년 파일럿 착수</w:t>
            </w:r>
          </w:p>
        </w:tc>
        <w:tc>
          <w:tcPr>
            <w:tcW w:type="dxa" w:w="1984"/>
          </w:tcPr>
          <w:p>
            <w:r>
              <w:rPr>
                <w:rFonts w:eastAsia="맑은 고딕"/>
                <w:rFonts w:ascii="맑은 고딕" w:hAnsi="맑은 고딕"/>
                <w:b w:val="0"/>
                <w:sz w:val="19"/>
              </w:rPr>
              <w:t>해외사업본부</w:t>
            </w:r>
          </w:p>
        </w:tc>
        <w:tc>
          <w:tcPr>
            <w:tcW w:type="dxa" w:w="2665"/>
          </w:tcPr>
          <w:p>
            <w:r>
              <w:rPr>
                <w:rFonts w:eastAsia="맑은 고딕"/>
                <w:rFonts w:ascii="맑은 고딕" w:hAnsi="맑은 고딕"/>
                <w:b w:val="0"/>
                <w:sz w:val="19"/>
              </w:rPr>
              <w:t>파일럿 시장 판매 대수, 시장 점유율</w:t>
            </w:r>
          </w:p>
        </w:tc>
      </w:tr>
      <w:tr>
        <w:tc>
          <w:tcPr>
            <w:tcW w:type="dxa" w:w="3118"/>
            <w:shd w:val="clear" w:color="auto" w:fill="DCE6F1"/>
          </w:tcPr>
          <w:p>
            <w:r>
              <w:rPr>
                <w:rFonts w:eastAsia="맑은 고딕"/>
                <w:rFonts w:ascii="맑은 고딕" w:hAnsi="맑은 고딕"/>
                <w:b w:val="0"/>
                <w:sz w:val="19"/>
              </w:rPr>
              <w:t>공급망 리스크 분산 및 반도체 전략 강화</w:t>
            </w:r>
          </w:p>
        </w:tc>
        <w:tc>
          <w:tcPr>
            <w:tcW w:type="dxa" w:w="1587"/>
            <w:shd w:val="clear" w:color="auto" w:fill="DCE6F1"/>
          </w:tcPr>
          <w:p>
            <w:r>
              <w:rPr>
                <w:rFonts w:eastAsia="맑은 고딕"/>
                <w:rFonts w:ascii="맑은 고딕" w:hAnsi="맑은 고딕"/>
                <w:b w:val="0"/>
                <w:sz w:val="19"/>
              </w:rPr>
              <w:t>2026년 1분기 Risk Audit</w:t>
            </w:r>
          </w:p>
        </w:tc>
        <w:tc>
          <w:tcPr>
            <w:tcW w:type="dxa" w:w="1984"/>
            <w:shd w:val="clear" w:color="auto" w:fill="DCE6F1"/>
          </w:tcPr>
          <w:p>
            <w:r>
              <w:rPr>
                <w:rFonts w:eastAsia="맑은 고딕"/>
                <w:rFonts w:ascii="맑은 고딕" w:hAnsi="맑은 고딕"/>
                <w:b w:val="0"/>
                <w:sz w:val="19"/>
              </w:rPr>
              <w:t>구매·공급망본부</w:t>
            </w:r>
          </w:p>
        </w:tc>
        <w:tc>
          <w:tcPr>
            <w:tcW w:type="dxa" w:w="2665"/>
            <w:shd w:val="clear" w:color="auto" w:fill="DCE6F1"/>
          </w:tcPr>
          <w:p>
            <w:r>
              <w:rPr>
                <w:rFonts w:eastAsia="맑은 고딕"/>
                <w:rFonts w:ascii="맑은 고딕" w:hAnsi="맑은 고딕"/>
                <w:b w:val="0"/>
                <w:sz w:val="19"/>
              </w:rPr>
              <w:t>단일 공급사 의존도 감소율, 복수 소싱 비율</w:t>
            </w:r>
          </w:p>
        </w:tc>
      </w:tr>
      <w:tr>
        <w:tc>
          <w:tcPr>
            <w:tcW w:type="dxa" w:w="3118"/>
          </w:tcPr>
          <w:p>
            <w:r>
              <w:rPr>
                <w:rFonts w:eastAsia="맑은 고딕"/>
                <w:rFonts w:ascii="맑은 고딕" w:hAnsi="맑은 고딕"/>
                <w:b w:val="0"/>
                <w:sz w:val="19"/>
              </w:rPr>
              <w:t>지역별 규제 대응 시나리오 플래닝 상시화</w:t>
            </w:r>
          </w:p>
        </w:tc>
        <w:tc>
          <w:tcPr>
            <w:tcW w:type="dxa" w:w="1587"/>
          </w:tcPr>
          <w:p>
            <w:r>
              <w:rPr>
                <w:rFonts w:eastAsia="맑은 고딕"/>
                <w:rFonts w:ascii="맑은 고딕" w:hAnsi="맑은 고딕"/>
                <w:b w:val="0"/>
                <w:sz w:val="19"/>
              </w:rPr>
              <w:t>분기별 갱신</w:t>
            </w:r>
          </w:p>
        </w:tc>
        <w:tc>
          <w:tcPr>
            <w:tcW w:type="dxa" w:w="1984"/>
          </w:tcPr>
          <w:p>
            <w:r>
              <w:rPr>
                <w:rFonts w:eastAsia="맑은 고딕"/>
                <w:rFonts w:ascii="맑은 고딕" w:hAnsi="맑은 고딕"/>
                <w:b w:val="0"/>
                <w:sz w:val="19"/>
              </w:rPr>
              <w:t>전략기획실</w:t>
            </w:r>
          </w:p>
        </w:tc>
        <w:tc>
          <w:tcPr>
            <w:tcW w:type="dxa" w:w="2665"/>
          </w:tcPr>
          <w:p>
            <w:r>
              <w:rPr>
                <w:rFonts w:eastAsia="맑은 고딕"/>
                <w:rFonts w:ascii="맑은 고딕" w:hAnsi="맑은 고딕"/>
                <w:b w:val="0"/>
                <w:sz w:val="19"/>
              </w:rPr>
              <w:t>분기별 시나리오 보고서 발행 여부</w:t>
            </w:r>
          </w:p>
        </w:tc>
      </w:tr>
    </w:tbl>
    <w:p/>
    <w:p>
      <w:r>
        <w:br w:type="page"/>
      </w:r>
    </w:p>
    <w:p>
      <w:pPr>
        <w:spacing w:before="280" w:after="120"/>
      </w:pPr>
      <w:r>
        <w:rPr>
          <w:rFonts w:eastAsia="맑은 고딕"/>
          <w:rFonts w:ascii="맑은 고딕" w:hAnsi="맑은 고딕"/>
          <w:b/>
          <w:color w:val="1F497D"/>
          <w:sz w:val="32"/>
        </w:rPr>
        <w:t>9. 참고 출처</w:t>
      </w:r>
    </w:p>
    <w:p>
      <w:pPr>
        <w:pBdr>
          <w:bottom w:val="single" w:sz="6" w:space="1" w:color="1F497D"/>
        </w:pBdr>
        <w:spacing w:after="120"/>
      </w:pPr>
    </w:p>
    <w:tbl>
      <w:tblPr>
        <w:tblStyle w:val="TableGrid"/>
        <w:tblW w:type="auto" w:w="0"/>
        <w:jc w:val="center"/>
        <w:tblLook w:firstColumn="1" w:firstRow="1" w:lastColumn="0" w:lastRow="0" w:noHBand="0" w:noVBand="1" w:val="04A0"/>
      </w:tblPr>
      <w:tblGrid>
        <w:gridCol w:w="3041"/>
        <w:gridCol w:w="3041"/>
        <w:gridCol w:w="3041"/>
      </w:tblGrid>
      <w:tr>
        <w:tc>
          <w:tcPr>
            <w:tcW w:type="dxa" w:w="2551"/>
            <w:shd w:val="clear" w:color="auto" w:fill="1F497D"/>
          </w:tcPr>
          <w:p>
            <w:pPr>
              <w:jc w:val="center"/>
            </w:pPr>
            <w:r>
              <w:rPr>
                <w:rFonts w:eastAsia="맑은 고딕"/>
                <w:rFonts w:ascii="맑은 고딕" w:hAnsi="맑은 고딕"/>
                <w:b/>
                <w:color w:val="FFFFFF"/>
                <w:sz w:val="19"/>
              </w:rPr>
              <w:t>기관</w:t>
            </w:r>
          </w:p>
        </w:tc>
        <w:tc>
          <w:tcPr>
            <w:tcW w:type="dxa" w:w="3969"/>
            <w:shd w:val="clear" w:color="auto" w:fill="1F497D"/>
          </w:tcPr>
          <w:p>
            <w:pPr>
              <w:jc w:val="center"/>
            </w:pPr>
            <w:r>
              <w:rPr>
                <w:rFonts w:eastAsia="맑은 고딕"/>
                <w:rFonts w:ascii="맑은 고딕" w:hAnsi="맑은 고딕"/>
                <w:b/>
                <w:color w:val="FFFFFF"/>
                <w:sz w:val="19"/>
              </w:rPr>
              <w:t>보고서 / 자료명</w:t>
            </w:r>
          </w:p>
        </w:tc>
        <w:tc>
          <w:tcPr>
            <w:tcW w:type="dxa" w:w="1701"/>
            <w:shd w:val="clear" w:color="auto" w:fill="1F497D"/>
          </w:tcPr>
          <w:p>
            <w:pPr>
              <w:jc w:val="center"/>
            </w:pPr>
            <w:r>
              <w:rPr>
                <w:rFonts w:eastAsia="맑은 고딕"/>
                <w:rFonts w:ascii="맑은 고딕" w:hAnsi="맑은 고딕"/>
                <w:b/>
                <w:color w:val="FFFFFF"/>
                <w:sz w:val="19"/>
              </w:rPr>
              <w:t>발행 연도</w:t>
            </w:r>
          </w:p>
        </w:tc>
      </w:tr>
      <w:tr>
        <w:tc>
          <w:tcPr>
            <w:tcW w:type="dxa" w:w="2551"/>
          </w:tcPr>
          <w:p>
            <w:r>
              <w:rPr>
                <w:rFonts w:eastAsia="맑은 고딕"/>
                <w:rFonts w:ascii="맑은 고딕" w:hAnsi="맑은 고딕"/>
                <w:b w:val="0"/>
                <w:sz w:val="19"/>
              </w:rPr>
              <w:t>Mordor Intelligence</w:t>
            </w:r>
          </w:p>
        </w:tc>
        <w:tc>
          <w:tcPr>
            <w:tcW w:type="dxa" w:w="3969"/>
          </w:tcPr>
          <w:p>
            <w:r>
              <w:rPr>
                <w:rFonts w:eastAsia="맑은 고딕"/>
                <w:rFonts w:ascii="맑은 고딕" w:hAnsi="맑은 고딕"/>
                <w:b w:val="0"/>
                <w:sz w:val="19"/>
              </w:rPr>
              <w:t>Automotive Industry Market Report</w:t>
            </w:r>
          </w:p>
        </w:tc>
        <w:tc>
          <w:tcPr>
            <w:tcW w:type="dxa" w:w="1701"/>
          </w:tcPr>
          <w:p>
            <w:r>
              <w:rPr>
                <w:rFonts w:eastAsia="맑은 고딕"/>
                <w:rFonts w:ascii="맑은 고딕" w:hAnsi="맑은 고딕"/>
                <w:b w:val="0"/>
                <w:sz w:val="19"/>
              </w:rPr>
              <w:t>2025</w:t>
            </w:r>
          </w:p>
        </w:tc>
      </w:tr>
      <w:tr>
        <w:tc>
          <w:tcPr>
            <w:tcW w:type="dxa" w:w="2551"/>
            <w:shd w:val="clear" w:color="auto" w:fill="DCE6F1"/>
          </w:tcPr>
          <w:p>
            <w:r>
              <w:rPr>
                <w:rFonts w:eastAsia="맑은 고딕"/>
                <w:rFonts w:ascii="맑은 고딕" w:hAnsi="맑은 고딕"/>
                <w:b w:val="0"/>
                <w:sz w:val="19"/>
              </w:rPr>
              <w:t>Business Research Insights</w:t>
            </w:r>
          </w:p>
        </w:tc>
        <w:tc>
          <w:tcPr>
            <w:tcW w:type="dxa" w:w="3969"/>
            <w:shd w:val="clear" w:color="auto" w:fill="DCE6F1"/>
          </w:tcPr>
          <w:p>
            <w:r>
              <w:rPr>
                <w:rFonts w:eastAsia="맑은 고딕"/>
                <w:rFonts w:ascii="맑은 고딕" w:hAnsi="맑은 고딕"/>
                <w:b w:val="0"/>
                <w:sz w:val="19"/>
              </w:rPr>
              <w:t>Global Automotive Market Analysis</w:t>
            </w:r>
          </w:p>
        </w:tc>
        <w:tc>
          <w:tcPr>
            <w:tcW w:type="dxa" w:w="1701"/>
            <w:shd w:val="clear" w:color="auto" w:fill="DCE6F1"/>
          </w:tcPr>
          <w:p>
            <w:r>
              <w:rPr>
                <w:rFonts w:eastAsia="맑은 고딕"/>
                <w:rFonts w:ascii="맑은 고딕" w:hAnsi="맑은 고딕"/>
                <w:b w:val="0"/>
                <w:sz w:val="19"/>
              </w:rPr>
              <w:t>2025</w:t>
            </w:r>
          </w:p>
        </w:tc>
      </w:tr>
      <w:tr>
        <w:tc>
          <w:tcPr>
            <w:tcW w:type="dxa" w:w="2551"/>
          </w:tcPr>
          <w:p>
            <w:r>
              <w:rPr>
                <w:rFonts w:eastAsia="맑은 고딕"/>
                <w:rFonts w:ascii="맑은 고딕" w:hAnsi="맑은 고딕"/>
                <w:b w:val="0"/>
                <w:sz w:val="19"/>
              </w:rPr>
              <w:t>Global Market Insights</w:t>
            </w:r>
          </w:p>
        </w:tc>
        <w:tc>
          <w:tcPr>
            <w:tcW w:type="dxa" w:w="3969"/>
          </w:tcPr>
          <w:p>
            <w:r>
              <w:rPr>
                <w:rFonts w:eastAsia="맑은 고딕"/>
                <w:rFonts w:ascii="맑은 고딕" w:hAnsi="맑은 고딕"/>
                <w:b w:val="0"/>
                <w:sz w:val="19"/>
              </w:rPr>
              <w:t>Automotive Market Size &amp; Forecast</w:t>
            </w:r>
          </w:p>
        </w:tc>
        <w:tc>
          <w:tcPr>
            <w:tcW w:type="dxa" w:w="1701"/>
          </w:tcPr>
          <w:p>
            <w:r>
              <w:rPr>
                <w:rFonts w:eastAsia="맑은 고딕"/>
                <w:rFonts w:ascii="맑은 고딕" w:hAnsi="맑은 고딕"/>
                <w:b w:val="0"/>
                <w:sz w:val="19"/>
              </w:rPr>
              <w:t>2025</w:t>
            </w:r>
          </w:p>
        </w:tc>
      </w:tr>
      <w:tr>
        <w:tc>
          <w:tcPr>
            <w:tcW w:type="dxa" w:w="2551"/>
            <w:shd w:val="clear" w:color="auto" w:fill="DCE6F1"/>
          </w:tcPr>
          <w:p>
            <w:r>
              <w:rPr>
                <w:rFonts w:eastAsia="맑은 고딕"/>
                <w:rFonts w:ascii="맑은 고딕" w:hAnsi="맑은 고딕"/>
                <w:b w:val="0"/>
                <w:sz w:val="19"/>
              </w:rPr>
              <w:t>Future Market Insights</w:t>
            </w:r>
          </w:p>
        </w:tc>
        <w:tc>
          <w:tcPr>
            <w:tcW w:type="dxa" w:w="3969"/>
            <w:shd w:val="clear" w:color="auto" w:fill="DCE6F1"/>
          </w:tcPr>
          <w:p>
            <w:r>
              <w:rPr>
                <w:rFonts w:eastAsia="맑은 고딕"/>
                <w:rFonts w:ascii="맑은 고딕" w:hAnsi="맑은 고딕"/>
                <w:b w:val="0"/>
                <w:sz w:val="19"/>
              </w:rPr>
              <w:t>Global Automotive Market Outlook</w:t>
            </w:r>
          </w:p>
        </w:tc>
        <w:tc>
          <w:tcPr>
            <w:tcW w:type="dxa" w:w="1701"/>
            <w:shd w:val="clear" w:color="auto" w:fill="DCE6F1"/>
          </w:tcPr>
          <w:p>
            <w:r>
              <w:rPr>
                <w:rFonts w:eastAsia="맑은 고딕"/>
                <w:rFonts w:ascii="맑은 고딕" w:hAnsi="맑은 고딕"/>
                <w:b w:val="0"/>
                <w:sz w:val="19"/>
              </w:rPr>
              <w:t>2025</w:t>
            </w:r>
          </w:p>
        </w:tc>
      </w:tr>
      <w:tr>
        <w:tc>
          <w:tcPr>
            <w:tcW w:type="dxa" w:w="2551"/>
          </w:tcPr>
          <w:p>
            <w:r>
              <w:rPr>
                <w:rFonts w:eastAsia="맑은 고딕"/>
                <w:rFonts w:ascii="맑은 고딕" w:hAnsi="맑은 고딕"/>
                <w:b w:val="0"/>
                <w:sz w:val="19"/>
              </w:rPr>
              <w:t>IEA (국제에너지기구)</w:t>
            </w:r>
          </w:p>
        </w:tc>
        <w:tc>
          <w:tcPr>
            <w:tcW w:type="dxa" w:w="3969"/>
          </w:tcPr>
          <w:p>
            <w:r>
              <w:rPr>
                <w:rFonts w:eastAsia="맑은 고딕"/>
                <w:rFonts w:ascii="맑은 고딕" w:hAnsi="맑은 고딕"/>
                <w:b w:val="0"/>
                <w:sz w:val="19"/>
              </w:rPr>
              <w:t>Global EV Outlook</w:t>
            </w:r>
          </w:p>
        </w:tc>
        <w:tc>
          <w:tcPr>
            <w:tcW w:type="dxa" w:w="1701"/>
          </w:tcPr>
          <w:p>
            <w:r>
              <w:rPr>
                <w:rFonts w:eastAsia="맑은 고딕"/>
                <w:rFonts w:ascii="맑은 고딕" w:hAnsi="맑은 고딕"/>
                <w:b w:val="0"/>
                <w:sz w:val="19"/>
              </w:rPr>
              <w:t>2025</w:t>
            </w:r>
          </w:p>
        </w:tc>
      </w:tr>
      <w:tr>
        <w:tc>
          <w:tcPr>
            <w:tcW w:type="dxa" w:w="2551"/>
            <w:shd w:val="clear" w:color="auto" w:fill="DCE6F1"/>
          </w:tcPr>
          <w:p>
            <w:r>
              <w:rPr>
                <w:rFonts w:eastAsia="맑은 고딕"/>
                <w:rFonts w:ascii="맑은 고딕" w:hAnsi="맑은 고딕"/>
                <w:b w:val="0"/>
                <w:sz w:val="19"/>
              </w:rPr>
              <w:t>MarketsandMarkets</w:t>
            </w:r>
          </w:p>
        </w:tc>
        <w:tc>
          <w:tcPr>
            <w:tcW w:type="dxa" w:w="3969"/>
            <w:shd w:val="clear" w:color="auto" w:fill="DCE6F1"/>
          </w:tcPr>
          <w:p>
            <w:r>
              <w:rPr>
                <w:rFonts w:eastAsia="맑은 고딕"/>
                <w:rFonts w:ascii="맑은 고딕" w:hAnsi="맑은 고딕"/>
                <w:b w:val="0"/>
                <w:sz w:val="19"/>
              </w:rPr>
              <w:t>Connected Car Market Report</w:t>
            </w:r>
          </w:p>
        </w:tc>
        <w:tc>
          <w:tcPr>
            <w:tcW w:type="dxa" w:w="1701"/>
            <w:shd w:val="clear" w:color="auto" w:fill="DCE6F1"/>
          </w:tcPr>
          <w:p>
            <w:r>
              <w:rPr>
                <w:rFonts w:eastAsia="맑은 고딕"/>
                <w:rFonts w:ascii="맑은 고딕" w:hAnsi="맑은 고딕"/>
                <w:b w:val="0"/>
                <w:sz w:val="19"/>
              </w:rPr>
              <w:t>2025</w:t>
            </w:r>
          </w:p>
        </w:tc>
      </w:tr>
      <w:tr>
        <w:tc>
          <w:tcPr>
            <w:tcW w:type="dxa" w:w="2551"/>
          </w:tcPr>
          <w:p>
            <w:r>
              <w:rPr>
                <w:rFonts w:eastAsia="맑은 고딕"/>
                <w:rFonts w:ascii="맑은 고딕" w:hAnsi="맑은 고딕"/>
                <w:b w:val="0"/>
                <w:sz w:val="19"/>
              </w:rPr>
              <w:t>Fortune Business Insights</w:t>
            </w:r>
          </w:p>
        </w:tc>
        <w:tc>
          <w:tcPr>
            <w:tcW w:type="dxa" w:w="3969"/>
          </w:tcPr>
          <w:p>
            <w:r>
              <w:rPr>
                <w:rFonts w:eastAsia="맑은 고딕"/>
                <w:rFonts w:ascii="맑은 고딕" w:hAnsi="맑은 고딕"/>
                <w:b w:val="0"/>
                <w:sz w:val="19"/>
              </w:rPr>
              <w:t>Autonomous Vehicle Market Report</w:t>
            </w:r>
          </w:p>
        </w:tc>
        <w:tc>
          <w:tcPr>
            <w:tcW w:type="dxa" w:w="1701"/>
          </w:tcPr>
          <w:p>
            <w:r>
              <w:rPr>
                <w:rFonts w:eastAsia="맑은 고딕"/>
                <w:rFonts w:ascii="맑은 고딕" w:hAnsi="맑은 고딕"/>
                <w:b w:val="0"/>
                <w:sz w:val="19"/>
              </w:rPr>
              <w:t>2025</w:t>
            </w:r>
          </w:p>
        </w:tc>
      </w:tr>
      <w:tr>
        <w:tc>
          <w:tcPr>
            <w:tcW w:type="dxa" w:w="2551"/>
            <w:shd w:val="clear" w:color="auto" w:fill="DCE6F1"/>
          </w:tcPr>
          <w:p>
            <w:r>
              <w:rPr>
                <w:rFonts w:eastAsia="맑은 고딕"/>
                <w:rFonts w:ascii="맑은 고딕" w:hAnsi="맑은 고딕"/>
                <w:b w:val="0"/>
                <w:sz w:val="19"/>
              </w:rPr>
              <w:t>Grand View Research</w:t>
            </w:r>
          </w:p>
        </w:tc>
        <w:tc>
          <w:tcPr>
            <w:tcW w:type="dxa" w:w="3969"/>
            <w:shd w:val="clear" w:color="auto" w:fill="DCE6F1"/>
          </w:tcPr>
          <w:p>
            <w:r>
              <w:rPr>
                <w:rFonts w:eastAsia="맑은 고딕"/>
                <w:rFonts w:ascii="맑은 고딕" w:hAnsi="맑은 고딕"/>
                <w:b w:val="0"/>
                <w:sz w:val="19"/>
              </w:rPr>
              <w:t>Hybrid Vehicle Market Report</w:t>
            </w:r>
          </w:p>
        </w:tc>
        <w:tc>
          <w:tcPr>
            <w:tcW w:type="dxa" w:w="1701"/>
            <w:shd w:val="clear" w:color="auto" w:fill="DCE6F1"/>
          </w:tcPr>
          <w:p>
            <w:r>
              <w:rPr>
                <w:rFonts w:eastAsia="맑은 고딕"/>
                <w:rFonts w:ascii="맑은 고딕" w:hAnsi="맑은 고딕"/>
                <w:b w:val="0"/>
                <w:sz w:val="19"/>
              </w:rPr>
              <w:t>2025</w:t>
            </w:r>
          </w:p>
        </w:tc>
      </w:tr>
      <w:tr>
        <w:tc>
          <w:tcPr>
            <w:tcW w:type="dxa" w:w="2551"/>
          </w:tcPr>
          <w:p>
            <w:r>
              <w:rPr>
                <w:rFonts w:eastAsia="맑은 고딕"/>
                <w:rFonts w:ascii="맑은 고딕" w:hAnsi="맑은 고딕"/>
                <w:b w:val="0"/>
                <w:sz w:val="19"/>
              </w:rPr>
              <w:t>Precedence Research</w:t>
            </w:r>
          </w:p>
        </w:tc>
        <w:tc>
          <w:tcPr>
            <w:tcW w:type="dxa" w:w="3969"/>
          </w:tcPr>
          <w:p>
            <w:r>
              <w:rPr>
                <w:rFonts w:eastAsia="맑은 고딕"/>
                <w:rFonts w:ascii="맑은 고딕" w:hAnsi="맑은 고딕"/>
                <w:b w:val="0"/>
                <w:sz w:val="19"/>
              </w:rPr>
              <w:t>EV Market Size &amp; Forecast</w:t>
            </w:r>
          </w:p>
        </w:tc>
        <w:tc>
          <w:tcPr>
            <w:tcW w:type="dxa" w:w="1701"/>
          </w:tcPr>
          <w:p>
            <w:r>
              <w:rPr>
                <w:rFonts w:eastAsia="맑은 고딕"/>
                <w:rFonts w:ascii="맑은 고딕" w:hAnsi="맑은 고딕"/>
                <w:b w:val="0"/>
                <w:sz w:val="19"/>
              </w:rPr>
              <w:t>2025</w:t>
            </w:r>
          </w:p>
        </w:tc>
      </w:tr>
      <w:tr>
        <w:tc>
          <w:tcPr>
            <w:tcW w:type="dxa" w:w="2551"/>
            <w:shd w:val="clear" w:color="auto" w:fill="DCE6F1"/>
          </w:tcPr>
          <w:p>
            <w:r>
              <w:rPr>
                <w:rFonts w:eastAsia="맑은 고딕"/>
                <w:rFonts w:ascii="맑은 고딕" w:hAnsi="맑은 고딕"/>
                <w:b w:val="0"/>
                <w:sz w:val="19"/>
              </w:rPr>
              <w:t>S&amp;P Global Mobility</w:t>
            </w:r>
          </w:p>
        </w:tc>
        <w:tc>
          <w:tcPr>
            <w:tcW w:type="dxa" w:w="3969"/>
            <w:shd w:val="clear" w:color="auto" w:fill="DCE6F1"/>
          </w:tcPr>
          <w:p>
            <w:r>
              <w:rPr>
                <w:rFonts w:eastAsia="맑은 고딕"/>
                <w:rFonts w:ascii="맑은 고딕" w:hAnsi="맑은 고딕"/>
                <w:b w:val="0"/>
                <w:sz w:val="19"/>
              </w:rPr>
              <w:t>Global Vehicle Sales Data</w:t>
            </w:r>
          </w:p>
        </w:tc>
        <w:tc>
          <w:tcPr>
            <w:tcW w:type="dxa" w:w="1701"/>
            <w:shd w:val="clear" w:color="auto" w:fill="DCE6F1"/>
          </w:tcPr>
          <w:p>
            <w:r>
              <w:rPr>
                <w:rFonts w:eastAsia="맑은 고딕"/>
                <w:rFonts w:ascii="맑은 고딕" w:hAnsi="맑은 고딕"/>
                <w:b w:val="0"/>
                <w:sz w:val="19"/>
              </w:rPr>
              <w:t>2025</w:t>
            </w:r>
          </w:p>
        </w:tc>
      </w:tr>
      <w:tr>
        <w:tc>
          <w:tcPr>
            <w:tcW w:type="dxa" w:w="2551"/>
          </w:tcPr>
          <w:p>
            <w:r>
              <w:rPr>
                <w:rFonts w:eastAsia="맑은 고딕"/>
                <w:rFonts w:ascii="맑은 고딕" w:hAnsi="맑은 고딕"/>
                <w:b w:val="0"/>
                <w:sz w:val="19"/>
              </w:rPr>
              <w:t>Hyundai Motor Group</w:t>
            </w:r>
          </w:p>
        </w:tc>
        <w:tc>
          <w:tcPr>
            <w:tcW w:type="dxa" w:w="3969"/>
          </w:tcPr>
          <w:p>
            <w:r>
              <w:rPr>
                <w:rFonts w:eastAsia="맑은 고딕"/>
                <w:rFonts w:ascii="맑은 고딕" w:hAnsi="맑은 고딕"/>
                <w:b w:val="0"/>
                <w:sz w:val="19"/>
              </w:rPr>
              <w:t>IR 실적 발표 자료</w:t>
            </w:r>
          </w:p>
        </w:tc>
        <w:tc>
          <w:tcPr>
            <w:tcW w:type="dxa" w:w="1701"/>
          </w:tcPr>
          <w:p>
            <w:r>
              <w:rPr>
                <w:rFonts w:eastAsia="맑은 고딕"/>
                <w:rFonts w:ascii="맑은 고딕" w:hAnsi="맑은 고딕"/>
                <w:b w:val="0"/>
                <w:sz w:val="19"/>
              </w:rPr>
              <w:t>2025</w:t>
            </w:r>
          </w:p>
        </w:tc>
      </w:tr>
    </w:tbl>
    <w:p/>
    <w:p/>
    <w:p>
      <w:pPr>
        <w:spacing w:before="80" w:after="120"/>
        <w:ind w:left="283" w:right="283"/>
        <w:shd w:val="clear" w:color="auto" w:fill="F2F2F2"/>
      </w:pPr>
      <w:r>
        <w:rPr>
          <w:rFonts w:eastAsia="맑은 고딕"/>
          <w:rFonts w:ascii="맑은 고딕" w:hAnsi="맑은 고딕"/>
          <w:b w:val="0"/>
          <w:sz w:val="19"/>
        </w:rPr>
        <w:t>면책 고지: 본 보고서에 포함된 시장 규모 수치 및 성장률 전망은 공개된 제3자 리서치 기관 데이터를 기반으로 하며, 실제 시장 결과는 거시경제 환경, 정책 변화, 기술 개발 속도에 따라 상이할 수 있습니다. 투자 결정 전 내부 검토 및 추가 실사(Due Diligence)가 권고됩니다.</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