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750277"/>
            <wp:docPr id="1" name="Picture 1"/>
            <wp:cNvGraphicFramePr>
              <a:graphicFrameLocks noChangeAspect="1"/>
            </wp:cNvGraphicFramePr>
            <a:graphic>
              <a:graphicData uri="http://schemas.openxmlformats.org/drawingml/2006/picture">
                <pic:pic>
                  <pic:nvPicPr>
                    <pic:cNvPr id="0" name="nibm_logo.png"/>
                    <pic:cNvPicPr/>
                  </pic:nvPicPr>
                  <pic:blipFill>
                    <a:blip r:embed="rId9"/>
                    <a:stretch>
                      <a:fillRect/>
                    </a:stretch>
                  </pic:blipFill>
                  <pic:spPr>
                    <a:xfrm>
                      <a:off x="0" y="0"/>
                      <a:ext cx="1828800" cy="750277"/>
                    </a:xfrm>
                    <a:prstGeom prst="rect"/>
                  </pic:spPr>
                </pic:pic>
              </a:graphicData>
            </a:graphic>
          </wp:inline>
        </w:drawing>
        <w:t xml:space="preserve">     </w:t>
        <w:drawing>
          <wp:inline xmlns:a="http://schemas.openxmlformats.org/drawingml/2006/main" xmlns:pic="http://schemas.openxmlformats.org/drawingml/2006/picture">
            <wp:extent cx="2103120" cy="553042"/>
            <wp:docPr id="2" name="Picture 2"/>
            <wp:cNvGraphicFramePr>
              <a:graphicFrameLocks noChangeAspect="1"/>
            </wp:cNvGraphicFramePr>
            <a:graphic>
              <a:graphicData uri="http://schemas.openxmlformats.org/drawingml/2006/picture">
                <pic:pic>
                  <pic:nvPicPr>
                    <pic:cNvPr id="0" name="coventry_logo.jpeg"/>
                    <pic:cNvPicPr/>
                  </pic:nvPicPr>
                  <pic:blipFill>
                    <a:blip r:embed="rId10"/>
                    <a:stretch>
                      <a:fillRect/>
                    </a:stretch>
                  </pic:blipFill>
                  <pic:spPr>
                    <a:xfrm>
                      <a:off x="0" y="0"/>
                      <a:ext cx="2103120" cy="553042"/>
                    </a:xfrm>
                    <a:prstGeom prst="rect"/>
                  </pic:spPr>
                </pic:pic>
              </a:graphicData>
            </a:graphic>
          </wp:inline>
        </w:drawing>
      </w:r>
    </w:p>
    <w:p/>
    <w:p>
      <w:pPr>
        <w:spacing w:after="40"/>
        <w:jc w:val="center"/>
      </w:pPr>
      <w:r>
        <w:rPr>
          <w:rFonts w:ascii="Times New Roman" w:hAnsi="Times New Roman"/>
          <w:b w:val="0"/>
          <w:sz w:val="44"/>
        </w:rPr>
        <w:t>BSc (Hons) in Computing</w:t>
      </w:r>
    </w:p>
    <w:p>
      <w:pPr>
        <w:spacing w:after="360"/>
        <w:jc w:val="center"/>
      </w:pPr>
      <w:r>
        <w:rPr>
          <w:rFonts w:ascii="Times New Roman" w:hAnsi="Times New Roman"/>
          <w:b w:val="0"/>
          <w:sz w:val="44"/>
        </w:rPr>
        <w:t>2024.2</w:t>
      </w:r>
    </w:p>
    <w:p>
      <w:pPr>
        <w:spacing w:after="480"/>
        <w:jc w:val="center"/>
      </w:pPr>
      <w:r>
        <w:rPr>
          <w:rFonts w:ascii="Times New Roman" w:hAnsi="Times New Roman"/>
          <w:b/>
          <w:color w:val="0F4761"/>
          <w:sz w:val="30"/>
        </w:rPr>
        <w:t>Interim Project Report (Mid-Point Progress)</w:t>
      </w:r>
    </w:p>
    <w:p>
      <w:pPr>
        <w:spacing w:after="560"/>
        <w:jc w:val="center"/>
      </w:pPr>
      <w:r>
        <w:rPr>
          <w:rFonts w:ascii="Times New Roman" w:hAnsi="Times New Roman"/>
          <w:b/>
          <w:sz w:val="36"/>
        </w:rPr>
        <w:t>A Privacy-Conscious Blockchain-based Vehicle Ownership and Lifecycle Registry Architecture to Reduce the Fraud of Used Vehicles in Sri Lanka.</w:t>
      </w:r>
    </w:p>
    <w:p>
      <w:pPr>
        <w:spacing w:after="480"/>
        <w:jc w:val="center"/>
      </w:pPr>
      <w:r>
        <w:rPr>
          <w:rFonts w:ascii="Times New Roman" w:hAnsi="Times New Roman"/>
          <w:b w:val="0"/>
          <w:sz w:val="30"/>
        </w:rPr>
        <w:t>Coventry Index No.</w:t>
        <w:tab/>
        <w:t>:</w:t>
        <w:tab/>
        <w:t>16116030</w:t>
      </w:r>
      <w:r>
        <w:br/>
      </w:r>
      <w:r>
        <w:rPr>
          <w:rFonts w:ascii="Times New Roman" w:hAnsi="Times New Roman"/>
          <w:b w:val="0"/>
          <w:sz w:val="30"/>
        </w:rPr>
        <w:t>NIBM Registered Name</w:t>
        <w:tab/>
        <w:t>:</w:t>
        <w:tab/>
        <w:t>S.N.I.W.M.K.V. Illankoon</w:t>
      </w:r>
      <w:r>
        <w:br/>
      </w:r>
      <w:r>
        <w:rPr>
          <w:rFonts w:ascii="Times New Roman" w:hAnsi="Times New Roman"/>
          <w:b w:val="0"/>
          <w:sz w:val="30"/>
        </w:rPr>
        <w:t>Supervisor</w:t>
        <w:tab/>
        <w:t>:</w:t>
        <w:tab/>
        <w:t>Mr. Thisara Weerasinghe</w:t>
      </w:r>
    </w:p>
    <w:p>
      <w:pPr>
        <w:spacing w:after="200"/>
        <w:jc w:val="center"/>
      </w:pPr>
      <w:r>
        <w:rPr>
          <w:rFonts w:ascii="Times New Roman" w:hAnsi="Times New Roman"/>
          <w:b w:val="0"/>
          <w:sz w:val="28"/>
        </w:rPr>
        <w:t>Faculty of Engineering, Environment and Computing</w:t>
      </w:r>
      <w:r>
        <w:br/>
      </w:r>
      <w:r>
        <w:rPr>
          <w:rFonts w:ascii="Times New Roman" w:hAnsi="Times New Roman"/>
          <w:b w:val="0"/>
          <w:sz w:val="28"/>
        </w:rPr>
        <w:t>School of Computing, Electronics and Mathematics</w:t>
      </w:r>
      <w:r>
        <w:br/>
      </w:r>
      <w:r>
        <w:rPr>
          <w:rFonts w:ascii="Times New Roman" w:hAnsi="Times New Roman"/>
          <w:b w:val="0"/>
          <w:sz w:val="28"/>
        </w:rPr>
        <w:t>Coventry University</w:t>
      </w:r>
    </w:p>
    <w:p>
      <w:pPr>
        <w:spacing w:after="120"/>
        <w:jc w:val="center"/>
      </w:pPr>
      <w:r>
        <w:rPr>
          <w:rFonts w:ascii="Times New Roman" w:hAnsi="Times New Roman"/>
          <w:b w:val="0"/>
          <w:sz w:val="28"/>
        </w:rPr>
        <w:t>School of Computing and Engineering</w:t>
      </w:r>
      <w:r>
        <w:br/>
      </w:r>
      <w:r>
        <w:rPr>
          <w:rFonts w:ascii="Times New Roman" w:hAnsi="Times New Roman"/>
          <w:b w:val="0"/>
          <w:sz w:val="28"/>
        </w:rPr>
        <w:t>National Institute of Business Management</w:t>
      </w:r>
    </w:p>
    <w:p>
      <w:r>
        <w:br w:type="page"/>
      </w:r>
    </w:p>
    <w:p>
      <w:pPr>
        <w:pStyle w:val="Heading1"/>
      </w:pPr>
      <w:r>
        <w:t>Declaration</w:t>
      </w:r>
    </w:p>
    <w:p>
      <w:pPr>
        <w:jc w:val="both"/>
      </w:pPr>
      <w:r>
        <w:rPr>
          <w:rFonts w:ascii="Times New Roman" w:hAnsi="Times New Roman"/>
          <w:b w:val="0"/>
          <w:i w:val="0"/>
          <w:sz w:val="24"/>
        </w:rPr>
        <w:t>I declare that this interim report and the work presented in it are my own and have been generated by me as the result of my own original research. Where I have consulted the published work of others, this is always clearly attributed. This report is submitted as a progress (mid-point) deliverable for the BSc (Hons) in Computing final year research project and has not been submitted for any other qualification.</w:t>
      </w:r>
    </w:p>
    <w:p>
      <w:pPr>
        <w:jc w:val="both"/>
      </w:pPr>
      <w:r>
        <w:rPr>
          <w:rFonts w:ascii="Times New Roman" w:hAnsi="Times New Roman"/>
          <w:b/>
          <w:i w:val="0"/>
          <w:sz w:val="24"/>
        </w:rPr>
        <w:t>Student:</w:t>
      </w:r>
      <w:r>
        <w:rPr>
          <w:rFonts w:ascii="Times New Roman" w:hAnsi="Times New Roman"/>
          <w:b w:val="0"/>
          <w:i w:val="0"/>
          <w:sz w:val="24"/>
        </w:rPr>
        <w:t xml:space="preserve"> S.N.I.W.M.K.V. Illankoon</w:t>
      </w:r>
    </w:p>
    <w:p>
      <w:pPr>
        <w:jc w:val="both"/>
      </w:pPr>
      <w:r>
        <w:rPr>
          <w:rFonts w:ascii="Times New Roman" w:hAnsi="Times New Roman"/>
          <w:b/>
          <w:i w:val="0"/>
          <w:sz w:val="24"/>
        </w:rPr>
        <w:t>Coventry Index No.:</w:t>
      </w:r>
      <w:r>
        <w:rPr>
          <w:rFonts w:ascii="Times New Roman" w:hAnsi="Times New Roman"/>
          <w:b w:val="0"/>
          <w:i w:val="0"/>
          <w:sz w:val="24"/>
        </w:rPr>
        <w:t xml:space="preserve"> 16116030</w:t>
      </w:r>
    </w:p>
    <w:p>
      <w:pPr>
        <w:jc w:val="both"/>
      </w:pPr>
      <w:r>
        <w:rPr>
          <w:rFonts w:ascii="Times New Roman" w:hAnsi="Times New Roman"/>
          <w:b/>
          <w:i w:val="0"/>
          <w:sz w:val="24"/>
        </w:rPr>
        <w:t>Date:</w:t>
      </w:r>
      <w:r>
        <w:rPr>
          <w:rFonts w:ascii="Times New Roman" w:hAnsi="Times New Roman"/>
          <w:b w:val="0"/>
          <w:i w:val="0"/>
          <w:sz w:val="24"/>
        </w:rPr>
        <w:t xml:space="preserve"> 06th June 2026</w:t>
      </w:r>
    </w:p>
    <w:p>
      <w:r>
        <w:br w:type="page"/>
      </w:r>
    </w:p>
    <w:p>
      <w:pPr>
        <w:pStyle w:val="Heading1"/>
      </w:pPr>
      <w:r>
        <w:t>Abstract</w:t>
      </w:r>
    </w:p>
    <w:p>
      <w:pPr>
        <w:jc w:val="both"/>
      </w:pPr>
      <w:r>
        <w:rPr>
          <w:rFonts w:ascii="Times New Roman" w:hAnsi="Times New Roman"/>
          <w:b w:val="0"/>
          <w:i w:val="0"/>
          <w:sz w:val="24"/>
        </w:rPr>
        <w:t>Sri Lanka's used-vehicle market suffers from persistent fraud, including odometer rollback, concealed accident history, undisclosed insurance claims, and the resale of stolen vehicles. The records needed to detect such fraud are held by separate institutions — the Department of Motor Traffic (DMT), Sri Lanka Police, insurance companies, emission-testing centres, and Customs — and are cross-checked manually, which is slow and easily defeated. Blockchain technology offers tamper-evident, shared record keeping, but a fully transparent ledger exposes owners' personal data, while a fully private ledger lets fraudsters hide behind anonymity.</w:t>
      </w:r>
    </w:p>
    <w:p>
      <w:pPr>
        <w:jc w:val="both"/>
      </w:pPr>
      <w:r>
        <w:rPr>
          <w:rFonts w:ascii="Times New Roman" w:hAnsi="Times New Roman"/>
          <w:b w:val="0"/>
          <w:i w:val="0"/>
          <w:sz w:val="24"/>
        </w:rPr>
        <w:t xml:space="preserve">This project designs, implements, and evaluates a privacy-preserving consortium blockchain registry built on Hyperledger Fabric. Rather than inventing new cryptographic primitives, it </w:t>
      </w:r>
      <w:r>
        <w:rPr>
          <w:rFonts w:ascii="Times New Roman" w:hAnsi="Times New Roman"/>
          <w:b/>
          <w:i w:val="0"/>
          <w:sz w:val="24"/>
        </w:rPr>
        <w:t>adapts</w:t>
      </w:r>
      <w:r>
        <w:rPr>
          <w:rFonts w:ascii="Times New Roman" w:hAnsi="Times New Roman"/>
          <w:b w:val="0"/>
          <w:i w:val="0"/>
          <w:sz w:val="24"/>
        </w:rPr>
        <w:t xml:space="preserve"> established techniques — conditional, authority-revealable pseudonymity (as deployed for general accounts by Concordium and for a national gun registry by Kamara et al., 2021) and a hybrid on-chain/off-chain data model — to the previously unaddressed setting of a national vehicle </w:t>
      </w:r>
      <w:r>
        <w:rPr>
          <w:rFonts w:ascii="Times New Roman" w:hAnsi="Times New Roman"/>
          <w:b w:val="0"/>
          <w:i/>
          <w:sz w:val="24"/>
        </w:rPr>
        <w:t>ownership and lifecycle</w:t>
      </w:r>
      <w:r>
        <w:rPr>
          <w:rFonts w:ascii="Times New Roman" w:hAnsi="Times New Roman"/>
          <w:b w:val="0"/>
          <w:i w:val="0"/>
          <w:sz w:val="24"/>
        </w:rPr>
        <w:t xml:space="preserve"> registry, where the same pseudonym must remain linkable across events for fraud detection to function. Its contributions are: </w:t>
      </w:r>
      <w:r>
        <w:rPr>
          <w:rFonts w:ascii="Times New Roman" w:hAnsi="Times New Roman"/>
          <w:b/>
          <w:i w:val="0"/>
          <w:sz w:val="24"/>
        </w:rPr>
        <w:t>conditional pseudonymity</w:t>
      </w:r>
      <w:r>
        <w:rPr>
          <w:rFonts w:ascii="Times New Roman" w:hAnsi="Times New Roman"/>
          <w:b w:val="0"/>
          <w:i w:val="0"/>
          <w:sz w:val="24"/>
        </w:rPr>
        <w:t xml:space="preserve"> applied to a persistent owner identity, with a </w:t>
      </w:r>
      <w:r>
        <w:rPr>
          <w:rFonts w:ascii="Times New Roman" w:hAnsi="Times New Roman"/>
          <w:b/>
          <w:i w:val="0"/>
          <w:sz w:val="24"/>
        </w:rPr>
        <w:t>policy-coupled, governed multi-party (threshold) identity-reveal protocol</w:t>
      </w:r>
      <w:r>
        <w:rPr>
          <w:rFonts w:ascii="Times New Roman" w:hAnsi="Times New Roman"/>
          <w:b w:val="0"/>
          <w:i w:val="0"/>
          <w:sz w:val="24"/>
        </w:rPr>
        <w:t xml:space="preserve"> — valid only when it cites an existing on-chain fraud flag — for lawful investigations; a </w:t>
      </w:r>
      <w:r>
        <w:rPr>
          <w:rFonts w:ascii="Times New Roman" w:hAnsi="Times New Roman"/>
          <w:b/>
          <w:i w:val="0"/>
          <w:sz w:val="24"/>
        </w:rPr>
        <w:t>rule-based cross-event fraud-detection</w:t>
      </w:r>
      <w:r>
        <w:rPr>
          <w:rFonts w:ascii="Times New Roman" w:hAnsi="Times New Roman"/>
          <w:b w:val="0"/>
          <w:i w:val="0"/>
          <w:sz w:val="24"/>
        </w:rPr>
        <w:t xml:space="preserve"> layer for odometer, accident–insurance, and theft anomalies, together with an analytical </w:t>
      </w:r>
      <w:r>
        <w:rPr>
          <w:rFonts w:ascii="Times New Roman" w:hAnsi="Times New Roman"/>
          <w:b/>
          <w:i w:val="0"/>
          <w:sz w:val="24"/>
        </w:rPr>
        <w:t>minimum-linkability characterisation</w:t>
      </w:r>
      <w:r>
        <w:rPr>
          <w:rFonts w:ascii="Times New Roman" w:hAnsi="Times New Roman"/>
          <w:b w:val="0"/>
          <w:i w:val="0"/>
          <w:sz w:val="24"/>
        </w:rPr>
        <w:t xml:space="preserve"> of which rules fail first as pseudonym linkage is reduced; a </w:t>
      </w:r>
      <w:r>
        <w:rPr>
          <w:rFonts w:ascii="Times New Roman" w:hAnsi="Times New Roman"/>
          <w:b/>
          <w:i w:val="0"/>
          <w:sz w:val="24"/>
        </w:rPr>
        <w:t>hybrid on-chain/off-chain</w:t>
      </w:r>
      <w:r>
        <w:rPr>
          <w:rFonts w:ascii="Times New Roman" w:hAnsi="Times New Roman"/>
          <w:b w:val="0"/>
          <w:i w:val="0"/>
          <w:sz w:val="24"/>
        </w:rPr>
        <w:t xml:space="preserve"> data model aligned with Sri Lanka's Personal Data Protection Act (PDPA, No. 9 of 2022, as amended by Act No. 22 of 2025); and an empirical characterisation of the </w:t>
      </w:r>
      <w:r>
        <w:rPr>
          <w:rFonts w:ascii="Times New Roman" w:hAnsi="Times New Roman"/>
          <w:b/>
          <w:i w:val="0"/>
          <w:sz w:val="24"/>
        </w:rPr>
        <w:t>privacy-versus-detection trade-off</w:t>
      </w:r>
      <w:r>
        <w:rPr>
          <w:rFonts w:ascii="Times New Roman" w:hAnsi="Times New Roman"/>
          <w:b w:val="0"/>
          <w:i w:val="0"/>
          <w:sz w:val="24"/>
        </w:rPr>
        <w:t xml:space="preserve"> — framed as a risk-utility-map instance for a pseudonymous asset-ownership registry — identifying the point at which effective fraud detection would force de-pseudonymisation.</w:t>
      </w:r>
    </w:p>
    <w:p>
      <w:pPr>
        <w:jc w:val="both"/>
      </w:pPr>
      <w:r>
        <w:rPr>
          <w:rFonts w:ascii="Times New Roman" w:hAnsi="Times New Roman"/>
          <w:b w:val="0"/>
          <w:i w:val="0"/>
          <w:sz w:val="24"/>
        </w:rPr>
        <w:t>This interim report presents the completed introduction, literature review, research methodology, and system design, including a justified selection of a permissioned (consortium) blockchain over a public blockchain. It also reports the current implementation progress and the evaluation plan to be executed in the next phase. A supervisor-requested capability audit, conducted after the design phase and reported in §4.11 and Appendix C, additionally characterises the boundary of what the designed rules can and cannot detect across forty-eight documented real-world fraud subtypes, and establishes that every non-detection arises from one of four structural causes — two of which are properties of any registry rather than defects of this design, and one of which is a direct consequence of the privacy guarantee itself. That finding motivates the framing proposed for the final thesis in §8.1, in which the pseudonym linkage available to each fraud rule becomes an explicit, machine-enforced parameter and the checks the system cannot decide are declared to the prospective buyer rather than silently omitted.</w:t>
      </w:r>
    </w:p>
    <w:p>
      <w:r>
        <w:br w:type="page"/>
      </w:r>
    </w:p>
    <w:p>
      <w:pPr>
        <w:pStyle w:val="Heading1"/>
      </w:pPr>
      <w:r>
        <w:t>Acknowledgement</w:t>
      </w:r>
    </w:p>
    <w:p>
      <w:pPr>
        <w:jc w:val="both"/>
      </w:pPr>
      <w:r>
        <w:rPr>
          <w:rFonts w:ascii="Times New Roman" w:hAnsi="Times New Roman"/>
          <w:b w:val="0"/>
          <w:i w:val="0"/>
          <w:sz w:val="24"/>
        </w:rPr>
        <w:t>I would like to thank my project supervisor, Mr. Thisara Weerasinghe, for his continued guidance and feedback throughout the analysis and design phases of this project. I also thank the academic staff of the National Institute of Business Management (NIBM) and Coventry University for their support, and my family and peers for their encouragement.</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3960"/>
        <w:gridCol w:w="3960"/>
      </w:tblGrid>
      <w:tr>
        <w:tc>
          <w:tcPr>
            <w:tcW w:type="dxa" w:w="3960"/>
            <w:shd w:val="clear" w:fill="D9E2F3"/>
          </w:tcPr>
          <w:p>
            <w:pPr>
              <w:spacing w:after="40"/>
            </w:pPr>
            <w:r/>
            <w:r>
              <w:rPr>
                <w:rFonts w:ascii="Times New Roman" w:hAnsi="Times New Roman"/>
                <w:b/>
                <w:i w:val="0"/>
                <w:sz w:val="22"/>
              </w:rPr>
              <w:t>Abbreviation</w:t>
            </w:r>
          </w:p>
        </w:tc>
        <w:tc>
          <w:tcPr>
            <w:tcW w:type="dxa" w:w="3960"/>
            <w:shd w:val="clear" w:fill="D9E2F3"/>
          </w:tcPr>
          <w:p>
            <w:pPr>
              <w:spacing w:after="40"/>
            </w:pPr>
            <w:r/>
            <w:r>
              <w:rPr>
                <w:rFonts w:ascii="Times New Roman" w:hAnsi="Times New Roman"/>
                <w:b/>
                <w:i w:val="0"/>
                <w:sz w:val="22"/>
              </w:rPr>
              <w:t>Meaning</w:t>
            </w:r>
          </w:p>
        </w:tc>
      </w:tr>
      <w:tr>
        <w:tc>
          <w:tcPr>
            <w:tcW w:type="dxa" w:w="3960"/>
          </w:tcPr>
          <w:p>
            <w:pPr>
              <w:spacing w:after="40"/>
            </w:pPr>
            <w:r/>
            <w:r>
              <w:rPr>
                <w:rFonts w:ascii="Times New Roman" w:hAnsi="Times New Roman"/>
                <w:b w:val="0"/>
                <w:i w:val="0"/>
                <w:sz w:val="22"/>
              </w:rPr>
              <w:t>DMT</w:t>
            </w:r>
          </w:p>
        </w:tc>
        <w:tc>
          <w:tcPr>
            <w:tcW w:type="dxa" w:w="3960"/>
          </w:tcPr>
          <w:p>
            <w:pPr>
              <w:spacing w:after="40"/>
            </w:pPr>
            <w:r/>
            <w:r>
              <w:rPr>
                <w:rFonts w:ascii="Times New Roman" w:hAnsi="Times New Roman"/>
                <w:b w:val="0"/>
                <w:i w:val="0"/>
                <w:sz w:val="22"/>
              </w:rPr>
              <w:t>Department of Motor Traffic</w:t>
            </w:r>
          </w:p>
        </w:tc>
      </w:tr>
      <w:tr>
        <w:tc>
          <w:tcPr>
            <w:tcW w:type="dxa" w:w="3960"/>
          </w:tcPr>
          <w:p>
            <w:pPr>
              <w:spacing w:after="40"/>
            </w:pPr>
            <w:r/>
            <w:r>
              <w:rPr>
                <w:rFonts w:ascii="Times New Roman" w:hAnsi="Times New Roman"/>
                <w:b w:val="0"/>
                <w:i w:val="0"/>
                <w:sz w:val="22"/>
              </w:rPr>
              <w:t>PDPA</w:t>
            </w:r>
          </w:p>
        </w:tc>
        <w:tc>
          <w:tcPr>
            <w:tcW w:type="dxa" w:w="3960"/>
          </w:tcPr>
          <w:p>
            <w:pPr>
              <w:spacing w:after="40"/>
            </w:pPr>
            <w:r/>
            <w:r>
              <w:rPr>
                <w:rFonts w:ascii="Times New Roman" w:hAnsi="Times New Roman"/>
                <w:b w:val="0"/>
                <w:i w:val="0"/>
                <w:sz w:val="22"/>
              </w:rPr>
              <w:t>Personal Data Protection Act (No. 9 of 2022)</w:t>
            </w:r>
          </w:p>
        </w:tc>
      </w:tr>
      <w:tr>
        <w:tc>
          <w:tcPr>
            <w:tcW w:type="dxa" w:w="3960"/>
          </w:tcPr>
          <w:p>
            <w:pPr>
              <w:spacing w:after="40"/>
            </w:pPr>
            <w:r/>
            <w:r>
              <w:rPr>
                <w:rFonts w:ascii="Times New Roman" w:hAnsi="Times New Roman"/>
                <w:b w:val="0"/>
                <w:i w:val="0"/>
                <w:sz w:val="22"/>
              </w:rPr>
              <w:t>RBAC</w:t>
            </w:r>
          </w:p>
        </w:tc>
        <w:tc>
          <w:tcPr>
            <w:tcW w:type="dxa" w:w="3960"/>
          </w:tcPr>
          <w:p>
            <w:pPr>
              <w:spacing w:after="40"/>
            </w:pPr>
            <w:r/>
            <w:r>
              <w:rPr>
                <w:rFonts w:ascii="Times New Roman" w:hAnsi="Times New Roman"/>
                <w:b w:val="0"/>
                <w:i w:val="0"/>
                <w:sz w:val="22"/>
              </w:rPr>
              <w:t>Role-Based Access Control</w:t>
            </w:r>
          </w:p>
        </w:tc>
      </w:tr>
      <w:tr>
        <w:tc>
          <w:tcPr>
            <w:tcW w:type="dxa" w:w="3960"/>
          </w:tcPr>
          <w:p>
            <w:pPr>
              <w:spacing w:after="40"/>
            </w:pPr>
            <w:r/>
            <w:r>
              <w:rPr>
                <w:rFonts w:ascii="Times New Roman" w:hAnsi="Times New Roman"/>
                <w:b w:val="0"/>
                <w:i w:val="0"/>
                <w:sz w:val="22"/>
              </w:rPr>
              <w:t>PII</w:t>
            </w:r>
          </w:p>
        </w:tc>
        <w:tc>
          <w:tcPr>
            <w:tcW w:type="dxa" w:w="3960"/>
          </w:tcPr>
          <w:p>
            <w:pPr>
              <w:spacing w:after="40"/>
            </w:pPr>
            <w:r/>
            <w:r>
              <w:rPr>
                <w:rFonts w:ascii="Times New Roman" w:hAnsi="Times New Roman"/>
                <w:b w:val="0"/>
                <w:i w:val="0"/>
                <w:sz w:val="22"/>
              </w:rPr>
              <w:t>Personally Identifiable Information</w:t>
            </w:r>
          </w:p>
        </w:tc>
      </w:tr>
      <w:tr>
        <w:tc>
          <w:tcPr>
            <w:tcW w:type="dxa" w:w="3960"/>
          </w:tcPr>
          <w:p>
            <w:pPr>
              <w:spacing w:after="40"/>
            </w:pPr>
            <w:r/>
            <w:r>
              <w:rPr>
                <w:rFonts w:ascii="Times New Roman" w:hAnsi="Times New Roman"/>
                <w:b w:val="0"/>
                <w:i w:val="0"/>
                <w:sz w:val="22"/>
              </w:rPr>
              <w:t>MSP</w:t>
            </w:r>
          </w:p>
        </w:tc>
        <w:tc>
          <w:tcPr>
            <w:tcW w:type="dxa" w:w="3960"/>
          </w:tcPr>
          <w:p>
            <w:pPr>
              <w:spacing w:after="40"/>
            </w:pPr>
            <w:r/>
            <w:r>
              <w:rPr>
                <w:rFonts w:ascii="Times New Roman" w:hAnsi="Times New Roman"/>
                <w:b w:val="0"/>
                <w:i w:val="0"/>
                <w:sz w:val="22"/>
              </w:rPr>
              <w:t>Membership Service Provider (Hyperledger Fabric)</w:t>
            </w:r>
          </w:p>
        </w:tc>
      </w:tr>
      <w:tr>
        <w:tc>
          <w:tcPr>
            <w:tcW w:type="dxa" w:w="3960"/>
          </w:tcPr>
          <w:p>
            <w:pPr>
              <w:spacing w:after="40"/>
            </w:pPr>
            <w:r/>
            <w:r>
              <w:rPr>
                <w:rFonts w:ascii="Times New Roman" w:hAnsi="Times New Roman"/>
                <w:b w:val="0"/>
                <w:i w:val="0"/>
                <w:sz w:val="22"/>
              </w:rPr>
              <w:t>TPS</w:t>
            </w:r>
          </w:p>
        </w:tc>
        <w:tc>
          <w:tcPr>
            <w:tcW w:type="dxa" w:w="3960"/>
          </w:tcPr>
          <w:p>
            <w:pPr>
              <w:spacing w:after="40"/>
            </w:pPr>
            <w:r/>
            <w:r>
              <w:rPr>
                <w:rFonts w:ascii="Times New Roman" w:hAnsi="Times New Roman"/>
                <w:b w:val="0"/>
                <w:i w:val="0"/>
                <w:sz w:val="22"/>
              </w:rPr>
              <w:t>Transactions Per Second</w:t>
            </w:r>
          </w:p>
        </w:tc>
      </w:tr>
      <w:tr>
        <w:tc>
          <w:tcPr>
            <w:tcW w:type="dxa" w:w="3960"/>
          </w:tcPr>
          <w:p>
            <w:pPr>
              <w:spacing w:after="40"/>
            </w:pPr>
            <w:r/>
            <w:r>
              <w:rPr>
                <w:rFonts w:ascii="Times New Roman" w:hAnsi="Times New Roman"/>
                <w:b w:val="0"/>
                <w:i w:val="0"/>
                <w:sz w:val="22"/>
              </w:rPr>
              <w:t>DSR</w:t>
            </w:r>
          </w:p>
        </w:tc>
        <w:tc>
          <w:tcPr>
            <w:tcW w:type="dxa" w:w="3960"/>
          </w:tcPr>
          <w:p>
            <w:pPr>
              <w:spacing w:after="40"/>
            </w:pPr>
            <w:r/>
            <w:r>
              <w:rPr>
                <w:rFonts w:ascii="Times New Roman" w:hAnsi="Times New Roman"/>
                <w:b w:val="0"/>
                <w:i w:val="0"/>
                <w:sz w:val="22"/>
              </w:rPr>
              <w:t>Design Science Research</w:t>
            </w:r>
          </w:p>
        </w:tc>
      </w:tr>
      <w:tr>
        <w:tc>
          <w:tcPr>
            <w:tcW w:type="dxa" w:w="3960"/>
          </w:tcPr>
          <w:p>
            <w:pPr>
              <w:spacing w:after="40"/>
            </w:pPr>
            <w:r/>
            <w:r>
              <w:rPr>
                <w:rFonts w:ascii="Times New Roman" w:hAnsi="Times New Roman"/>
                <w:b w:val="0"/>
                <w:i w:val="0"/>
                <w:sz w:val="22"/>
              </w:rPr>
              <w:t>NIC</w:t>
            </w:r>
          </w:p>
        </w:tc>
        <w:tc>
          <w:tcPr>
            <w:tcW w:type="dxa" w:w="3960"/>
          </w:tcPr>
          <w:p>
            <w:pPr>
              <w:spacing w:after="40"/>
            </w:pPr>
            <w:r/>
            <w:r>
              <w:rPr>
                <w:rFonts w:ascii="Times New Roman" w:hAnsi="Times New Roman"/>
                <w:b w:val="0"/>
                <w:i w:val="0"/>
                <w:sz w:val="22"/>
              </w:rPr>
              <w:t>National Identity Card</w:t>
            </w:r>
          </w:p>
        </w:tc>
      </w:tr>
      <w:tr>
        <w:tc>
          <w:tcPr>
            <w:tcW w:type="dxa" w:w="3960"/>
          </w:tcPr>
          <w:p>
            <w:pPr>
              <w:spacing w:after="40"/>
            </w:pPr>
            <w:r/>
            <w:r>
              <w:rPr>
                <w:rFonts w:ascii="Times New Roman" w:hAnsi="Times New Roman"/>
                <w:b w:val="0"/>
                <w:i w:val="0"/>
                <w:sz w:val="22"/>
              </w:rPr>
              <w:t>VIN</w:t>
            </w:r>
          </w:p>
        </w:tc>
        <w:tc>
          <w:tcPr>
            <w:tcW w:type="dxa" w:w="3960"/>
          </w:tcPr>
          <w:p>
            <w:pPr>
              <w:spacing w:after="40"/>
            </w:pPr>
            <w:r/>
            <w:r>
              <w:rPr>
                <w:rFonts w:ascii="Times New Roman" w:hAnsi="Times New Roman"/>
                <w:b w:val="0"/>
                <w:i w:val="0"/>
                <w:sz w:val="22"/>
              </w:rPr>
              <w:t>Vehicle Identification Number</w:t>
            </w:r>
          </w:p>
        </w:tc>
      </w:tr>
      <w:tr>
        <w:tc>
          <w:tcPr>
            <w:tcW w:type="dxa" w:w="3960"/>
          </w:tcPr>
          <w:p>
            <w:pPr>
              <w:spacing w:after="40"/>
            </w:pPr>
            <w:r/>
            <w:r>
              <w:rPr>
                <w:rFonts w:ascii="Times New Roman" w:hAnsi="Times New Roman"/>
                <w:b w:val="0"/>
                <w:i w:val="0"/>
                <w:sz w:val="22"/>
              </w:rPr>
              <w:t>PoW / PoS</w:t>
            </w:r>
          </w:p>
        </w:tc>
        <w:tc>
          <w:tcPr>
            <w:tcW w:type="dxa" w:w="3960"/>
          </w:tcPr>
          <w:p>
            <w:pPr>
              <w:spacing w:after="40"/>
            </w:pPr>
            <w:r/>
            <w:r>
              <w:rPr>
                <w:rFonts w:ascii="Times New Roman" w:hAnsi="Times New Roman"/>
                <w:b w:val="0"/>
                <w:i w:val="0"/>
                <w:sz w:val="22"/>
              </w:rPr>
              <w:t>Proof of Work / Proof of Stake</w:t>
            </w:r>
          </w:p>
        </w:tc>
      </w:tr>
      <w:tr>
        <w:tc>
          <w:tcPr>
            <w:tcW w:type="dxa" w:w="3960"/>
          </w:tcPr>
          <w:p>
            <w:pPr>
              <w:spacing w:after="40"/>
            </w:pPr>
            <w:r/>
            <w:r>
              <w:rPr>
                <w:rFonts w:ascii="Times New Roman" w:hAnsi="Times New Roman"/>
                <w:b w:val="0"/>
                <w:i w:val="0"/>
                <w:sz w:val="22"/>
              </w:rPr>
              <w:t>BFT</w:t>
            </w:r>
          </w:p>
        </w:tc>
        <w:tc>
          <w:tcPr>
            <w:tcW w:type="dxa" w:w="3960"/>
          </w:tcPr>
          <w:p>
            <w:pPr>
              <w:spacing w:after="40"/>
            </w:pPr>
            <w:r/>
            <w:r>
              <w:rPr>
                <w:rFonts w:ascii="Times New Roman" w:hAnsi="Times New Roman"/>
                <w:b w:val="0"/>
                <w:i w:val="0"/>
                <w:sz w:val="22"/>
              </w:rPr>
              <w:t>Byzantine Fault Tolerance</w:t>
            </w:r>
          </w:p>
        </w:tc>
      </w:tr>
    </w:tbl>
    <w:p/>
    <w:p>
      <w:r>
        <w:br w:type="page"/>
      </w:r>
    </w:p>
    <w:p>
      <w:pPr>
        <w:pStyle w:val="Heading1"/>
      </w:pPr>
      <w:r>
        <w:t>Chapter 01: Introduction</w:t>
      </w:r>
    </w:p>
    <w:p>
      <w:pPr>
        <w:jc w:val="both"/>
      </w:pPr>
      <w:r>
        <w:rPr>
          <w:rFonts w:ascii="Times New Roman" w:hAnsi="Times New Roman"/>
          <w:b w:val="0"/>
          <w:i w:val="0"/>
          <w:sz w:val="24"/>
        </w:rPr>
        <w:t>Sri Lanka has a history of vehicle fraud in the used-vehicle market, including odometer rollback, hidden accident history, unreported theft history, and forged ownership documents. The existing vehicle registration and ownership-transfer system, which is primarily handled by the Department of Motor Traffic (DMT), is centralised, paper-based, and relies heavily on institutional trust. Blockchain technology offers a strong solution through immutable record keeping and decentralised trust. Transparency would prevent fraud, but it endangers the owner's privacy, and excessive privacy can be used by fraudsters to hide behind anonymity. This research fills the gap by introducing a privacy-preserving consortium blockchain architecture that uses conditional pseudonymous identities for vehicle owners and performs automated fraud detection, modelled on Sri Lanka's institutional context.</w:t>
      </w:r>
    </w:p>
    <w:p>
      <w:pPr>
        <w:pStyle w:val="Heading2"/>
      </w:pPr>
      <w:r>
        <w:t>Background</w:t>
      </w:r>
    </w:p>
    <w:p>
      <w:pPr>
        <w:jc w:val="both"/>
      </w:pPr>
      <w:r>
        <w:rPr>
          <w:rFonts w:ascii="Times New Roman" w:hAnsi="Times New Roman"/>
          <w:b w:val="0"/>
          <w:i w:val="0"/>
          <w:sz w:val="24"/>
        </w:rPr>
        <w:t>DMT records, police reports, insurance claims, emission certificates, and Customs data are isolated, need to be cross-checked manually, and can be easily forged. In March 2025 the Committee on Public Accounts (COPA) documented losses of approximately Rs. 1.2 billion arising from the fraudulent insertion of the engine and chassis numbers of illegally imported vehicles into existing registrations (Parliament of Sri Lanka, 2025). In a separate development in March 2026, COPA approved forwarding a report covering 25 cases of fraud, corruption, and irregularities at the DMT to the Attorney General (The Morning, 2026). The immutability of blockchain is reflected in tamper-proof recorded events, and prior studies in India (Yadav et al., 2023) and Sri Lanka (Malintha et al., 2024) demonstrate the technical feasibility of blockchain vehicle registries but pay limited attention to owner privacy and automated cross-event fraud detection.</w:t>
      </w:r>
    </w:p>
    <w:p>
      <w:pPr>
        <w:pStyle w:val="Heading2"/>
      </w:pPr>
      <w:r>
        <w:t>The Current Vehicle-Registry System (As-Is)</w:t>
      </w:r>
    </w:p>
    <w:p>
      <w:pPr>
        <w:jc w:val="both"/>
      </w:pPr>
      <w:r>
        <w:rPr>
          <w:rFonts w:ascii="Times New Roman" w:hAnsi="Times New Roman"/>
          <w:b w:val="0"/>
          <w:i w:val="0"/>
          <w:sz w:val="24"/>
        </w:rPr>
        <w:t xml:space="preserve">Sri Lanka's vehicle registry is operated by the Department of Motor Traffic (DMT) under the Motor Traffic Act (Chapter 203), administered by the Commissioner-General of Motor Traffic, who maintains the central register. On first registration the Commissioner-General assigns the distinctive registration number, records the applicant as owner, and issues a paper </w:t>
      </w:r>
      <w:r>
        <w:rPr>
          <w:rFonts w:ascii="Times New Roman" w:hAnsi="Times New Roman"/>
          <w:b/>
          <w:i w:val="0"/>
          <w:sz w:val="24"/>
        </w:rPr>
        <w:t>Certificate of Registration (CR)</w:t>
      </w:r>
      <w:r>
        <w:rPr>
          <w:rFonts w:ascii="Times New Roman" w:hAnsi="Times New Roman"/>
          <w:b w:val="0"/>
          <w:i w:val="0"/>
          <w:sz w:val="24"/>
        </w:rPr>
        <w:t>, which is prima facie legal evidence of ownership (Motor Traffic Act, s.9, s.17); for a leased or hire-purchase vehicle the financier is separately recorded as the "absolute owner" (Government of Sri Lanka, 2024). Ownership transfer is paper-driven: the seller completes the prescribed MTA-6 and MTA-8 forms, sends one copy to the Commissioner-General, and hands the remaining copies, the CR and a certified letter of no objection to the buyer, who submits them at the DMT Vehicle Transfer counter, receives a CMT-52 receipt, and must re-register within 14 days (Department of Motor Traffic, n.d.). The DMT's online eServices offers only vehicle-information lookup; first registration and transfer remain in-person and paper-based.</w:t>
      </w:r>
    </w:p>
    <w:p>
      <w:pPr>
        <w:pStyle w:val="Heading3"/>
      </w:pPr>
      <w:r>
        <w:t>Inter-Agency Data Sharing Today</w:t>
      </w:r>
    </w:p>
    <w:p>
      <w:pPr>
        <w:jc w:val="both"/>
      </w:pPr>
      <w:r>
        <w:rPr>
          <w:rFonts w:ascii="Times New Roman" w:hAnsi="Times New Roman"/>
          <w:b w:val="0"/>
          <w:i w:val="0"/>
          <w:sz w:val="24"/>
        </w:rPr>
        <w:t>A central question for this research is whether the DMT, Sri Lanka Police, Sri Lanka Customs, insurers and emission-testing centres share information through a connected database. The evidence shows partial, point-to-point integration rather than a unified registry:</w:t>
      </w:r>
    </w:p>
    <w:p>
      <w:pPr>
        <w:pStyle w:val="ListBullet"/>
      </w:pPr>
      <w:r>
        <w:rPr>
          <w:rFonts w:ascii="Times New Roman" w:hAnsi="Times New Roman"/>
          <w:b w:val="0"/>
          <w:i w:val="0"/>
          <w:sz w:val="24"/>
        </w:rPr>
        <w:t xml:space="preserve">The </w:t>
      </w:r>
      <w:r>
        <w:rPr>
          <w:rFonts w:ascii="Times New Roman" w:hAnsi="Times New Roman"/>
          <w:b/>
          <w:i w:val="0"/>
          <w:sz w:val="24"/>
        </w:rPr>
        <w:t>Electronic Revenue Licence (eRL / eRL 2.0)</w:t>
      </w:r>
      <w:r>
        <w:rPr>
          <w:rFonts w:ascii="Times New Roman" w:hAnsi="Times New Roman"/>
          <w:b w:val="0"/>
          <w:i w:val="0"/>
          <w:sz w:val="24"/>
        </w:rPr>
        <w:t xml:space="preserve"> system, built by ICTA with the Provincial Departments of Motor Traffic, is the one routine automated cross-organisation check in the lifecycle: when a revenue licence is issued, eRL calls web services that validate the vehicle's insurance certificate against the insurer's system and the emission (VET) certificate against the testing company's system in real time, and it imports new-registration and transfer data from a DMT web service (ICTA, 2019). The system spans all nine provinces and 331 Divisional Secretariats and serves about six million users a year (ICTA, 2023).</w:t>
      </w:r>
    </w:p>
    <w:p>
      <w:pPr>
        <w:pStyle w:val="ListBullet"/>
      </w:pPr>
      <w:r>
        <w:rPr>
          <w:rFonts w:ascii="Times New Roman" w:hAnsi="Times New Roman"/>
          <w:b w:val="0"/>
          <w:i w:val="0"/>
          <w:sz w:val="24"/>
        </w:rPr>
        <w:t xml:space="preserve">Crucially, this integration </w:t>
      </w:r>
      <w:r>
        <w:rPr>
          <w:rFonts w:ascii="Times New Roman" w:hAnsi="Times New Roman"/>
          <w:b/>
          <w:i w:val="0"/>
          <w:sz w:val="24"/>
        </w:rPr>
        <w:t>does not include Sri Lanka Police or Sri Lanka Customs</w:t>
      </w:r>
      <w:r>
        <w:rPr>
          <w:rFonts w:ascii="Times New Roman" w:hAnsi="Times New Roman"/>
          <w:b w:val="0"/>
          <w:i w:val="0"/>
          <w:sz w:val="24"/>
        </w:rPr>
        <w:t>, and the DMT link is a one-directional data sync into the licensing database, not a shared, bidirectional registry (ICTA, 2019).</w:t>
      </w:r>
    </w:p>
    <w:p>
      <w:pPr>
        <w:pStyle w:val="ListBullet"/>
      </w:pPr>
      <w:r>
        <w:rPr>
          <w:rFonts w:ascii="Times New Roman" w:hAnsi="Times New Roman"/>
          <w:b w:val="0"/>
          <w:i w:val="0"/>
          <w:sz w:val="24"/>
        </w:rPr>
        <w:t xml:space="preserve">The </w:t>
      </w:r>
      <w:r>
        <w:rPr>
          <w:rFonts w:ascii="Times New Roman" w:hAnsi="Times New Roman"/>
          <w:b/>
          <w:i w:val="0"/>
          <w:sz w:val="24"/>
        </w:rPr>
        <w:t>Customs-to-DMT</w:t>
      </w:r>
      <w:r>
        <w:rPr>
          <w:rFonts w:ascii="Times New Roman" w:hAnsi="Times New Roman"/>
          <w:b w:val="0"/>
          <w:i w:val="0"/>
          <w:sz w:val="24"/>
        </w:rPr>
        <w:t xml:space="preserve"> handoff at first registration is document-driven: the importer physically presents Customs paperwork (the "Customs Link", duty-assessment notice and export certificate) at the DMT counter; no automated feed is published (Department of Motor Traffic, n.d.).</w:t>
      </w:r>
    </w:p>
    <w:p>
      <w:pPr>
        <w:pStyle w:val="ListBullet"/>
      </w:pPr>
      <w:r>
        <w:rPr>
          <w:rFonts w:ascii="Times New Roman" w:hAnsi="Times New Roman"/>
          <w:b/>
          <w:i w:val="0"/>
          <w:sz w:val="24"/>
        </w:rPr>
        <w:t>Ownership transfer, theft reporting, accident records, odometer/mileage history and insurance claims are not held in any shared cross-agency database.</w:t>
      </w:r>
      <w:r>
        <w:rPr>
          <w:rFonts w:ascii="Times New Roman" w:hAnsi="Times New Roman"/>
          <w:b w:val="0"/>
          <w:i w:val="0"/>
          <w:sz w:val="24"/>
        </w:rPr>
        <w:t xml:space="preserve"> Theft is reported to the Police and evidenced by a paper complaint copy; there is no electronic stolen-vehicle check in the transfer flow.</w:t>
      </w:r>
    </w:p>
    <w:p>
      <w:pPr>
        <w:jc w:val="both"/>
      </w:pPr>
      <w:r>
        <w:rPr>
          <w:rFonts w:ascii="Times New Roman" w:hAnsi="Times New Roman"/>
          <w:b w:val="0"/>
          <w:i w:val="0"/>
          <w:sz w:val="24"/>
        </w:rPr>
        <w:t>In short, Sri Lanka already proves that real-time multi-party verification is achievable — eRL integrates the DMT, insurers and emission centres — but there is no unified ownership-and-lifecycle view across all five parties, and the most fraud-sensitive events (transfer, theft and odometer history) are still siloed and manually cross-checked. This fragmentation, combined with a forgeable paper CR, is what enables the documented fraud: the Commission to Investigate Allegations of Bribery or Corruption found nearly 400 un-Customs-cleared vehicles fraudulently entered into the DMT database (CIABOC, 2024), and the Committee on Public Accounts documented an Rs. 1.2 billion loss from cloning engine and chassis numbers onto existing registrations (Parliament of Sri Lanka, 2025). Figure 1.1 summarises the current data-sharing landscape.</w:t>
      </w:r>
    </w:p>
    <w:p>
      <w:pPr>
        <w:jc w:val="center"/>
      </w:pPr>
      <w:r>
        <w:drawing>
          <wp:inline xmlns:a="http://schemas.openxmlformats.org/drawingml/2006/main" xmlns:pic="http://schemas.openxmlformats.org/drawingml/2006/picture">
            <wp:extent cx="5029200" cy="3739986"/>
            <wp:docPr id="3" name="Picture 3"/>
            <wp:cNvGraphicFramePr>
              <a:graphicFrameLocks noChangeAspect="1"/>
            </wp:cNvGraphicFramePr>
            <a:graphic>
              <a:graphicData uri="http://schemas.openxmlformats.org/drawingml/2006/picture">
                <pic:pic>
                  <pic:nvPicPr>
                    <pic:cNvPr id="0" name="fig_asis_dataflow.png"/>
                    <pic:cNvPicPr/>
                  </pic:nvPicPr>
                  <pic:blipFill>
                    <a:blip r:embed="rId11"/>
                    <a:stretch>
                      <a:fillRect/>
                    </a:stretch>
                  </pic:blipFill>
                  <pic:spPr>
                    <a:xfrm>
                      <a:off x="0" y="0"/>
                      <a:ext cx="5029200" cy="3739986"/>
                    </a:xfrm>
                    <a:prstGeom prst="rect"/>
                  </pic:spPr>
                </pic:pic>
              </a:graphicData>
            </a:graphic>
          </wp:inline>
        </w:drawing>
      </w:r>
    </w:p>
    <w:p>
      <w:pPr>
        <w:jc w:val="center"/>
      </w:pPr>
      <w:r>
        <w:rPr>
          <w:i/>
          <w:sz w:val="20"/>
        </w:rPr>
        <w:t>Figure 1.1 — Current ("as-is") vehicle-data landscape in Sri Lanka: the eRL system integrates the DMT, insurers and emission centres at licence issuance, while Customs is document-driven and Police, transfer, theft, accident and odometer records remain siloed.</w:t>
      </w:r>
    </w:p>
    <w:p>
      <w:pPr>
        <w:pStyle w:val="Heading2"/>
      </w:pPr>
      <w:r>
        <w:t>Research Problem</w:t>
      </w:r>
    </w:p>
    <w:p>
      <w:pPr>
        <w:jc w:val="both"/>
      </w:pPr>
      <w:r>
        <w:rPr>
          <w:rFonts w:ascii="Times New Roman" w:hAnsi="Times New Roman"/>
          <w:b w:val="0"/>
          <w:i w:val="0"/>
          <w:sz w:val="24"/>
        </w:rPr>
        <w:t>Although blockchain registries have been shown to be feasible, the core issue remains: the existing systems force a choice between two extremes. Transparent ledgers expose vehicle owners' sensitive data (NIC, addresses), while private ledgers hide fraudsters from accountability. Malintha et al. (2024), the only peer-reviewed Sri Lankan registry, publishes owner identities on a public Ethereum deployment without pseudonymity or PDPA alignment. Yadav et al. (2023) ties accident and insurance records to real-world identities without a conditional reveal mechanism. Souei et al. (2025) detects insurance fraud but ignores privacy and registration. To the best of our knowledge, no existing work brings conditional pseudonymity, rule-based cross-event fraud detection, and PDPA (2022) compliance together for the Sri Lankan vehicle-registration context — and the balance between detecting fraud and preserving owner privacy has not been measured for an ownership registry of this kind.</w:t>
      </w:r>
    </w:p>
    <w:p>
      <w:pPr>
        <w:pStyle w:val="Heading2"/>
      </w:pPr>
      <w:r>
        <w:t>Aim</w:t>
      </w:r>
    </w:p>
    <w:p>
      <w:pPr>
        <w:jc w:val="both"/>
      </w:pPr>
      <w:r>
        <w:rPr>
          <w:rFonts w:ascii="Times New Roman" w:hAnsi="Times New Roman"/>
          <w:b w:val="0"/>
          <w:i w:val="0"/>
          <w:sz w:val="24"/>
        </w:rPr>
        <w:t>To design, implement, and evaluate a blockchain-based privacy-preserving vehicle ownership and lifecycle registry prototype that implements conditional pseudonymity for owner identities and automated fraud detection for the Sri Lankan vehicle ecosystem.</w:t>
      </w:r>
    </w:p>
    <w:p>
      <w:pPr>
        <w:pStyle w:val="Heading2"/>
      </w:pPr>
      <w:r>
        <w:t>Objectives of the Project</w:t>
      </w:r>
    </w:p>
    <w:p>
      <w:pPr>
        <w:pStyle w:val="ListBullet"/>
      </w:pPr>
      <w:r>
        <w:rPr>
          <w:rFonts w:ascii="Times New Roman" w:hAnsi="Times New Roman"/>
          <w:b/>
          <w:i w:val="0"/>
          <w:sz w:val="24"/>
        </w:rPr>
        <w:t>SO1</w:t>
      </w:r>
      <w:r>
        <w:rPr>
          <w:rFonts w:ascii="Times New Roman" w:hAnsi="Times New Roman"/>
          <w:b w:val="0"/>
          <w:i w:val="0"/>
          <w:sz w:val="24"/>
        </w:rPr>
        <w:t xml:space="preserve"> — Find the limitations of the currently implemented system in the DMT through stakeholder analysis.</w:t>
      </w:r>
    </w:p>
    <w:p>
      <w:pPr>
        <w:pStyle w:val="ListBullet"/>
      </w:pPr>
      <w:r>
        <w:rPr>
          <w:rFonts w:ascii="Times New Roman" w:hAnsi="Times New Roman"/>
          <w:b/>
          <w:i w:val="0"/>
          <w:sz w:val="24"/>
        </w:rPr>
        <w:t>SO2</w:t>
      </w:r>
      <w:r>
        <w:rPr>
          <w:rFonts w:ascii="Times New Roman" w:hAnsi="Times New Roman"/>
          <w:b w:val="0"/>
          <w:i w:val="0"/>
          <w:sz w:val="24"/>
        </w:rPr>
        <w:t xml:space="preserve"> — Design a conditional pseudonym model in which on-chain pseudonyms are unlinkable to real identities by default, and identity reveal requires a governed, multi-party (threshold) authorisation held jointly across consortium authorities.</w:t>
      </w:r>
    </w:p>
    <w:p>
      <w:pPr>
        <w:pStyle w:val="ListBullet"/>
      </w:pPr>
      <w:r>
        <w:rPr>
          <w:rFonts w:ascii="Times New Roman" w:hAnsi="Times New Roman"/>
          <w:b/>
          <w:i w:val="0"/>
          <w:sz w:val="24"/>
        </w:rPr>
        <w:t>SO3</w:t>
      </w:r>
      <w:r>
        <w:rPr>
          <w:rFonts w:ascii="Times New Roman" w:hAnsi="Times New Roman"/>
          <w:b w:val="0"/>
          <w:i w:val="0"/>
          <w:sz w:val="24"/>
        </w:rPr>
        <w:t xml:space="preserve"> — Develop a rule-based detection algorithm for odometer events, accident and insurance mismatches, and theft.</w:t>
      </w:r>
    </w:p>
    <w:p>
      <w:pPr>
        <w:pStyle w:val="ListBullet"/>
      </w:pPr>
      <w:r>
        <w:rPr>
          <w:rFonts w:ascii="Times New Roman" w:hAnsi="Times New Roman"/>
          <w:b/>
          <w:i w:val="0"/>
          <w:sz w:val="24"/>
        </w:rPr>
        <w:t>SO4</w:t>
      </w:r>
      <w:r>
        <w:rPr>
          <w:rFonts w:ascii="Times New Roman" w:hAnsi="Times New Roman"/>
          <w:b w:val="0"/>
          <w:i w:val="0"/>
          <w:sz w:val="24"/>
        </w:rPr>
        <w:t xml:space="preserve"> — Define a hybrid on-chain/off-chain architecture that keeps personal data off-chain.</w:t>
      </w:r>
    </w:p>
    <w:p>
      <w:pPr>
        <w:pStyle w:val="ListBullet"/>
      </w:pPr>
      <w:r>
        <w:rPr>
          <w:rFonts w:ascii="Times New Roman" w:hAnsi="Times New Roman"/>
          <w:b/>
          <w:i w:val="0"/>
          <w:sz w:val="24"/>
        </w:rPr>
        <w:t>SO5</w:t>
      </w:r>
      <w:r>
        <w:rPr>
          <w:rFonts w:ascii="Times New Roman" w:hAnsi="Times New Roman"/>
          <w:b w:val="0"/>
          <w:i w:val="0"/>
          <w:sz w:val="24"/>
        </w:rPr>
        <w:t xml:space="preserve"> — Implement smart contracts with role-based access control on Hyperledger Fabric.</w:t>
      </w:r>
    </w:p>
    <w:p>
      <w:pPr>
        <w:pStyle w:val="ListBullet"/>
      </w:pPr>
      <w:r>
        <w:rPr>
          <w:rFonts w:ascii="Times New Roman" w:hAnsi="Times New Roman"/>
          <w:b/>
          <w:i w:val="0"/>
          <w:sz w:val="24"/>
        </w:rPr>
        <w:t>SO6</w:t>
      </w:r>
      <w:r>
        <w:rPr>
          <w:rFonts w:ascii="Times New Roman" w:hAnsi="Times New Roman"/>
          <w:b w:val="0"/>
          <w:i w:val="0"/>
          <w:sz w:val="24"/>
        </w:rPr>
        <w:t xml:space="preserve"> — Evaluate the privacy, fraud-detection accuracy, and performance of the system.</w:t>
      </w:r>
    </w:p>
    <w:p>
      <w:pPr>
        <w:pStyle w:val="Heading2"/>
      </w:pPr>
      <w:r>
        <w:t>Research Questions</w:t>
      </w:r>
    </w:p>
    <w:p>
      <w:pPr>
        <w:pStyle w:val="ListBullet"/>
      </w:pPr>
      <w:r>
        <w:rPr>
          <w:rFonts w:ascii="Times New Roman" w:hAnsi="Times New Roman"/>
          <w:b/>
          <w:i w:val="0"/>
          <w:sz w:val="24"/>
        </w:rPr>
        <w:t>RQ1</w:t>
      </w:r>
      <w:r>
        <w:rPr>
          <w:rFonts w:ascii="Times New Roman" w:hAnsi="Times New Roman"/>
          <w:b w:val="0"/>
          <w:i w:val="0"/>
          <w:sz w:val="24"/>
        </w:rPr>
        <w:t xml:space="preserve"> — What are the privacy and fraud-detection gaps in the current vehicle registration system?</w:t>
      </w:r>
    </w:p>
    <w:p>
      <w:pPr>
        <w:pStyle w:val="ListBullet"/>
      </w:pPr>
      <w:r>
        <w:rPr>
          <w:rFonts w:ascii="Times New Roman" w:hAnsi="Times New Roman"/>
          <w:b/>
          <w:i w:val="0"/>
          <w:sz w:val="24"/>
        </w:rPr>
        <w:t>RQ2</w:t>
      </w:r>
      <w:r>
        <w:rPr>
          <w:rFonts w:ascii="Times New Roman" w:hAnsi="Times New Roman"/>
          <w:b w:val="0"/>
          <w:i w:val="0"/>
          <w:sz w:val="24"/>
        </w:rPr>
        <w:t xml:space="preserve"> — How does conditional pseudonymity protect an owner's identity while allowing an authorised reveal?</w:t>
      </w:r>
    </w:p>
    <w:p>
      <w:pPr>
        <w:pStyle w:val="ListBullet"/>
      </w:pPr>
      <w:r>
        <w:rPr>
          <w:rFonts w:ascii="Times New Roman" w:hAnsi="Times New Roman"/>
          <w:b/>
          <w:i w:val="0"/>
          <w:sz w:val="24"/>
        </w:rPr>
        <w:t>RQ3</w:t>
      </w:r>
      <w:r>
        <w:rPr>
          <w:rFonts w:ascii="Times New Roman" w:hAnsi="Times New Roman"/>
          <w:b w:val="0"/>
          <w:i w:val="0"/>
          <w:sz w:val="24"/>
        </w:rPr>
        <w:t xml:space="preserve"> — Which rule-based algorithms can be used to detect cross-event vehicle fraud?</w:t>
      </w:r>
    </w:p>
    <w:p>
      <w:pPr>
        <w:pStyle w:val="ListBullet"/>
      </w:pPr>
      <w:r>
        <w:rPr>
          <w:rFonts w:ascii="Times New Roman" w:hAnsi="Times New Roman"/>
          <w:b/>
          <w:i w:val="0"/>
          <w:sz w:val="24"/>
        </w:rPr>
        <w:t>RQ4</w:t>
      </w:r>
      <w:r>
        <w:rPr>
          <w:rFonts w:ascii="Times New Roman" w:hAnsi="Times New Roman"/>
          <w:b w:val="0"/>
          <w:i w:val="0"/>
          <w:sz w:val="24"/>
        </w:rPr>
        <w:t xml:space="preserve"> — How can this architecture comply with the PDPA (2022) despite blockchain immutability?</w:t>
      </w:r>
    </w:p>
    <w:p>
      <w:pPr>
        <w:pStyle w:val="Heading2"/>
      </w:pPr>
      <w:r>
        <w:t>Scope of the Research</w:t>
      </w:r>
    </w:p>
    <w:p>
      <w:pPr>
        <w:jc w:val="both"/>
      </w:pPr>
      <w:r>
        <w:rPr>
          <w:rFonts w:ascii="Times New Roman" w:hAnsi="Times New Roman"/>
          <w:b w:val="0"/>
          <w:i w:val="0"/>
          <w:sz w:val="24"/>
        </w:rPr>
        <w:t>This research focuses on the Sri Lankan vehicle-registration scenario within the DMT and includes seven lifecycle events: registration, ownership transfer, accident reporting, insurance claims, mileage reporting, theft reporting, and emission certification. The prototype is implemented on Hyperledger Fabric as a consortium of the DMT, Sri Lanka Police, Customs, insurers, and emission-testing centres. Out of scope are vehicle-to-vehicle communication and cross-border imports beyond Customs declarations. Evaluation is limited to simulated datasets and lab-scale test networks rather than production deployment.</w:t>
      </w:r>
    </w:p>
    <w:p>
      <w:r>
        <w:br w:type="page"/>
      </w:r>
    </w:p>
    <w:p>
      <w:pPr>
        <w:pStyle w:val="Heading1"/>
      </w:pPr>
      <w:r>
        <w:t>Chapter 02: Literature Review</w:t>
      </w:r>
    </w:p>
    <w:p>
      <w:pPr>
        <w:jc w:val="both"/>
      </w:pPr>
      <w:r>
        <w:rPr>
          <w:rFonts w:ascii="Times New Roman" w:hAnsi="Times New Roman"/>
          <w:b w:val="0"/>
          <w:i w:val="0"/>
          <w:sz w:val="24"/>
        </w:rPr>
        <w:t>This literature review explores findings on blockchain-based vehicle registries, privacy and pseudonymity techniques in automotive systems, and fraud detection in the vehicle domain. It places the proposed solution alongside other research, compares them, and identifies the specific gaps that remain unaddressed. A total of three recent studies are reviewed, spanning vehicle registries in India, Sri Lanka, and Tunisia, published between 2023 and 2025.</w:t>
      </w:r>
    </w:p>
    <w:p>
      <w:pPr>
        <w:pStyle w:val="Heading2"/>
      </w:pPr>
      <w:r>
        <w:t>Findings by Other Researchers</w:t>
      </w:r>
    </w:p>
    <w:p>
      <w:pPr>
        <w:jc w:val="both"/>
      </w:pPr>
      <w:r>
        <w:rPr>
          <w:rFonts w:ascii="Times New Roman" w:hAnsi="Times New Roman"/>
          <w:b w:val="0"/>
          <w:i w:val="0"/>
          <w:sz w:val="24"/>
        </w:rPr>
        <w:t xml:space="preserve">Malintha et al. (2024) proposed the only </w:t>
      </w:r>
      <w:r>
        <w:rPr>
          <w:rFonts w:ascii="Times New Roman" w:hAnsi="Times New Roman"/>
          <w:b w:val="0"/>
          <w:i/>
          <w:sz w:val="24"/>
        </w:rPr>
        <w:t>peer-reviewed</w:t>
      </w:r>
      <w:r>
        <w:rPr>
          <w:rFonts w:ascii="Times New Roman" w:hAnsi="Times New Roman"/>
          <w:b w:val="0"/>
          <w:i w:val="0"/>
          <w:sz w:val="24"/>
        </w:rPr>
        <w:t xml:space="preserve"> Sri Lanka–specific blockchain-based vehicle registry system to date. It supports registering vehicles, issuing certificates, transferring ownership, and viewing ownership history. It is built on a public Ethereum deployment (evaluated on the Rinkeby testnet and a private Ganache/Geth setup, not mainnet), so vehicle details would be publicly viewable and it does not use pseudonymous owner identifiers or off-chain PII storage; it does not address the Personal Data Protection Act of Sri Lanka (2022). Three earlier, non-peer-reviewed Sri Lankan dissertations address closely related problems and are cited here for completeness rather than omitted: Samarakkody (2021), </w:t>
      </w:r>
      <w:r>
        <w:rPr>
          <w:rFonts w:ascii="Times New Roman" w:hAnsi="Times New Roman"/>
          <w:b w:val="0"/>
          <w:i/>
          <w:sz w:val="24"/>
        </w:rPr>
        <w:t>TRUECARE</w:t>
      </w:r>
      <w:r>
        <w:rPr>
          <w:rFonts w:ascii="Times New Roman" w:hAnsi="Times New Roman"/>
          <w:b w:val="0"/>
          <w:i w:val="0"/>
          <w:sz w:val="24"/>
        </w:rPr>
        <w:t xml:space="preserve">, an Ethereum+IPFS system uniting the RMV/DMT, insurers, leasing, emission testing and service stations against odometer tampering, hidden accidents and stolen vehicles (Malintha et al. themselves cite this work); Tissera (2022), </w:t>
      </w:r>
      <w:r>
        <w:rPr>
          <w:rFonts w:ascii="Times New Roman" w:hAnsi="Times New Roman"/>
          <w:b w:val="0"/>
          <w:i/>
          <w:sz w:val="24"/>
        </w:rPr>
        <w:t>Legit-Ride</w:t>
      </w:r>
      <w:r>
        <w:rPr>
          <w:rFonts w:ascii="Times New Roman" w:hAnsi="Times New Roman"/>
          <w:b w:val="0"/>
          <w:i w:val="0"/>
          <w:sz w:val="24"/>
        </w:rPr>
        <w:t>, a proposed blockchain replacement for the DMT registration workflow; and Wijewardena (2020), a cross-insurer blockchain claims-history platform against vehicle-insurance fraud. None of the three provides owner pseudonymity, a governed identity-reveal mechanism, PDPA alignment, or deterministic cross-event fraud rules.</w:t>
      </w:r>
    </w:p>
    <w:p>
      <w:pPr>
        <w:jc w:val="both"/>
      </w:pPr>
      <w:r>
        <w:rPr>
          <w:rFonts w:ascii="Times New Roman" w:hAnsi="Times New Roman"/>
          <w:b w:val="0"/>
          <w:i w:val="0"/>
          <w:sz w:val="24"/>
        </w:rPr>
        <w:t>Yadav et al. (2023) proposed a Hyperledger Fabric–based system for accident reporting and insurance claims in India. It runs as a single Hyperledger Composer network with access-control-list rules and ECC-based signatures rather than Fabric's multi-channel partitioning, does not provide pseudonyms for individual identity protection, and focuses only on accident and insurance events.</w:t>
      </w:r>
    </w:p>
    <w:p>
      <w:pPr>
        <w:jc w:val="both"/>
      </w:pPr>
      <w:r>
        <w:rPr>
          <w:rFonts w:ascii="Times New Roman" w:hAnsi="Times New Roman"/>
          <w:b w:val="0"/>
          <w:i w:val="0"/>
          <w:sz w:val="24"/>
        </w:rPr>
        <w:t>Souei et al. (2025) in Tunisia proposed a fraud-detection and vehicle-damage assessment system based on a blockchain, using Ethereum smart contracts and machine learning (Mask R-CNN, XGBoost) for insurance-claim fraud. While innovative in its ML approach, it lacks any focus on privacy, is limited to insurance fraud, and is not integrated with a vehicle registration system.</w:t>
      </w:r>
    </w:p>
    <w:p>
      <w:pPr>
        <w:pStyle w:val="Heading2"/>
      </w:pPr>
      <w:r>
        <w:t>The Research Gap</w:t>
      </w:r>
    </w:p>
    <w:p>
      <w:pPr>
        <w:jc w:val="both"/>
      </w:pPr>
      <w:r>
        <w:rPr>
          <w:rFonts w:ascii="Times New Roman" w:hAnsi="Times New Roman"/>
          <w:b w:val="0"/>
          <w:i w:val="0"/>
          <w:sz w:val="24"/>
        </w:rPr>
        <w:t>The comparative analysis of the reviewed research, read alongside the wider literature on vehicular privacy and blockchain fraud detection — and a subsequent adversarial novelty audit against 107 additional prior works (</w:t>
      </w:r>
      <w:r>
        <w:rPr>
          <w:rFonts w:ascii="Times New Roman" w:hAnsi="Times New Roman"/>
          <w:b w:val="0"/>
          <w:i w:val="0"/>
          <w:sz w:val="24"/>
        </w:rPr>
        <w:t>NOVELTY_AUDIT.md</w:t>
      </w:r>
      <w:r>
        <w:rPr>
          <w:rFonts w:ascii="Times New Roman" w:hAnsi="Times New Roman"/>
          <w:b w:val="0"/>
          <w:i w:val="0"/>
          <w:sz w:val="24"/>
        </w:rPr>
        <w:t xml:space="preserve">) — shows six areas that remain under-served for a Sri Lankan vehicle </w:t>
      </w:r>
      <w:r>
        <w:rPr>
          <w:rFonts w:ascii="Times New Roman" w:hAnsi="Times New Roman"/>
          <w:b w:val="0"/>
          <w:i/>
          <w:sz w:val="24"/>
        </w:rPr>
        <w:t>ownership</w:t>
      </w:r>
      <w:r>
        <w:rPr>
          <w:rFonts w:ascii="Times New Roman" w:hAnsi="Times New Roman"/>
          <w:b w:val="0"/>
          <w:i w:val="0"/>
          <w:sz w:val="24"/>
        </w:rPr>
        <w:t xml:space="preserve"> registry, each now stated as a positioned differentiation rather than a bare negative. </w:t>
      </w:r>
      <w:r>
        <w:rPr>
          <w:rFonts w:ascii="Times New Roman" w:hAnsi="Times New Roman"/>
          <w:b/>
          <w:i w:val="0"/>
          <w:sz w:val="24"/>
        </w:rPr>
        <w:t>Gap 1 (G1):</w:t>
      </w:r>
      <w:r>
        <w:rPr>
          <w:rFonts w:ascii="Times New Roman" w:hAnsi="Times New Roman"/>
          <w:b w:val="0"/>
          <w:i w:val="0"/>
          <w:sz w:val="24"/>
        </w:rPr>
        <w:t xml:space="preserve"> Persistent owner pseudonymity, gated by a </w:t>
      </w:r>
      <w:r>
        <w:rPr>
          <w:rFonts w:ascii="Times New Roman" w:hAnsi="Times New Roman"/>
          <w:b w:val="0"/>
          <w:i/>
          <w:sz w:val="24"/>
        </w:rPr>
        <w:t>quorum of the actual custodial agencies</w:t>
      </w:r>
      <w:r>
        <w:rPr>
          <w:rFonts w:ascii="Times New Roman" w:hAnsi="Times New Roman"/>
          <w:b w:val="0"/>
          <w:i w:val="0"/>
          <w:sz w:val="24"/>
        </w:rPr>
        <w:t xml:space="preserve"> and coupled to an on-chain fraud flag, is not applied in any located vehicle ownership registry — the reviewed registry systems (Malintha, Yadav) use real owner identities, and the closest mechanism precedents (Concordium's deployed M-of-N anonymity revokers; Kamara et al., 2021, for a national gun-ownership registry; SeDe, Chaudhary &amp; Ivey-Law, 2023; PEReDi, Sarencheh et al., 2022) do not target an ownership-and-lifecycle registry where the pseudonym must also stay linkable for cross-event fraud rules. This is addressed by the Conditional Pseudonym Model. </w:t>
      </w:r>
      <w:r>
        <w:rPr>
          <w:rFonts w:ascii="Times New Roman" w:hAnsi="Times New Roman"/>
          <w:b/>
          <w:i w:val="0"/>
          <w:sz w:val="24"/>
        </w:rPr>
        <w:t>Gap 2 (G2):</w:t>
      </w:r>
      <w:r>
        <w:rPr>
          <w:rFonts w:ascii="Times New Roman" w:hAnsi="Times New Roman"/>
          <w:b w:val="0"/>
          <w:i w:val="0"/>
          <w:sz w:val="24"/>
        </w:rPr>
        <w:t xml:space="preserve"> Conditional identity reveal, although an established primitive in vehicular-network schemes, in Hyperledger Fabric (Idemix; Bogatov et al., 2019), and in the deployed US Security Credential Management System (Brecht et al., 2018), has not been applied to owner identity in a registry that hides identity by default, reveals it only under authorised multi-party conditions, </w:t>
      </w:r>
      <w:r>
        <w:rPr>
          <w:rFonts w:ascii="Times New Roman" w:hAnsi="Times New Roman"/>
          <w:b w:val="0"/>
          <w:i/>
          <w:sz w:val="24"/>
        </w:rPr>
        <w:t>and</w:t>
      </w:r>
      <w:r>
        <w:rPr>
          <w:rFonts w:ascii="Times New Roman" w:hAnsi="Times New Roman"/>
          <w:b w:val="0"/>
          <w:i w:val="0"/>
          <w:sz w:val="24"/>
        </w:rPr>
        <w:t xml:space="preserve"> machine-validates that the request cites an existing on-chain fraud flag before a human quorum signs off — this policy-coupled condition is absent from every located precedent and is addressed by the Multi-Party Reveal Protocol. </w:t>
      </w:r>
      <w:r>
        <w:rPr>
          <w:rFonts w:ascii="Times New Roman" w:hAnsi="Times New Roman"/>
          <w:b/>
          <w:i w:val="0"/>
          <w:sz w:val="24"/>
        </w:rPr>
        <w:t>Gap 3 (G3):</w:t>
      </w:r>
      <w:r>
        <w:rPr>
          <w:rFonts w:ascii="Times New Roman" w:hAnsi="Times New Roman"/>
          <w:b w:val="0"/>
          <w:i w:val="0"/>
          <w:sz w:val="24"/>
        </w:rPr>
        <w:t xml:space="preserve"> Full-lifecycle blockchain registries exist — the Swiss </w:t>
      </w:r>
      <w:r>
        <w:rPr>
          <w:rFonts w:ascii="Times New Roman" w:hAnsi="Times New Roman"/>
          <w:b/>
          <w:i w:val="0"/>
          <w:sz w:val="24"/>
        </w:rPr>
        <w:t>cardossier</w:t>
      </w:r>
      <w:r>
        <w:rPr>
          <w:rFonts w:ascii="Times New Roman" w:hAnsi="Times New Roman"/>
          <w:b w:val="0"/>
          <w:i w:val="0"/>
          <w:sz w:val="24"/>
        </w:rPr>
        <w:t xml:space="preserve"> production consortium and Bragadeesh &amp; Umamakeswari's (2022) six-of-seven-event design — but neither combines full coverage with owner pseudonymity and a deterministic multi-rule detection layer; this is addressed by the seven-event lifecycle schema running over pseudonymous owners. </w:t>
      </w:r>
      <w:r>
        <w:rPr>
          <w:rFonts w:ascii="Times New Roman" w:hAnsi="Times New Roman"/>
          <w:b/>
          <w:i w:val="0"/>
          <w:sz w:val="24"/>
        </w:rPr>
        <w:t>Gap 4 (G4):</w:t>
      </w:r>
      <w:r>
        <w:rPr>
          <w:rFonts w:ascii="Times New Roman" w:hAnsi="Times New Roman"/>
          <w:b w:val="0"/>
          <w:i w:val="0"/>
          <w:sz w:val="24"/>
        </w:rPr>
        <w:t xml:space="preserve"> Deterministic cross-event fraud detection already exists in production, centralised registries — NMVTIS (US, since 2009) and RDW/Car-Pass (Netherlands/Belgium) — but only over fully identified owners in a single-administrator database; no located </w:t>
      </w:r>
      <w:r>
        <w:rPr>
          <w:rFonts w:ascii="Times New Roman" w:hAnsi="Times New Roman"/>
          <w:b w:val="0"/>
          <w:i/>
          <w:sz w:val="24"/>
        </w:rPr>
        <w:t>blockchain</w:t>
      </w:r>
      <w:r>
        <w:rPr>
          <w:rFonts w:ascii="Times New Roman" w:hAnsi="Times New Roman"/>
          <w:b w:val="0"/>
          <w:i w:val="0"/>
          <w:sz w:val="24"/>
        </w:rPr>
        <w:t xml:space="preserve"> registry runs an equivalent rule engine as chaincode over </w:t>
      </w:r>
      <w:r>
        <w:rPr>
          <w:rFonts w:ascii="Times New Roman" w:hAnsi="Times New Roman"/>
          <w:b w:val="0"/>
          <w:i/>
          <w:sz w:val="24"/>
        </w:rPr>
        <w:t>pseudonymised</w:t>
      </w:r>
      <w:r>
        <w:rPr>
          <w:rFonts w:ascii="Times New Roman" w:hAnsi="Times New Roman"/>
          <w:b w:val="0"/>
          <w:i w:val="0"/>
          <w:sz w:val="24"/>
        </w:rPr>
        <w:t xml:space="preserve"> owners, which is addressed by the Fraud-Detection Algorithms. </w:t>
      </w:r>
      <w:r>
        <w:rPr>
          <w:rFonts w:ascii="Times New Roman" w:hAnsi="Times New Roman"/>
          <w:b/>
          <w:i w:val="0"/>
          <w:sz w:val="24"/>
        </w:rPr>
        <w:t>Gap 5 (G5):</w:t>
      </w:r>
      <w:r>
        <w:rPr>
          <w:rFonts w:ascii="Times New Roman" w:hAnsi="Times New Roman"/>
          <w:b w:val="0"/>
          <w:i w:val="0"/>
          <w:sz w:val="24"/>
        </w:rPr>
        <w:t xml:space="preserve"> No located work analyses how blockchain immutability interacts with the erasure and rectification rights of Sri Lanka's PDPA (No. 9 of 2022, as amended by Act No. 22 of 2025) specifically; Baskaran et al. (2023) performed the analogous mapping for Malaysia's PDPA, and the EDPB's Guidelines 02/2025 now prescribe the general off-chain PII / on-chain hash mechanism this thesis adopts — the method is inherited, the Sri Lankan legal mapping is not. </w:t>
      </w:r>
      <w:r>
        <w:rPr>
          <w:rFonts w:ascii="Times New Roman" w:hAnsi="Times New Roman"/>
          <w:b/>
          <w:i w:val="0"/>
          <w:sz w:val="24"/>
        </w:rPr>
        <w:t>Gap 6 (G6):</w:t>
      </w:r>
      <w:r>
        <w:rPr>
          <w:rFonts w:ascii="Times New Roman" w:hAnsi="Times New Roman"/>
          <w:b w:val="0"/>
          <w:i w:val="0"/>
          <w:sz w:val="24"/>
        </w:rPr>
        <w:t xml:space="preserve"> Among </w:t>
      </w:r>
      <w:r>
        <w:rPr>
          <w:rFonts w:ascii="Times New Roman" w:hAnsi="Times New Roman"/>
          <w:b w:val="0"/>
          <w:i/>
          <w:sz w:val="24"/>
        </w:rPr>
        <w:t>peer-reviewed</w:t>
      </w:r>
      <w:r>
        <w:rPr>
          <w:rFonts w:ascii="Times New Roman" w:hAnsi="Times New Roman"/>
          <w:b w:val="0"/>
          <w:i w:val="0"/>
          <w:sz w:val="24"/>
        </w:rPr>
        <w:t xml:space="preserve"> work, only Malintha et al. focus on Sri Lanka; three earlier, non-peer-reviewed dissertations (Samarakkody, 2021; Tissera, 2022; Wijewardena, 2020) address related Sri Lankan vehicle-fraud problems without privacy, governed reveal, or regulatory analysis — this is addressed through the stakeholder and regulatory analysis. The key observation is that, although each individual technique exists somewhere, this specific five-part combination — persistent pseudonym, agency-quorum on-chain-logged reveal, deterministic cross-event rules, a measured privacy-detection trade-off, and Sri Lanka's PDPA — has not been located in one ownership-registry framework.</w:t>
      </w:r>
    </w:p>
    <w:p>
      <w:pPr>
        <w:jc w:val="both"/>
      </w:pPr>
      <w:r>
        <w:rPr>
          <w:rFonts w:ascii="Times New Roman" w:hAnsi="Times New Roman"/>
          <w:b/>
          <w:i w:val="0"/>
          <w:sz w:val="24"/>
        </w:rPr>
        <w:t>Comparison (2023+ studies only)</w:t>
      </w:r>
    </w:p>
    <w:tbl>
      <w:tblPr>
        <w:tblStyle w:val="TableGrid"/>
        <w:tblW w:type="auto" w:w="0"/>
        <w:jc w:val="center"/>
        <w:tblLook w:firstColumn="1" w:firstRow="1" w:lastColumn="0" w:lastRow="0" w:noHBand="0" w:noVBand="1" w:val="04A0"/>
      </w:tblPr>
      <w:tblGrid>
        <w:gridCol w:w="1980"/>
        <w:gridCol w:w="1980"/>
        <w:gridCol w:w="1980"/>
        <w:gridCol w:w="1980"/>
      </w:tblGrid>
      <w:tr>
        <w:tc>
          <w:tcPr>
            <w:tcW w:type="dxa" w:w="1980"/>
            <w:shd w:val="clear" w:fill="D9E2F3"/>
          </w:tcPr>
          <w:p>
            <w:pPr>
              <w:spacing w:after="40"/>
            </w:pPr>
            <w:r/>
            <w:r>
              <w:rPr>
                <w:rFonts w:ascii="Times New Roman" w:hAnsi="Times New Roman"/>
                <w:b/>
                <w:i w:val="0"/>
                <w:sz w:val="22"/>
              </w:rPr>
              <w:t>#</w:t>
            </w:r>
          </w:p>
        </w:tc>
        <w:tc>
          <w:tcPr>
            <w:tcW w:type="dxa" w:w="1980"/>
            <w:shd w:val="clear" w:fill="D9E2F3"/>
          </w:tcPr>
          <w:p>
            <w:pPr>
              <w:spacing w:after="40"/>
            </w:pPr>
            <w:r/>
            <w:r>
              <w:rPr>
                <w:rFonts w:ascii="Times New Roman" w:hAnsi="Times New Roman"/>
                <w:b/>
                <w:i w:val="0"/>
                <w:sz w:val="22"/>
              </w:rPr>
              <w:t>Citation</w:t>
            </w:r>
          </w:p>
        </w:tc>
        <w:tc>
          <w:tcPr>
            <w:tcW w:type="dxa" w:w="1980"/>
            <w:shd w:val="clear" w:fill="D9E2F3"/>
          </w:tcPr>
          <w:p>
            <w:pPr>
              <w:spacing w:after="40"/>
            </w:pPr>
            <w:r/>
            <w:r>
              <w:rPr>
                <w:rFonts w:ascii="Times New Roman" w:hAnsi="Times New Roman"/>
                <w:b/>
                <w:i w:val="0"/>
                <w:sz w:val="22"/>
              </w:rPr>
              <w:t>Findings</w:t>
            </w:r>
          </w:p>
        </w:tc>
        <w:tc>
          <w:tcPr>
            <w:tcW w:type="dxa" w:w="1980"/>
            <w:shd w:val="clear" w:fill="D9E2F3"/>
          </w:tcPr>
          <w:p>
            <w:pPr>
              <w:spacing w:after="40"/>
            </w:pPr>
            <w:r/>
            <w:r>
              <w:rPr>
                <w:rFonts w:ascii="Times New Roman" w:hAnsi="Times New Roman"/>
                <w:b/>
                <w:i w:val="0"/>
                <w:sz w:val="22"/>
              </w:rPr>
              <w:t>Gaps Addressed by This Research</w:t>
            </w:r>
          </w:p>
        </w:tc>
      </w:tr>
      <w:tr>
        <w:tc>
          <w:tcPr>
            <w:tcW w:type="dxa" w:w="1980"/>
          </w:tcPr>
          <w:p>
            <w:pPr>
              <w:spacing w:after="40"/>
            </w:pPr>
            <w:r/>
            <w:r>
              <w:rPr>
                <w:rFonts w:ascii="Times New Roman" w:hAnsi="Times New Roman"/>
                <w:b w:val="0"/>
                <w:i w:val="0"/>
                <w:sz w:val="22"/>
              </w:rPr>
              <w:t>1</w:t>
            </w:r>
          </w:p>
        </w:tc>
        <w:tc>
          <w:tcPr>
            <w:tcW w:type="dxa" w:w="1980"/>
          </w:tcPr>
          <w:p>
            <w:pPr>
              <w:spacing w:after="40"/>
            </w:pPr>
            <w:r/>
            <w:r>
              <w:rPr>
                <w:rFonts w:ascii="Times New Roman" w:hAnsi="Times New Roman"/>
                <w:b w:val="0"/>
                <w:i w:val="0"/>
                <w:sz w:val="22"/>
              </w:rPr>
              <w:t>Yadav et al. (2023)</w:t>
            </w:r>
          </w:p>
        </w:tc>
        <w:tc>
          <w:tcPr>
            <w:tcW w:type="dxa" w:w="1980"/>
          </w:tcPr>
          <w:p>
            <w:pPr>
              <w:spacing w:after="40"/>
            </w:pPr>
            <w:r/>
            <w:r>
              <w:rPr>
                <w:rFonts w:ascii="Times New Roman" w:hAnsi="Times New Roman"/>
                <w:b w:val="0"/>
                <w:i w:val="0"/>
                <w:sz w:val="22"/>
              </w:rPr>
              <w:t>Hyperledger Fabric framework for accident reporting and insurance claims in India; uses channels for data partitioning.</w:t>
            </w:r>
          </w:p>
        </w:tc>
        <w:tc>
          <w:tcPr>
            <w:tcW w:type="dxa" w:w="1980"/>
          </w:tcPr>
          <w:p>
            <w:pPr>
              <w:spacing w:after="40"/>
            </w:pPr>
            <w:r/>
            <w:r>
              <w:rPr>
                <w:rFonts w:ascii="Times New Roman" w:hAnsi="Times New Roman"/>
                <w:b w:val="0"/>
                <w:i w:val="0"/>
                <w:sz w:val="22"/>
              </w:rPr>
              <w:t>G1 pseudonymity, G2 conditional reveal, G3 full lifecycle, G4 cross-event fraud, G5 PDPA, G6 Sri Lankan analysis</w:t>
            </w:r>
          </w:p>
        </w:tc>
      </w:tr>
      <w:tr>
        <w:tc>
          <w:tcPr>
            <w:tcW w:type="dxa" w:w="1980"/>
          </w:tcPr>
          <w:p>
            <w:pPr>
              <w:spacing w:after="40"/>
            </w:pPr>
            <w:r/>
            <w:r>
              <w:rPr>
                <w:rFonts w:ascii="Times New Roman" w:hAnsi="Times New Roman"/>
                <w:b w:val="0"/>
                <w:i w:val="0"/>
                <w:sz w:val="22"/>
              </w:rPr>
              <w:t>2</w:t>
            </w:r>
          </w:p>
        </w:tc>
        <w:tc>
          <w:tcPr>
            <w:tcW w:type="dxa" w:w="1980"/>
          </w:tcPr>
          <w:p>
            <w:pPr>
              <w:spacing w:after="40"/>
            </w:pPr>
            <w:r/>
            <w:r>
              <w:rPr>
                <w:rFonts w:ascii="Times New Roman" w:hAnsi="Times New Roman"/>
                <w:b w:val="0"/>
                <w:i w:val="0"/>
                <w:sz w:val="22"/>
              </w:rPr>
              <w:t>Malintha et al. (2024)</w:t>
            </w:r>
          </w:p>
        </w:tc>
        <w:tc>
          <w:tcPr>
            <w:tcW w:type="dxa" w:w="1980"/>
          </w:tcPr>
          <w:p>
            <w:pPr>
              <w:spacing w:after="40"/>
            </w:pPr>
            <w:r/>
            <w:r>
              <w:rPr>
                <w:rFonts w:ascii="Times New Roman" w:hAnsi="Times New Roman"/>
                <w:b w:val="0"/>
                <w:i w:val="0"/>
                <w:sz w:val="22"/>
              </w:rPr>
              <w:t>Only Sri Lanka–specific blockchain registry; supports registration, certificate issuance, ownership transfer, and history viewing on Ethereum.</w:t>
            </w:r>
          </w:p>
        </w:tc>
        <w:tc>
          <w:tcPr>
            <w:tcW w:type="dxa" w:w="1980"/>
          </w:tcPr>
          <w:p>
            <w:pPr>
              <w:spacing w:after="40"/>
            </w:pPr>
            <w:r/>
            <w:r>
              <w:rPr>
                <w:rFonts w:ascii="Times New Roman" w:hAnsi="Times New Roman"/>
                <w:b w:val="0"/>
                <w:i w:val="0"/>
                <w:sz w:val="22"/>
              </w:rPr>
              <w:t>G1 pseudonymity, G2 conditional reveal, G3 full lifecycle, G4 cross-event fraud, G5 PDPA</w:t>
            </w:r>
          </w:p>
        </w:tc>
      </w:tr>
      <w:tr>
        <w:tc>
          <w:tcPr>
            <w:tcW w:type="dxa" w:w="1980"/>
          </w:tcPr>
          <w:p>
            <w:pPr>
              <w:spacing w:after="40"/>
            </w:pPr>
            <w:r/>
            <w:r>
              <w:rPr>
                <w:rFonts w:ascii="Times New Roman" w:hAnsi="Times New Roman"/>
                <w:b w:val="0"/>
                <w:i w:val="0"/>
                <w:sz w:val="22"/>
              </w:rPr>
              <w:t>3</w:t>
            </w:r>
          </w:p>
        </w:tc>
        <w:tc>
          <w:tcPr>
            <w:tcW w:type="dxa" w:w="1980"/>
          </w:tcPr>
          <w:p>
            <w:pPr>
              <w:spacing w:after="40"/>
            </w:pPr>
            <w:r/>
            <w:r>
              <w:rPr>
                <w:rFonts w:ascii="Times New Roman" w:hAnsi="Times New Roman"/>
                <w:b w:val="0"/>
                <w:i w:val="0"/>
                <w:sz w:val="22"/>
              </w:rPr>
              <w:t>Souei et al. (2025)</w:t>
            </w:r>
          </w:p>
        </w:tc>
        <w:tc>
          <w:tcPr>
            <w:tcW w:type="dxa" w:w="1980"/>
          </w:tcPr>
          <w:p>
            <w:pPr>
              <w:spacing w:after="40"/>
            </w:pPr>
            <w:r/>
            <w:r>
              <w:rPr>
                <w:rFonts w:ascii="Times New Roman" w:hAnsi="Times New Roman"/>
                <w:b w:val="0"/>
                <w:i w:val="0"/>
                <w:sz w:val="22"/>
              </w:rPr>
              <w:t>Ethereum-based fraud detection with Mask R-CNN and XGBoost for insurance-claim fraud in Tunisia.</w:t>
            </w:r>
          </w:p>
        </w:tc>
        <w:tc>
          <w:tcPr>
            <w:tcW w:type="dxa" w:w="1980"/>
          </w:tcPr>
          <w:p>
            <w:pPr>
              <w:spacing w:after="40"/>
            </w:pPr>
            <w:r/>
            <w:r>
              <w:rPr>
                <w:rFonts w:ascii="Times New Roman" w:hAnsi="Times New Roman"/>
                <w:b w:val="0"/>
                <w:i w:val="0"/>
                <w:sz w:val="22"/>
              </w:rPr>
              <w:t>G1 pseudonymity, G2 conditional reveal, G3 full lifecycle, G5 PDPA, G6 Sri Lankan analysis</w:t>
            </w:r>
          </w:p>
        </w:tc>
      </w:tr>
    </w:tbl>
    <w:p/>
    <w:p>
      <w:pPr>
        <w:pStyle w:val="Heading2"/>
      </w:pPr>
      <w:r>
        <w:t>Novelty Against Existing Applications</w:t>
      </w:r>
    </w:p>
    <w:p>
      <w:pPr>
        <w:jc w:val="both"/>
      </w:pPr>
      <w:r>
        <w:rPr>
          <w:rFonts w:ascii="Times New Roman" w:hAnsi="Times New Roman"/>
          <w:b w:val="0"/>
          <w:i w:val="0"/>
          <w:sz w:val="24"/>
        </w:rPr>
        <w:t>A supervisor review asked that the novelty of this work be made explicit against existing applications. None of the system's individual capabilities is invented here; each already exists somewhere, so the contribution must be stated honestly as an applied integration rather than a new primitive.</w:t>
      </w:r>
    </w:p>
    <w:p>
      <w:pPr>
        <w:pStyle w:val="ListBullet"/>
      </w:pPr>
      <w:r>
        <w:rPr>
          <w:rFonts w:ascii="Times New Roman" w:hAnsi="Times New Roman"/>
          <w:b/>
          <w:i w:val="0"/>
          <w:sz w:val="24"/>
        </w:rPr>
        <w:t>Centralised vehicle-history services</w:t>
      </w:r>
      <w:r>
        <w:rPr>
          <w:rFonts w:ascii="Times New Roman" w:hAnsi="Times New Roman"/>
          <w:b w:val="0"/>
          <w:i w:val="0"/>
          <w:sz w:val="24"/>
        </w:rPr>
        <w:t xml:space="preserve"> such as CARFAX and AutoCheck (Experian) already provide rich cross-event history and odometer/title-fraud flags, but they are centralised, depend on voluntary reporting, use no blockchain, and provide no owner pseudonymity or consortium governance (CARFAX, n.d.; AutoCheck, n.d.).</w:t>
      </w:r>
    </w:p>
    <w:p>
      <w:pPr>
        <w:pStyle w:val="ListBullet"/>
      </w:pPr>
      <w:r>
        <w:rPr>
          <w:rFonts w:ascii="Times New Roman" w:hAnsi="Times New Roman"/>
          <w:b/>
          <w:i w:val="0"/>
          <w:sz w:val="24"/>
        </w:rPr>
        <w:t>Real-world permissioned blockchain title systems</w:t>
      </w:r>
      <w:r>
        <w:rPr>
          <w:rFonts w:ascii="Times New Roman" w:hAnsi="Times New Roman"/>
          <w:b w:val="0"/>
          <w:i w:val="0"/>
          <w:sz w:val="24"/>
        </w:rPr>
        <w:t xml:space="preserve"> exist: the California DMV digitised 42 million car titles on a permissioned Avalanche network, but the design covers essentially one event — title/ownership transfer — with no published privacy or cross-event fraud-detection layer (Ledger Insights, 2024).</w:t>
      </w:r>
    </w:p>
    <w:p>
      <w:pPr>
        <w:pStyle w:val="ListBullet"/>
      </w:pPr>
      <w:r>
        <w:rPr>
          <w:rFonts w:ascii="Times New Roman" w:hAnsi="Times New Roman"/>
          <w:b/>
          <w:i w:val="0"/>
          <w:sz w:val="24"/>
        </w:rPr>
        <w:t>Multi-event vehicle "passport" / NFT platforms</w:t>
      </w:r>
      <w:r>
        <w:rPr>
          <w:rFonts w:ascii="Times New Roman" w:hAnsi="Times New Roman"/>
          <w:b w:val="0"/>
          <w:i w:val="0"/>
          <w:sz w:val="24"/>
        </w:rPr>
        <w:t xml:space="preserve"> — Arianee, the academic NFT-Vehicle architecture (Lopez-Pimentel et al., 2023), and VehiclePassport (Kaushal, 2025) — cover the lifecycle and some privacy (selective disclosure or zero-knowledge proofs), but run on public chains and target GDPR/EU markets rather than a Sri Lankan DMT consortium under the PDPA. VehiclePassport is the closest single system located: it combines a blockchain vehicle-lifecycle record, zero-knowledge selective disclosure, and odometer-fraud prevention, but it has no registry owner pseudonyms, no agency-quorum reveal, no multi-rule cross-event detection, no measured privacy-versus-detection curve, and no clause-level national-law analysis.</w:t>
      </w:r>
    </w:p>
    <w:p>
      <w:pPr>
        <w:pStyle w:val="ListBullet"/>
      </w:pPr>
      <w:r>
        <w:rPr>
          <w:rFonts w:ascii="Times New Roman" w:hAnsi="Times New Roman"/>
          <w:b/>
          <w:i w:val="0"/>
          <w:sz w:val="24"/>
        </w:rPr>
        <w:t>Production cross-event fraud-checking registries already exist, centralised.</w:t>
      </w:r>
      <w:r>
        <w:rPr>
          <w:rFonts w:ascii="Times New Roman" w:hAnsi="Times New Roman"/>
          <w:b w:val="0"/>
          <w:i w:val="0"/>
          <w:sz w:val="24"/>
        </w:rPr>
        <w:t xml:space="preserve"> NMVTIS, the US national title system, has enforced deterministic theft, insurer-total-loss and odometer checks before title issuance since 2009 (28 CFR Part 25); the Dutch and Belgian registrars (RDW; Car-Pass) apply statutory odometer-monotonicity checks. All operate on fully identified owners in a single-administrator database — the gap is not the existence of cross-event rules, but running them over </w:t>
      </w:r>
      <w:r>
        <w:rPr>
          <w:rFonts w:ascii="Times New Roman" w:hAnsi="Times New Roman"/>
          <w:b w:val="0"/>
          <w:i/>
          <w:sz w:val="24"/>
        </w:rPr>
        <w:t>pseudonymised</w:t>
      </w:r>
      <w:r>
        <w:rPr>
          <w:rFonts w:ascii="Times New Roman" w:hAnsi="Times New Roman"/>
          <w:b w:val="0"/>
          <w:i w:val="0"/>
          <w:sz w:val="24"/>
        </w:rPr>
        <w:t xml:space="preserve"> owners on a </w:t>
      </w:r>
      <w:r>
        <w:rPr>
          <w:rFonts w:ascii="Times New Roman" w:hAnsi="Times New Roman"/>
          <w:b w:val="0"/>
          <w:i/>
          <w:sz w:val="24"/>
        </w:rPr>
        <w:t>shared ledger</w:t>
      </w:r>
      <w:r>
        <w:rPr>
          <w:rFonts w:ascii="Times New Roman" w:hAnsi="Times New Roman"/>
          <w:b w:val="0"/>
          <w:i w:val="0"/>
          <w:sz w:val="24"/>
        </w:rPr>
        <w:t>.</w:t>
      </w:r>
    </w:p>
    <w:p>
      <w:pPr>
        <w:pStyle w:val="ListBullet"/>
      </w:pPr>
      <w:r>
        <w:rPr>
          <w:rFonts w:ascii="Times New Roman" w:hAnsi="Times New Roman"/>
          <w:b/>
          <w:i w:val="0"/>
          <w:sz w:val="24"/>
        </w:rPr>
        <w:t>Full-lifecycle blockchain registries already exist</w:t>
      </w:r>
      <w:r>
        <w:rPr>
          <w:rFonts w:ascii="Times New Roman" w:hAnsi="Times New Roman"/>
          <w:b w:val="0"/>
          <w:i w:val="0"/>
          <w:sz w:val="24"/>
        </w:rPr>
        <w:t xml:space="preserve">, including the Swiss </w:t>
      </w:r>
      <w:r>
        <w:rPr>
          <w:rFonts w:ascii="Times New Roman" w:hAnsi="Times New Roman"/>
          <w:b/>
          <w:i w:val="0"/>
          <w:sz w:val="24"/>
        </w:rPr>
        <w:t>cardossier</w:t>
      </w:r>
      <w:r>
        <w:rPr>
          <w:rFonts w:ascii="Times New Roman" w:hAnsi="Times New Roman"/>
          <w:b w:val="0"/>
          <w:i w:val="0"/>
          <w:sz w:val="24"/>
        </w:rPr>
        <w:t xml:space="preserve"> production consortium (cantonal road-traffic authority, insurers and manufacturers, on Fabric/Corda) and Bragadeesh &amp; Umamakeswari's (2022) academic design covering six of the seven lifecycle events with fuzzy-logic fraud checks — neither provides owner pseudonymity or a governed reveal mechanism, and neither runs a deterministic, rule-based multi-family fraud engine.</w:t>
      </w:r>
    </w:p>
    <w:p>
      <w:pPr>
        <w:pStyle w:val="ListBullet"/>
      </w:pPr>
      <w:r>
        <w:rPr>
          <w:rFonts w:ascii="Times New Roman" w:hAnsi="Times New Roman"/>
          <w:b w:val="0"/>
          <w:i w:val="0"/>
          <w:sz w:val="24"/>
        </w:rPr>
        <w:t xml:space="preserve">The </w:t>
      </w:r>
      <w:r>
        <w:rPr>
          <w:rFonts w:ascii="Times New Roman" w:hAnsi="Times New Roman"/>
          <w:b/>
          <w:i w:val="0"/>
          <w:sz w:val="24"/>
        </w:rPr>
        <w:t>closest permissioned, privacy-preserving precedent</w:t>
      </w:r>
      <w:r>
        <w:rPr>
          <w:rFonts w:ascii="Times New Roman" w:hAnsi="Times New Roman"/>
          <w:b w:val="0"/>
          <w:i w:val="0"/>
          <w:sz w:val="24"/>
        </w:rPr>
        <w:t xml:space="preserve"> is Yadav et al. (2023), built on a single Hyperledger Composer network, but it covers only accident and insurance events, has no pseudonymity, and performs a single consensus-level validity check rather than cross-event rules.</w:t>
      </w:r>
    </w:p>
    <w:p>
      <w:pPr>
        <w:pStyle w:val="ListBullet"/>
      </w:pPr>
      <w:r>
        <w:rPr>
          <w:rFonts w:ascii="Times New Roman" w:hAnsi="Times New Roman"/>
          <w:b/>
          <w:i w:val="0"/>
          <w:sz w:val="24"/>
        </w:rPr>
        <w:t>Conditional pseudonymity with authority-controlled, multi-party reveal is an established mechanism family</w:t>
      </w:r>
      <w:r>
        <w:rPr>
          <w:rFonts w:ascii="Times New Roman" w:hAnsi="Times New Roman"/>
          <w:b w:val="0"/>
          <w:i w:val="0"/>
          <w:sz w:val="24"/>
        </w:rPr>
        <w:t xml:space="preserve">, but not for a vehicle ownership registry: Concordium's deployed identity layer lets an M-of-N quorum of "anonymity revokers" de-anonymise any account under legal process; Kamara et al. (2021) built a near-isomorphic design — quorum-governed access to owner identity — for a national </w:t>
      </w:r>
      <w:r>
        <w:rPr>
          <w:rFonts w:ascii="Times New Roman" w:hAnsi="Times New Roman"/>
          <w:b w:val="0"/>
          <w:i/>
          <w:sz w:val="24"/>
        </w:rPr>
        <w:t>gun ownership</w:t>
      </w:r>
      <w:r>
        <w:rPr>
          <w:rFonts w:ascii="Times New Roman" w:hAnsi="Times New Roman"/>
          <w:b w:val="0"/>
          <w:i w:val="0"/>
          <w:sz w:val="24"/>
        </w:rPr>
        <w:t xml:space="preserve"> registry; SeDe (Chaudhary &amp; Ivey-Law, 2023) and PEReDi (Sarencheh et al., 2022) apply guardian-quorum threshold de-anonymisation in DeFi/CBDC settings; and in the vehicular domain, the deployed US Security Credential Management System (SCMS; Brecht et al., 2018) already requires multi-organisation cooperation to de-anonymise a vehicle while preserving the linkage needed for misbehaviour detection. None of these embeds the mechanism in an </w:t>
      </w:r>
      <w:r>
        <w:rPr>
          <w:rFonts w:ascii="Times New Roman" w:hAnsi="Times New Roman"/>
          <w:b w:val="0"/>
          <w:i/>
          <w:sz w:val="24"/>
        </w:rPr>
        <w:t>authoritative ownership</w:t>
      </w:r>
      <w:r>
        <w:rPr>
          <w:rFonts w:ascii="Times New Roman" w:hAnsi="Times New Roman"/>
          <w:b w:val="0"/>
          <w:i w:val="0"/>
          <w:sz w:val="24"/>
        </w:rPr>
        <w:t xml:space="preserve"> registry where the same pseudonym must also stay linkable across lifecycle events for deterministic fraud rules — that combination, plus a </w:t>
      </w:r>
      <w:r>
        <w:rPr>
          <w:rFonts w:ascii="Times New Roman" w:hAnsi="Times New Roman"/>
          <w:b/>
          <w:i w:val="0"/>
          <w:sz w:val="24"/>
        </w:rPr>
        <w:t>policy-coupled reveal</w:t>
      </w:r>
      <w:r>
        <w:rPr>
          <w:rFonts w:ascii="Times New Roman" w:hAnsi="Times New Roman"/>
          <w:b w:val="0"/>
          <w:i w:val="0"/>
          <w:sz w:val="24"/>
        </w:rPr>
        <w:t xml:space="preserve"> (a reveal is valid only if it cites an existing on-chain fraud flag, which none of the cited schemes require), is this thesis's specific claim on D1.</w:t>
      </w:r>
    </w:p>
    <w:p>
      <w:pPr>
        <w:pStyle w:val="ListBullet"/>
      </w:pPr>
      <w:r>
        <w:rPr>
          <w:rFonts w:ascii="Times New Roman" w:hAnsi="Times New Roman"/>
          <w:b/>
          <w:i w:val="0"/>
          <w:sz w:val="24"/>
        </w:rPr>
        <w:t>VeilAudit</w:t>
      </w:r>
      <w:r>
        <w:rPr>
          <w:rFonts w:ascii="Times New Roman" w:hAnsi="Times New Roman"/>
          <w:b w:val="0"/>
          <w:i w:val="0"/>
          <w:sz w:val="24"/>
        </w:rPr>
        <w:t xml:space="preserve"> (Qiao et al., 2025) combines threshold-gated identity revelation with auditor-linkable pseudonymous history for cross-event financial analytics — the closest located analogue to the reveal-plus-linkability combination this thesis needs — but for financial ledgers, not an asset-ownership registry.</w:t>
      </w:r>
    </w:p>
    <w:p>
      <w:pPr>
        <w:pStyle w:val="ListBullet"/>
      </w:pPr>
      <w:r>
        <w:rPr>
          <w:rFonts w:ascii="Times New Roman" w:hAnsi="Times New Roman"/>
          <w:b w:val="0"/>
          <w:i w:val="0"/>
          <w:sz w:val="24"/>
        </w:rPr>
        <w:t xml:space="preserve">The only prior </w:t>
      </w:r>
      <w:r>
        <w:rPr>
          <w:rFonts w:ascii="Times New Roman" w:hAnsi="Times New Roman"/>
          <w:b/>
          <w:i w:val="0"/>
          <w:sz w:val="24"/>
        </w:rPr>
        <w:t>Sri Lanka-specific, peer-reviewed</w:t>
      </w:r>
      <w:r>
        <w:rPr>
          <w:rFonts w:ascii="Times New Roman" w:hAnsi="Times New Roman"/>
          <w:b w:val="0"/>
          <w:i w:val="0"/>
          <w:sz w:val="24"/>
        </w:rPr>
        <w:t xml:space="preserve"> registry, Malintha et al. (2024), publishes owner data on a public Ethereum chain — the opposite of conditional pseudonymity — and addresses neither the PDPA nor a multi-agency consortium; three earlier, non-peer-reviewed dissertations (Samarakkody, 2021; Tissera, 2022; Wijewardena, 2020) target related Sri Lankan vehicle-fraud problems without privacy, governed reveal, or regulatory analysis.</w:t>
      </w:r>
    </w:p>
    <w:p>
      <w:pPr>
        <w:jc w:val="both"/>
      </w:pPr>
      <w:r>
        <w:rPr>
          <w:rFonts w:ascii="Times New Roman" w:hAnsi="Times New Roman"/>
          <w:b w:val="0"/>
          <w:i w:val="0"/>
          <w:sz w:val="24"/>
        </w:rPr>
        <w:t xml:space="preserve">How, then, can the work be novel if its parts were invented before? Research novelty does not require inventing a new primitive; it can take the form of a new combination, a new application or context, or new empirical evidence. This work claims the latter three, not invention, and explicitly does </w:t>
      </w:r>
      <w:r>
        <w:rPr>
          <w:rFonts w:ascii="Times New Roman" w:hAnsi="Times New Roman"/>
          <w:b/>
          <w:i w:val="0"/>
          <w:sz w:val="24"/>
        </w:rPr>
        <w:t>not</w:t>
      </w:r>
      <w:r>
        <w:rPr>
          <w:rFonts w:ascii="Times New Roman" w:hAnsi="Times New Roman"/>
          <w:b w:val="0"/>
          <w:i w:val="0"/>
          <w:sz w:val="24"/>
        </w:rPr>
        <w:t xml:space="preserve"> claim: that conditional pseudonymity is new (Concordium, Kamara et al.), that cross-event fraud rules are new (NMVTIS, Car-Pass, RDW), that full-lifecycle coverage is new (cardossier, Bragadeesh &amp; Umamakeswari), that multi-agency governance mirroring real institutions is new (Dubai RTA, 2018), or that a privacy-versus-utility trade-off has never been measured for any system (Tsukada et al., 2022, measured it for vehicular misbehaviour detection; Duncan &amp; Stokes, 2001, formalised the general risk-utility map). Its defensible, narrow novelty is the specific </w:t>
      </w:r>
      <w:r>
        <w:rPr>
          <w:rFonts w:ascii="Times New Roman" w:hAnsi="Times New Roman"/>
          <w:b/>
          <w:i w:val="0"/>
          <w:sz w:val="24"/>
        </w:rPr>
        <w:t>intersection</w:t>
      </w:r>
      <w:r>
        <w:rPr>
          <w:rFonts w:ascii="Times New Roman" w:hAnsi="Times New Roman"/>
          <w:b w:val="0"/>
          <w:i w:val="0"/>
          <w:sz w:val="24"/>
        </w:rPr>
        <w:t xml:space="preserve"> that no located prior work — academic, grey, or production — combines: a persistent per-vehicle owner pseudonym inside an </w:t>
      </w:r>
      <w:r>
        <w:rPr>
          <w:rFonts w:ascii="Times New Roman" w:hAnsi="Times New Roman"/>
          <w:b w:val="0"/>
          <w:i/>
          <w:sz w:val="24"/>
        </w:rPr>
        <w:t>authoritative ownership</w:t>
      </w:r>
      <w:r>
        <w:rPr>
          <w:rFonts w:ascii="Times New Roman" w:hAnsi="Times New Roman"/>
          <w:b w:val="0"/>
          <w:i w:val="0"/>
          <w:sz w:val="24"/>
        </w:rPr>
        <w:t xml:space="preserve"> registry, whose reveal is gated by a quorum of the </w:t>
      </w:r>
      <w:r>
        <w:rPr>
          <w:rFonts w:ascii="Times New Roman" w:hAnsi="Times New Roman"/>
          <w:b w:val="0"/>
          <w:i/>
          <w:sz w:val="24"/>
        </w:rPr>
        <w:t>actual custodial agencies</w:t>
      </w:r>
      <w:r>
        <w:rPr>
          <w:rFonts w:ascii="Times New Roman" w:hAnsi="Times New Roman"/>
          <w:b w:val="0"/>
          <w:i w:val="0"/>
          <w:sz w:val="24"/>
        </w:rPr>
        <w:t xml:space="preserve"> and logged on-chain, where </w:t>
      </w:r>
      <w:r>
        <w:rPr>
          <w:rFonts w:ascii="Times New Roman" w:hAnsi="Times New Roman"/>
          <w:b w:val="0"/>
          <w:i/>
          <w:sz w:val="24"/>
        </w:rPr>
        <w:t>deterministic cross-event fraud rules</w:t>
      </w:r>
      <w:r>
        <w:rPr>
          <w:rFonts w:ascii="Times New Roman" w:hAnsi="Times New Roman"/>
          <w:b w:val="0"/>
          <w:i w:val="0"/>
          <w:sz w:val="24"/>
        </w:rPr>
        <w:t xml:space="preserve"> run over that pseudonymous history, with a </w:t>
      </w:r>
      <w:r>
        <w:rPr>
          <w:rFonts w:ascii="Times New Roman" w:hAnsi="Times New Roman"/>
          <w:b w:val="0"/>
          <w:i/>
          <w:sz w:val="24"/>
        </w:rPr>
        <w:t>measured privacy-versus-detection trade-off</w:t>
      </w:r>
      <w:r>
        <w:rPr>
          <w:rFonts w:ascii="Times New Roman" w:hAnsi="Times New Roman"/>
          <w:b w:val="0"/>
          <w:i w:val="0"/>
          <w:sz w:val="24"/>
        </w:rPr>
        <w:t xml:space="preserve">, reconciled with </w:t>
      </w:r>
      <w:r>
        <w:rPr>
          <w:rFonts w:ascii="Times New Roman" w:hAnsi="Times New Roman"/>
          <w:b w:val="0"/>
          <w:i/>
          <w:sz w:val="24"/>
        </w:rPr>
        <w:t>Sri Lanka's specific PDPA</w:t>
      </w:r>
      <w:r>
        <w:rPr>
          <w:rFonts w:ascii="Times New Roman" w:hAnsi="Times New Roman"/>
          <w:b w:val="0"/>
          <w:i w:val="0"/>
          <w:sz w:val="24"/>
        </w:rPr>
        <w:t>. Table 2.2 maps existing applications against these dimensions; every comparator located fails at least two of the six columns, including the closest 2025 systems (VehiclePassport, VeilAudit) and the closest deployed mechanism (SCMS). This is an inference from per-system coverage across a documented search of 100+ prior works, not a claim made by any single prior work, and it is stated as such rather than as a universal "no prior work" negative.</w:t>
      </w:r>
    </w:p>
    <w:p>
      <w:pPr>
        <w:jc w:val="both"/>
      </w:pPr>
      <w:r>
        <w:rPr>
          <w:rFonts w:ascii="Times New Roman" w:hAnsi="Times New Roman"/>
          <w:b/>
          <w:i w:val="0"/>
          <w:sz w:val="24"/>
        </w:rPr>
        <w:t>Table 2.2 — Capability comparison of existing applications against the proposed system</w:t>
      </w:r>
    </w:p>
    <w:tbl>
      <w:tblPr>
        <w:tblStyle w:val="TableGrid"/>
        <w:tblW w:type="auto" w:w="0"/>
        <w:jc w:val="center"/>
        <w:tblLook w:firstColumn="1" w:firstRow="1" w:lastColumn="0" w:lastRow="0" w:noHBand="0" w:noVBand="1" w:val="04A0"/>
      </w:tblPr>
      <w:tblGrid>
        <w:gridCol w:w="1131"/>
        <w:gridCol w:w="1131"/>
        <w:gridCol w:w="1131"/>
        <w:gridCol w:w="1131"/>
        <w:gridCol w:w="1131"/>
        <w:gridCol w:w="1131"/>
        <w:gridCol w:w="1131"/>
      </w:tblGrid>
      <w:tr>
        <w:tc>
          <w:tcPr>
            <w:tcW w:type="dxa" w:w="1131"/>
            <w:shd w:val="clear" w:fill="D9E2F3"/>
          </w:tcPr>
          <w:p>
            <w:pPr>
              <w:spacing w:after="40"/>
            </w:pPr>
            <w:r/>
            <w:r>
              <w:rPr>
                <w:rFonts w:ascii="Times New Roman" w:hAnsi="Times New Roman"/>
                <w:b/>
                <w:i w:val="0"/>
                <w:sz w:val="22"/>
              </w:rPr>
              <w:t>System</w:t>
            </w:r>
          </w:p>
        </w:tc>
        <w:tc>
          <w:tcPr>
            <w:tcW w:type="dxa" w:w="1131"/>
            <w:shd w:val="clear" w:fill="D9E2F3"/>
          </w:tcPr>
          <w:p>
            <w:pPr>
              <w:spacing w:after="40"/>
            </w:pPr>
            <w:r/>
            <w:r>
              <w:rPr>
                <w:rFonts w:ascii="Times New Roman" w:hAnsi="Times New Roman"/>
                <w:b/>
                <w:i w:val="0"/>
                <w:sz w:val="22"/>
              </w:rPr>
              <w:t>Conditional pseudonymity</w:t>
            </w:r>
          </w:p>
        </w:tc>
        <w:tc>
          <w:tcPr>
            <w:tcW w:type="dxa" w:w="1131"/>
            <w:shd w:val="clear" w:fill="D9E2F3"/>
          </w:tcPr>
          <w:p>
            <w:pPr>
              <w:spacing w:after="40"/>
            </w:pPr>
            <w:r/>
            <w:r>
              <w:rPr>
                <w:rFonts w:ascii="Times New Roman" w:hAnsi="Times New Roman"/>
                <w:b/>
                <w:i w:val="0"/>
                <w:sz w:val="22"/>
              </w:rPr>
              <w:t>Cross-event rule-based fraud detection</w:t>
            </w:r>
          </w:p>
        </w:tc>
        <w:tc>
          <w:tcPr>
            <w:tcW w:type="dxa" w:w="1131"/>
            <w:shd w:val="clear" w:fill="D9E2F3"/>
          </w:tcPr>
          <w:p>
            <w:pPr>
              <w:spacing w:after="40"/>
            </w:pPr>
            <w:r/>
            <w:r>
              <w:rPr>
                <w:rFonts w:ascii="Times New Roman" w:hAnsi="Times New Roman"/>
                <w:b/>
                <w:i w:val="0"/>
                <w:sz w:val="22"/>
              </w:rPr>
              <w:t>Full 7-event lifecycle</w:t>
            </w:r>
          </w:p>
        </w:tc>
        <w:tc>
          <w:tcPr>
            <w:tcW w:type="dxa" w:w="1131"/>
            <w:shd w:val="clear" w:fill="D9E2F3"/>
          </w:tcPr>
          <w:p>
            <w:pPr>
              <w:spacing w:after="40"/>
            </w:pPr>
            <w:r/>
            <w:r>
              <w:rPr>
                <w:rFonts w:ascii="Times New Roman" w:hAnsi="Times New Roman"/>
                <w:b/>
                <w:i w:val="0"/>
                <w:sz w:val="22"/>
              </w:rPr>
              <w:t>Consortium / permissioned</w:t>
            </w:r>
          </w:p>
        </w:tc>
        <w:tc>
          <w:tcPr>
            <w:tcW w:type="dxa" w:w="1131"/>
            <w:shd w:val="clear" w:fill="D9E2F3"/>
          </w:tcPr>
          <w:p>
            <w:pPr>
              <w:spacing w:after="40"/>
            </w:pPr>
            <w:r/>
            <w:r>
              <w:rPr>
                <w:rFonts w:ascii="Times New Roman" w:hAnsi="Times New Roman"/>
                <w:b/>
                <w:i w:val="0"/>
                <w:sz w:val="22"/>
              </w:rPr>
              <w:t>PDPA / regulatory</w:t>
            </w:r>
          </w:p>
        </w:tc>
        <w:tc>
          <w:tcPr>
            <w:tcW w:type="dxa" w:w="1131"/>
            <w:shd w:val="clear" w:fill="D9E2F3"/>
          </w:tcPr>
          <w:p>
            <w:pPr>
              <w:spacing w:after="40"/>
            </w:pPr>
            <w:r/>
            <w:r>
              <w:rPr>
                <w:rFonts w:ascii="Times New Roman" w:hAnsi="Times New Roman"/>
                <w:b/>
                <w:i w:val="0"/>
                <w:sz w:val="22"/>
              </w:rPr>
              <w:t>Sri Lanka</w:t>
            </w:r>
          </w:p>
        </w:tc>
      </w:tr>
      <w:tr>
        <w:tc>
          <w:tcPr>
            <w:tcW w:type="dxa" w:w="1131"/>
          </w:tcPr>
          <w:p>
            <w:pPr>
              <w:spacing w:after="40"/>
            </w:pPr>
            <w:r/>
            <w:r>
              <w:rPr>
                <w:rFonts w:ascii="Times New Roman" w:hAnsi="Times New Roman"/>
                <w:b w:val="0"/>
                <w:i w:val="0"/>
                <w:sz w:val="22"/>
              </w:rPr>
              <w:t>CARFAX / AutoCheck</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Per-domain flags (centralised)</w:t>
            </w:r>
          </w:p>
        </w:tc>
        <w:tc>
          <w:tcPr>
            <w:tcW w:type="dxa" w:w="1131"/>
          </w:tcPr>
          <w:p>
            <w:pPr>
              <w:spacing w:after="40"/>
            </w:pPr>
            <w:r/>
            <w:r>
              <w:rPr>
                <w:rFonts w:ascii="Times New Roman" w:hAnsi="Times New Roman"/>
                <w:b w:val="0"/>
                <w:i w:val="0"/>
                <w:sz w:val="22"/>
              </w:rPr>
              <w:t>Partial</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California DMV (Avalanche)</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 (title only)</w:t>
            </w:r>
          </w:p>
        </w:tc>
        <w:tc>
          <w:tcPr>
            <w:tcW w:type="dxa" w:w="1131"/>
          </w:tcPr>
          <w:p>
            <w:pPr>
              <w:spacing w:after="40"/>
            </w:pPr>
            <w:r/>
            <w:r>
              <w:rPr>
                <w:rFonts w:ascii="Times New Roman" w:hAnsi="Times New Roman"/>
                <w:b w:val="0"/>
                <w:i w:val="0"/>
                <w:sz w:val="22"/>
              </w:rPr>
              <w:t>Yes</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Arianee (digital passport)</w:t>
            </w:r>
          </w:p>
        </w:tc>
        <w:tc>
          <w:tcPr>
            <w:tcW w:type="dxa" w:w="1131"/>
          </w:tcPr>
          <w:p>
            <w:pPr>
              <w:spacing w:after="40"/>
            </w:pPr>
            <w:r/>
            <w:r>
              <w:rPr>
                <w:rFonts w:ascii="Times New Roman" w:hAnsi="Times New Roman"/>
                <w:b w:val="0"/>
                <w:i w:val="0"/>
                <w:sz w:val="22"/>
              </w:rPr>
              <w:t>Partial (selective access)</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Yes</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GDPR</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VehiclePassport (Kaushal, 2025)</w:t>
            </w:r>
          </w:p>
        </w:tc>
        <w:tc>
          <w:tcPr>
            <w:tcW w:type="dxa" w:w="1131"/>
          </w:tcPr>
          <w:p>
            <w:pPr>
              <w:spacing w:after="40"/>
            </w:pPr>
            <w:r/>
            <w:r>
              <w:rPr>
                <w:rFonts w:ascii="Times New Roman" w:hAnsi="Times New Roman"/>
                <w:b w:val="0"/>
                <w:i w:val="0"/>
                <w:sz w:val="22"/>
              </w:rPr>
              <w:t>Partial (ZK disclosure)</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Yes</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GDPR</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NFT-Vehicle (2023)</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Yes</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Yadav et al. (2023)</w:t>
            </w:r>
          </w:p>
        </w:tc>
        <w:tc>
          <w:tcPr>
            <w:tcW w:type="dxa" w:w="1131"/>
          </w:tcPr>
          <w:p>
            <w:pPr>
              <w:spacing w:after="40"/>
            </w:pPr>
            <w:r/>
            <w:r>
              <w:rPr>
                <w:rFonts w:ascii="Times New Roman" w:hAnsi="Times New Roman"/>
                <w:b/>
                <w:i w:val="0"/>
                <w:sz w:val="22"/>
              </w:rPr>
              <w:t>No</w:t>
            </w:r>
            <w:r>
              <w:rPr>
                <w:rFonts w:ascii="Times New Roman" w:hAnsi="Times New Roman"/>
                <w:b w:val="0"/>
                <w:i w:val="0"/>
                <w:sz w:val="22"/>
              </w:rPr>
              <w:t xml:space="preserve"> (real identities; ACL + ECC, no pseudonyms)</w:t>
            </w:r>
          </w:p>
        </w:tc>
        <w:tc>
          <w:tcPr>
            <w:tcW w:type="dxa" w:w="1131"/>
          </w:tcPr>
          <w:p>
            <w:pPr>
              <w:spacing w:after="40"/>
            </w:pPr>
            <w:r/>
            <w:r>
              <w:rPr>
                <w:rFonts w:ascii="Times New Roman" w:hAnsi="Times New Roman"/>
                <w:b w:val="0"/>
                <w:i w:val="0"/>
                <w:sz w:val="22"/>
              </w:rPr>
              <w:t>Partial (single consensus check)</w:t>
            </w:r>
          </w:p>
        </w:tc>
        <w:tc>
          <w:tcPr>
            <w:tcW w:type="dxa" w:w="1131"/>
          </w:tcPr>
          <w:p>
            <w:pPr>
              <w:spacing w:after="40"/>
            </w:pPr>
            <w:r/>
            <w:r>
              <w:rPr>
                <w:rFonts w:ascii="Times New Roman" w:hAnsi="Times New Roman"/>
                <w:b w:val="0"/>
                <w:i w:val="0"/>
                <w:sz w:val="22"/>
              </w:rPr>
              <w:t>No (accident + claim)</w:t>
            </w:r>
          </w:p>
        </w:tc>
        <w:tc>
          <w:tcPr>
            <w:tcW w:type="dxa" w:w="1131"/>
          </w:tcPr>
          <w:p>
            <w:pPr>
              <w:spacing w:after="40"/>
            </w:pPr>
            <w:r/>
            <w:r>
              <w:rPr>
                <w:rFonts w:ascii="Times New Roman" w:hAnsi="Times New Roman"/>
                <w:b w:val="0"/>
                <w:i w:val="0"/>
                <w:sz w:val="22"/>
              </w:rPr>
              <w:t>Yes (Composer network, not channels)</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Souei et al. (2025)</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ML, insurance-only</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Malintha et al. (2024)</w:t>
            </w:r>
          </w:p>
        </w:tc>
        <w:tc>
          <w:tcPr>
            <w:tcW w:type="dxa" w:w="1131"/>
          </w:tcPr>
          <w:p>
            <w:pPr>
              <w:spacing w:after="40"/>
            </w:pPr>
            <w:r/>
            <w:r>
              <w:rPr>
                <w:rFonts w:ascii="Times New Roman" w:hAnsi="Times New Roman"/>
                <w:b w:val="0"/>
                <w:i w:val="0"/>
                <w:sz w:val="22"/>
              </w:rPr>
              <w:t>No (public data)</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 (reg/transfer)</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Yes</w:t>
            </w:r>
          </w:p>
        </w:tc>
      </w:tr>
      <w:tr>
        <w:tc>
          <w:tcPr>
            <w:tcW w:type="dxa" w:w="1131"/>
          </w:tcPr>
          <w:p>
            <w:pPr>
              <w:spacing w:after="40"/>
            </w:pPr>
            <w:r/>
            <w:r>
              <w:rPr>
                <w:rFonts w:ascii="Times New Roman" w:hAnsi="Times New Roman"/>
                <w:b w:val="0"/>
                <w:i w:val="0"/>
                <w:sz w:val="22"/>
              </w:rPr>
              <w:t>Chanson et al. (2017; 2019)</w:t>
            </w:r>
          </w:p>
        </w:tc>
        <w:tc>
          <w:tcPr>
            <w:tcW w:type="dxa" w:w="1131"/>
          </w:tcPr>
          <w:p>
            <w:pPr>
              <w:spacing w:after="40"/>
            </w:pPr>
            <w:r/>
            <w:r>
              <w:rPr>
                <w:rFonts w:ascii="Times New Roman" w:hAnsi="Times New Roman"/>
                <w:b w:val="0"/>
                <w:i w:val="0"/>
                <w:sz w:val="22"/>
              </w:rPr>
              <w:t>Owner-controlled only</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 (odometer only)</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VANET CPPA schemes</w:t>
            </w:r>
          </w:p>
        </w:tc>
        <w:tc>
          <w:tcPr>
            <w:tcW w:type="dxa" w:w="1131"/>
          </w:tcPr>
          <w:p>
            <w:pPr>
              <w:spacing w:after="40"/>
            </w:pPr>
            <w:r/>
            <w:r>
              <w:rPr>
                <w:rFonts w:ascii="Times New Roman" w:hAnsi="Times New Roman"/>
                <w:b w:val="0"/>
                <w:i w:val="0"/>
                <w:sz w:val="22"/>
              </w:rPr>
              <w:t>Yes</w:t>
            </w:r>
          </w:p>
        </w:tc>
        <w:tc>
          <w:tcPr>
            <w:tcW w:type="dxa" w:w="1131"/>
          </w:tcPr>
          <w:p>
            <w:pPr>
              <w:spacing w:after="40"/>
            </w:pPr>
            <w:r/>
            <w:r>
              <w:rPr>
                <w:rFonts w:ascii="Times New Roman" w:hAnsi="Times New Roman"/>
                <w:b w:val="0"/>
                <w:i w:val="0"/>
                <w:sz w:val="22"/>
              </w:rPr>
              <w:t>No (V2V messaging)</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Authority-based</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 xml:space="preserve">Samarakkody (2021), </w:t>
            </w:r>
            <w:r>
              <w:rPr>
                <w:rFonts w:ascii="Times New Roman" w:hAnsi="Times New Roman"/>
                <w:b w:val="0"/>
                <w:i/>
                <w:sz w:val="22"/>
              </w:rPr>
              <w:t>TRUECARE</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Partial (5 of 7, no theft rule)</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Yes</w:t>
            </w:r>
          </w:p>
        </w:tc>
      </w:tr>
      <w:tr>
        <w:tc>
          <w:tcPr>
            <w:tcW w:type="dxa" w:w="1131"/>
          </w:tcPr>
          <w:p>
            <w:pPr>
              <w:spacing w:after="40"/>
            </w:pPr>
            <w:r/>
            <w:r>
              <w:rPr>
                <w:rFonts w:ascii="Times New Roman" w:hAnsi="Times New Roman"/>
                <w:b w:val="0"/>
                <w:i w:val="0"/>
                <w:sz w:val="22"/>
              </w:rPr>
              <w:t xml:space="preserve">Tissera (2022), </w:t>
            </w:r>
            <w:r>
              <w:rPr>
                <w:rFonts w:ascii="Times New Roman" w:hAnsi="Times New Roman"/>
                <w:b w:val="0"/>
                <w:i/>
                <w:sz w:val="22"/>
              </w:rPr>
              <w:t>Legit-Ride</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 (registration only)</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Yes</w:t>
            </w:r>
          </w:p>
        </w:tc>
      </w:tr>
      <w:tr>
        <w:tc>
          <w:tcPr>
            <w:tcW w:type="dxa" w:w="1131"/>
          </w:tcPr>
          <w:p>
            <w:pPr>
              <w:spacing w:after="40"/>
            </w:pPr>
            <w:r/>
            <w:r>
              <w:rPr>
                <w:rFonts w:ascii="Times New Roman" w:hAnsi="Times New Roman"/>
                <w:b w:val="0"/>
                <w:i w:val="0"/>
                <w:sz w:val="22"/>
              </w:rPr>
              <w:t>NMVTIS (US, production since 2009)</w:t>
            </w:r>
          </w:p>
        </w:tc>
        <w:tc>
          <w:tcPr>
            <w:tcW w:type="dxa" w:w="1131"/>
          </w:tcPr>
          <w:p>
            <w:pPr>
              <w:spacing w:after="40"/>
            </w:pPr>
            <w:r/>
            <w:r>
              <w:rPr>
                <w:rFonts w:ascii="Times New Roman" w:hAnsi="Times New Roman"/>
                <w:b w:val="0"/>
                <w:i w:val="0"/>
                <w:sz w:val="22"/>
              </w:rPr>
              <w:t>No (identified owners)</w:t>
            </w:r>
          </w:p>
        </w:tc>
        <w:tc>
          <w:tcPr>
            <w:tcW w:type="dxa" w:w="1131"/>
          </w:tcPr>
          <w:p>
            <w:pPr>
              <w:spacing w:after="40"/>
            </w:pPr>
            <w:r/>
            <w:r>
              <w:rPr>
                <w:rFonts w:ascii="Times New Roman" w:hAnsi="Times New Roman"/>
                <w:b w:val="0"/>
                <w:i w:val="0"/>
                <w:sz w:val="22"/>
              </w:rPr>
              <w:t>Yes (theft/total-loss/odometer, centralised)</w:t>
            </w:r>
          </w:p>
        </w:tc>
        <w:tc>
          <w:tcPr>
            <w:tcW w:type="dxa" w:w="1131"/>
          </w:tcPr>
          <w:p>
            <w:pPr>
              <w:spacing w:after="40"/>
            </w:pPr>
            <w:r/>
            <w:r>
              <w:rPr>
                <w:rFonts w:ascii="Times New Roman" w:hAnsi="Times New Roman"/>
                <w:b w:val="0"/>
                <w:i w:val="0"/>
                <w:sz w:val="22"/>
              </w:rPr>
              <w:t>No (title/history, not full lifecycle)</w:t>
            </w:r>
          </w:p>
        </w:tc>
        <w:tc>
          <w:tcPr>
            <w:tcW w:type="dxa" w:w="1131"/>
          </w:tcPr>
          <w:p>
            <w:pPr>
              <w:spacing w:after="40"/>
            </w:pPr>
            <w:r/>
            <w:r>
              <w:rPr>
                <w:rFonts w:ascii="Times New Roman" w:hAnsi="Times New Roman"/>
                <w:b w:val="0"/>
                <w:i w:val="0"/>
                <w:sz w:val="22"/>
              </w:rPr>
              <w:t>Yes (agency network, non-blockchain)</w:t>
            </w:r>
          </w:p>
        </w:tc>
        <w:tc>
          <w:tcPr>
            <w:tcW w:type="dxa" w:w="1131"/>
          </w:tcPr>
          <w:p>
            <w:pPr>
              <w:spacing w:after="40"/>
            </w:pPr>
            <w:r/>
            <w:r>
              <w:rPr>
                <w:rFonts w:ascii="Times New Roman" w:hAnsi="Times New Roman"/>
                <w:b w:val="0"/>
                <w:i w:val="0"/>
                <w:sz w:val="22"/>
              </w:rPr>
              <w:t>No (US regime)</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cardossier (Switzerland, production)</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Partial (per-transaction validation, not deterministic multi-rule)</w:t>
            </w:r>
          </w:p>
        </w:tc>
        <w:tc>
          <w:tcPr>
            <w:tcW w:type="dxa" w:w="1131"/>
          </w:tcPr>
          <w:p>
            <w:pPr>
              <w:spacing w:after="40"/>
            </w:pPr>
            <w:r/>
            <w:r>
              <w:rPr>
                <w:rFonts w:ascii="Times New Roman" w:hAnsi="Times New Roman"/>
                <w:b w:val="0"/>
                <w:i w:val="0"/>
                <w:sz w:val="22"/>
              </w:rPr>
              <w:t>Yes</w:t>
            </w:r>
          </w:p>
        </w:tc>
        <w:tc>
          <w:tcPr>
            <w:tcW w:type="dxa" w:w="1131"/>
          </w:tcPr>
          <w:p>
            <w:pPr>
              <w:spacing w:after="40"/>
            </w:pPr>
            <w:r/>
            <w:r>
              <w:rPr>
                <w:rFonts w:ascii="Times New Roman" w:hAnsi="Times New Roman"/>
                <w:b w:val="0"/>
                <w:i w:val="0"/>
                <w:sz w:val="22"/>
              </w:rPr>
              <w:t>Yes (Fabric/Corda)</w:t>
            </w:r>
          </w:p>
        </w:tc>
        <w:tc>
          <w:tcPr>
            <w:tcW w:type="dxa" w:w="1131"/>
          </w:tcPr>
          <w:p>
            <w:pPr>
              <w:spacing w:after="40"/>
            </w:pPr>
            <w:r/>
            <w:r>
              <w:rPr>
                <w:rFonts w:ascii="Times New Roman" w:hAnsi="Times New Roman"/>
                <w:b w:val="0"/>
                <w:i w:val="0"/>
                <w:sz w:val="22"/>
              </w:rPr>
              <w:t>No (Swiss law)</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Bragadeesh &amp; Umamakeswari (2022), CSSE</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Partial (per-transaction fuzzy-logic check, not deterministic cross-event)</w:t>
            </w:r>
          </w:p>
        </w:tc>
        <w:tc>
          <w:tcPr>
            <w:tcW w:type="dxa" w:w="1131"/>
          </w:tcPr>
          <w:p>
            <w:pPr>
              <w:spacing w:after="40"/>
            </w:pPr>
            <w:r/>
            <w:r>
              <w:rPr>
                <w:rFonts w:ascii="Times New Roman" w:hAnsi="Times New Roman"/>
                <w:b w:val="0"/>
                <w:i w:val="0"/>
                <w:sz w:val="22"/>
              </w:rPr>
              <w:t>Yes (6 of 7 events)</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Concordium (deployed, M-of-N revokers)</w:t>
            </w:r>
          </w:p>
        </w:tc>
        <w:tc>
          <w:tcPr>
            <w:tcW w:type="dxa" w:w="1131"/>
          </w:tcPr>
          <w:p>
            <w:pPr>
              <w:spacing w:after="40"/>
            </w:pPr>
            <w:r/>
            <w:r>
              <w:rPr>
                <w:rFonts w:ascii="Times New Roman" w:hAnsi="Times New Roman"/>
                <w:b w:val="0"/>
                <w:i w:val="0"/>
                <w:sz w:val="22"/>
              </w:rPr>
              <w:t>Yes (general accounts, not a registry)</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 (public)</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Dubai RTA (2018, announced)</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 (unpublished)</w:t>
            </w:r>
          </w:p>
        </w:tc>
        <w:tc>
          <w:tcPr>
            <w:tcW w:type="dxa" w:w="1131"/>
          </w:tcPr>
          <w:p>
            <w:pPr>
              <w:spacing w:after="40"/>
            </w:pPr>
            <w:r/>
            <w:r>
              <w:rPr>
                <w:rFonts w:ascii="Times New Roman" w:hAnsi="Times New Roman"/>
                <w:b w:val="0"/>
                <w:i w:val="0"/>
                <w:sz w:val="22"/>
              </w:rPr>
              <w:t>Partial (announced only, no evidence of production)</w:t>
            </w:r>
          </w:p>
        </w:tc>
        <w:tc>
          <w:tcPr>
            <w:tcW w:type="dxa" w:w="1131"/>
          </w:tcPr>
          <w:p>
            <w:pPr>
              <w:spacing w:after="40"/>
            </w:pPr>
            <w:r/>
            <w:r>
              <w:rPr>
                <w:rFonts w:ascii="Times New Roman" w:hAnsi="Times New Roman"/>
                <w:b w:val="0"/>
                <w:i w:val="0"/>
                <w:sz w:val="22"/>
              </w:rPr>
              <w:t>Yes (named agency set)</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val="0"/>
                <w:i w:val="0"/>
                <w:sz w:val="22"/>
              </w:rPr>
              <w:t>Car-Pass (Belgium) / RDW (Netherlands)</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Yes (odometer-only, centralised)</w:t>
            </w:r>
          </w:p>
        </w:tc>
        <w:tc>
          <w:tcPr>
            <w:tcW w:type="dxa" w:w="1131"/>
          </w:tcPr>
          <w:p>
            <w:pPr>
              <w:spacing w:after="40"/>
            </w:pPr>
            <w:r/>
            <w:r>
              <w:rPr>
                <w:rFonts w:ascii="Times New Roman" w:hAnsi="Times New Roman"/>
                <w:b w:val="0"/>
                <w:i w:val="0"/>
                <w:sz w:val="22"/>
              </w:rPr>
              <w:t>No</w:t>
            </w:r>
          </w:p>
        </w:tc>
        <w:tc>
          <w:tcPr>
            <w:tcW w:type="dxa" w:w="1131"/>
          </w:tcPr>
          <w:p>
            <w:pPr>
              <w:spacing w:after="40"/>
            </w:pPr>
            <w:r/>
            <w:r>
              <w:rPr>
                <w:rFonts w:ascii="Times New Roman" w:hAnsi="Times New Roman"/>
                <w:b w:val="0"/>
                <w:i w:val="0"/>
                <w:sz w:val="22"/>
              </w:rPr>
              <w:t>No (single administrator)</w:t>
            </w:r>
          </w:p>
        </w:tc>
        <w:tc>
          <w:tcPr>
            <w:tcW w:type="dxa" w:w="1131"/>
          </w:tcPr>
          <w:p>
            <w:pPr>
              <w:spacing w:after="40"/>
            </w:pPr>
            <w:r/>
            <w:r>
              <w:rPr>
                <w:rFonts w:ascii="Times New Roman" w:hAnsi="Times New Roman"/>
                <w:b w:val="0"/>
                <w:i w:val="0"/>
                <w:sz w:val="22"/>
              </w:rPr>
              <w:t>No (EU regime)</w:t>
            </w:r>
          </w:p>
        </w:tc>
        <w:tc>
          <w:tcPr>
            <w:tcW w:type="dxa" w:w="1131"/>
          </w:tcPr>
          <w:p>
            <w:pPr>
              <w:spacing w:after="40"/>
            </w:pPr>
            <w:r/>
            <w:r>
              <w:rPr>
                <w:rFonts w:ascii="Times New Roman" w:hAnsi="Times New Roman"/>
                <w:b w:val="0"/>
                <w:i w:val="0"/>
                <w:sz w:val="22"/>
              </w:rPr>
              <w:t>No</w:t>
            </w:r>
          </w:p>
        </w:tc>
      </w:tr>
      <w:tr>
        <w:tc>
          <w:tcPr>
            <w:tcW w:type="dxa" w:w="1131"/>
          </w:tcPr>
          <w:p>
            <w:pPr>
              <w:spacing w:after="40"/>
            </w:pPr>
            <w:r/>
            <w:r>
              <w:rPr>
                <w:rFonts w:ascii="Times New Roman" w:hAnsi="Times New Roman"/>
                <w:b/>
                <w:i w:val="0"/>
                <w:sz w:val="22"/>
              </w:rPr>
              <w:t>This work (proposed)</w:t>
            </w:r>
          </w:p>
        </w:tc>
        <w:tc>
          <w:tcPr>
            <w:tcW w:type="dxa" w:w="1131"/>
          </w:tcPr>
          <w:p>
            <w:pPr>
              <w:spacing w:after="40"/>
            </w:pPr>
            <w:r/>
            <w:r>
              <w:rPr>
                <w:rFonts w:ascii="Times New Roman" w:hAnsi="Times New Roman"/>
                <w:b/>
                <w:i w:val="0"/>
                <w:sz w:val="22"/>
              </w:rPr>
              <w:t>Yes (threshold reveal)</w:t>
            </w:r>
          </w:p>
        </w:tc>
        <w:tc>
          <w:tcPr>
            <w:tcW w:type="dxa" w:w="1131"/>
          </w:tcPr>
          <w:p>
            <w:pPr>
              <w:spacing w:after="40"/>
            </w:pPr>
            <w:r/>
            <w:r>
              <w:rPr>
                <w:rFonts w:ascii="Times New Roman" w:hAnsi="Times New Roman"/>
                <w:b/>
                <w:i w:val="0"/>
                <w:sz w:val="22"/>
              </w:rPr>
              <w:t>Yes (7-event rules)</w:t>
            </w:r>
          </w:p>
        </w:tc>
        <w:tc>
          <w:tcPr>
            <w:tcW w:type="dxa" w:w="1131"/>
          </w:tcPr>
          <w:p>
            <w:pPr>
              <w:spacing w:after="40"/>
            </w:pPr>
            <w:r/>
            <w:r>
              <w:rPr>
                <w:rFonts w:ascii="Times New Roman" w:hAnsi="Times New Roman"/>
                <w:b/>
                <w:i w:val="0"/>
                <w:sz w:val="22"/>
              </w:rPr>
              <w:t>Yes</w:t>
            </w:r>
          </w:p>
        </w:tc>
        <w:tc>
          <w:tcPr>
            <w:tcW w:type="dxa" w:w="1131"/>
          </w:tcPr>
          <w:p>
            <w:pPr>
              <w:spacing w:after="40"/>
            </w:pPr>
            <w:r/>
            <w:r>
              <w:rPr>
                <w:rFonts w:ascii="Times New Roman" w:hAnsi="Times New Roman"/>
                <w:b/>
                <w:i w:val="0"/>
                <w:sz w:val="22"/>
              </w:rPr>
              <w:t>Yes (Fabric)</w:t>
            </w:r>
          </w:p>
        </w:tc>
        <w:tc>
          <w:tcPr>
            <w:tcW w:type="dxa" w:w="1131"/>
          </w:tcPr>
          <w:p>
            <w:pPr>
              <w:spacing w:after="40"/>
            </w:pPr>
            <w:r/>
            <w:r>
              <w:rPr>
                <w:rFonts w:ascii="Times New Roman" w:hAnsi="Times New Roman"/>
                <w:b/>
                <w:i w:val="0"/>
                <w:sz w:val="22"/>
              </w:rPr>
              <w:t>Yes (PDPA)</w:t>
            </w:r>
          </w:p>
        </w:tc>
        <w:tc>
          <w:tcPr>
            <w:tcW w:type="dxa" w:w="1131"/>
          </w:tcPr>
          <w:p>
            <w:pPr>
              <w:spacing w:after="40"/>
            </w:pPr>
            <w:r/>
            <w:r>
              <w:rPr>
                <w:rFonts w:ascii="Times New Roman" w:hAnsi="Times New Roman"/>
                <w:b/>
                <w:i w:val="0"/>
                <w:sz w:val="22"/>
              </w:rPr>
              <w:t>Yes</w:t>
            </w:r>
          </w:p>
        </w:tc>
      </w:tr>
    </w:tbl>
    <w:p/>
    <w:p>
      <w:pPr>
        <w:jc w:val="both"/>
      </w:pPr>
      <w:r>
        <w:rPr>
          <w:rFonts w:ascii="Times New Roman" w:hAnsi="Times New Roman"/>
          <w:b w:val="0"/>
          <w:i/>
          <w:sz w:val="24"/>
        </w:rPr>
        <w:t xml:space="preserve">Rows below the double line were added following a July 2026 adversarial novelty audit (see </w:t>
      </w:r>
      <w:r>
        <w:rPr>
          <w:rFonts w:ascii="Times New Roman" w:hAnsi="Times New Roman"/>
          <w:b w:val="0"/>
          <w:i/>
          <w:sz w:val="24"/>
        </w:rPr>
        <w:t>NOVELTY_AUDIT.md</w:t>
      </w:r>
      <w:r>
        <w:rPr>
          <w:rFonts w:ascii="Times New Roman" w:hAnsi="Times New Roman"/>
          <w:b w:val="0"/>
          <w:i/>
          <w:sz w:val="24"/>
        </w:rPr>
        <w:t>) that located closer prior art than the studies in §2.1; each is discussed in the Novelty Against Existing Applications section below. No single comparator is affirmative across all six columns.</w:t>
      </w:r>
    </w:p>
    <w:p>
      <w:pPr>
        <w:pStyle w:val="Heading2"/>
      </w:pPr>
      <w:r>
        <w:t>Chapter Conclusion</w:t>
      </w:r>
    </w:p>
    <w:p>
      <w:pPr>
        <w:jc w:val="both"/>
      </w:pPr>
      <w:r>
        <w:rPr>
          <w:rFonts w:ascii="Times New Roman" w:hAnsi="Times New Roman"/>
          <w:b w:val="0"/>
          <w:i w:val="0"/>
          <w:sz w:val="24"/>
        </w:rPr>
        <w:t xml:space="preserve">The reviewed literature, together with the wider body of work on vehicular privacy and blockchain fraud detection — including a dedicated adversarial audit against 107 additional prior works — shows that conditional pseudonymity, quorum-governed identity reveal, deterministic cross-event fraud detection, full-lifecycle registries, and multi-agency governance are each well established </w:t>
      </w:r>
      <w:r>
        <w:rPr>
          <w:rFonts w:ascii="Times New Roman" w:hAnsi="Times New Roman"/>
          <w:b w:val="0"/>
          <w:i/>
          <w:sz w:val="24"/>
        </w:rPr>
        <w:t>individually</w:t>
      </w:r>
      <w:r>
        <w:rPr>
          <w:rFonts w:ascii="Times New Roman" w:hAnsi="Times New Roman"/>
          <w:b w:val="0"/>
          <w:i w:val="0"/>
          <w:sz w:val="24"/>
        </w:rPr>
        <w:t xml:space="preserve">: authority-revealable pseudonymity in Hyperledger Fabric (Bogatov et al., 2019), deployed at national scale in Concordium and in the US Security Credential Management System (Brecht et al., 2018); cross-event fraud rules in production at NMVTIS and RDW/Car-Pass; full-lifecycle coverage in the Swiss cardossier consortium and Bragadeesh &amp; Umamakeswari (2022); and a governance structure mirroring the DMT/Police/Customs/insurer set announced by Dubai RTA in 2018. Privacy-preserving vehicle "passport" designs already combine immutable lifecycle records with selective disclosure (Kaushal, 2025), and even a measured privacy-versus-detection curve exists for vehicular misbehaviour detection (Tsukada et al., 2022, instantiating the general risk-utility framework of Duncan &amp; Stokes, 2001). This research claims none of these primitives as new. What remains unaddressed is their specific </w:t>
      </w:r>
      <w:r>
        <w:rPr>
          <w:rFonts w:ascii="Times New Roman" w:hAnsi="Times New Roman"/>
          <w:b/>
          <w:i w:val="0"/>
          <w:sz w:val="24"/>
        </w:rPr>
        <w:t>combination</w:t>
      </w:r>
      <w:r>
        <w:rPr>
          <w:rFonts w:ascii="Times New Roman" w:hAnsi="Times New Roman"/>
          <w:b w:val="0"/>
          <w:i w:val="0"/>
          <w:sz w:val="24"/>
        </w:rPr>
        <w:t xml:space="preserve">: no located prior work — academic, grey literature, or production system — unifies a persistent per-vehicle owner pseudonym inside an </w:t>
      </w:r>
      <w:r>
        <w:rPr>
          <w:rFonts w:ascii="Times New Roman" w:hAnsi="Times New Roman"/>
          <w:b w:val="0"/>
          <w:i/>
          <w:sz w:val="24"/>
        </w:rPr>
        <w:t>authoritative ownership</w:t>
      </w:r>
      <w:r>
        <w:rPr>
          <w:rFonts w:ascii="Times New Roman" w:hAnsi="Times New Roman"/>
          <w:b w:val="0"/>
          <w:i w:val="0"/>
          <w:sz w:val="24"/>
        </w:rPr>
        <w:t xml:space="preserve"> registry, an agency-quorum reveal that is both policy-coupled to an on-chain fraud flag and logged on-chain, deterministic cross-event fraud rules running over that pseudonymous history, a measured privacy-versus-detection trade-off, and reconciliation with a specific national data-protection act. The contribution of this research is therefore: (i) the applied integration of a persistent owner pseudonym with a policy-coupled, governed multi-party reveal; (ii) a rule-based cross-event fraud-detection layer spanning seven lifecycle events (registration, transfer, accidents, insurance, mileage, theft, and emissions), run over pseudonymous owners; (iii) an explicit, section-level reconciliation with Sri Lanka's PDPA No. 9 of 2022 (as amended by Act No. 22 of 2025); and (iv) an empirical characterisation of the resulting privacy-versus-detection trade-off — framed as a risk-utility-map instance for an asset-</w:t>
      </w:r>
      <w:r>
        <w:rPr>
          <w:rFonts w:ascii="Times New Roman" w:hAnsi="Times New Roman"/>
          <w:b w:val="0"/>
          <w:i/>
          <w:sz w:val="24"/>
        </w:rPr>
        <w:t>ownership</w:t>
      </w:r>
      <w:r>
        <w:rPr>
          <w:rFonts w:ascii="Times New Roman" w:hAnsi="Times New Roman"/>
          <w:b w:val="0"/>
          <w:i w:val="0"/>
          <w:sz w:val="24"/>
        </w:rPr>
        <w:t xml:space="preserve"> registry, together with an analytical minimum-linkability prediction of which fraud rules fail first as linkability is reduced. To the best of our knowledge, this specific five-part combination has not been demonstrated for any ownership registry, and the PDPA mapping and stakeholder set are specific to the Sri Lankan DMT context; the design and the trade-off methodology generalise to other national asset-ownership registries.</w:t>
      </w:r>
    </w:p>
    <w:p>
      <w:r>
        <w:br w:type="page"/>
      </w:r>
    </w:p>
    <w:p>
      <w:pPr>
        <w:pStyle w:val="Heading1"/>
      </w:pPr>
      <w:r>
        <w:t>Chapter 03: Research Methodology</w:t>
      </w:r>
    </w:p>
    <w:p>
      <w:pPr>
        <w:jc w:val="both"/>
      </w:pPr>
      <w:r>
        <w:rPr>
          <w:rFonts w:ascii="Times New Roman" w:hAnsi="Times New Roman"/>
          <w:b w:val="0"/>
          <w:i w:val="0"/>
          <w:sz w:val="24"/>
        </w:rPr>
        <w:t>This research follows the Design Science Research (DSR) paradigm (Hevner et al., 2004; Peffers et al., 2007), in which four artefacts are created: the conditional pseudonym model, the fraud-detection algorithm package, the hybrid on-chain/off-chain architecture, and the proof-of-concept prototype. The process consists of five stages.</w:t>
      </w:r>
    </w:p>
    <w:p>
      <w:pPr>
        <w:pStyle w:val="Heading2"/>
      </w:pPr>
      <w:r>
        <w:t>Stage 1 — Analysis</w:t>
      </w:r>
    </w:p>
    <w:p>
      <w:pPr>
        <w:jc w:val="both"/>
      </w:pPr>
      <w:r>
        <w:rPr>
          <w:rFonts w:ascii="Times New Roman" w:hAnsi="Times New Roman"/>
          <w:b w:val="0"/>
          <w:i w:val="0"/>
          <w:sz w:val="24"/>
        </w:rPr>
        <w:t>A systematic literature review defines the state of the art of blockchain vehicle registries, pseudonymity schemes, and fraud detection. A stakeholder analysis covering the DMT, Sri Lanka Police, insurers, and emission-testing centres determines operational workflows and pain points.</w:t>
      </w:r>
    </w:p>
    <w:p>
      <w:pPr>
        <w:pStyle w:val="Heading2"/>
      </w:pPr>
      <w:r>
        <w:t>Stage 2 — Design</w:t>
      </w:r>
    </w:p>
    <w:p>
      <w:pPr>
        <w:jc w:val="both"/>
      </w:pPr>
      <w:r>
        <w:rPr>
          <w:rFonts w:ascii="Times New Roman" w:hAnsi="Times New Roman"/>
          <w:b w:val="0"/>
          <w:i w:val="0"/>
          <w:sz w:val="24"/>
        </w:rPr>
        <w:t>The conditional pseudonym model is defined in two layers. On-chain, an owner is represented by a salted pseudonym (a one-way commitment) so that, by default, no party reading the ledger can recover the real identity. Reveal is handled separately by a multi-party (threshold) escrow: the pseudonym-to-owner mapping is encrypted off-chain under a key whose shares are split across consortium authorities (e.g., DMT and Police), so that no single party can de-anonymise an owner and a quorum is required to reveal. The model treats the on-chain pseudonym itself as personal data — it is derived from the owner's identity, and the system deliberately links an owner's successive events for fraud detection — and therefore keeps the reveal secrets off-chain and destroyable. Each event type (odometer, accident, insurance, theft) has its own fraud-detection rules, which operate over the linked pseudonymous history without requiring identity reveal. The hybrid architecture stores hashed identifiers and event logs on-chain, separated from personal information held in an off-chain database.</w:t>
      </w:r>
    </w:p>
    <w:p>
      <w:pPr>
        <w:pStyle w:val="Heading2"/>
      </w:pPr>
      <w:r>
        <w:t>Stage 3 — Implementation</w:t>
      </w:r>
    </w:p>
    <w:p>
      <w:pPr>
        <w:jc w:val="both"/>
      </w:pPr>
      <w:r>
        <w:rPr>
          <w:rFonts w:ascii="Times New Roman" w:hAnsi="Times New Roman"/>
          <w:b w:val="0"/>
          <w:i w:val="0"/>
          <w:sz w:val="24"/>
        </w:rPr>
        <w:t>The prototype is developed on Hyperledger Fabric, chosen over public chains because its channel system, built-in RBAC, and private-data collections are natural extensions of the consortium governance among the DMT, Police, insurers, and emission centres (see §4.2 for the full justification). Chaincode is written in Go or JavaScript. Off-chain data is stored in PostgreSQL (structured records), and integrity is ensured by SHA-256 hash anchors stored on-chain. A role-specific view is provided through a Next.js application.</w:t>
      </w:r>
    </w:p>
    <w:p>
      <w:pPr>
        <w:pStyle w:val="Heading2"/>
      </w:pPr>
      <w:r>
        <w:t>Stage 4 — Evaluation</w:t>
      </w:r>
    </w:p>
    <w:p>
      <w:pPr>
        <w:jc w:val="both"/>
      </w:pPr>
      <w:r>
        <w:rPr>
          <w:rFonts w:ascii="Times New Roman" w:hAnsi="Times New Roman"/>
          <w:b w:val="0"/>
          <w:i w:val="0"/>
          <w:sz w:val="24"/>
        </w:rPr>
        <w:t>The artefacts are evaluated in four ways:</w:t>
      </w:r>
    </w:p>
    <w:p>
      <w:pPr>
        <w:pStyle w:val="ListBullet"/>
      </w:pPr>
      <w:r>
        <w:rPr>
          <w:rFonts w:ascii="Times New Roman" w:hAnsi="Times New Roman"/>
          <w:b/>
          <w:i w:val="0"/>
          <w:sz w:val="24"/>
        </w:rPr>
        <w:t>Privacy:</w:t>
      </w:r>
      <w:r>
        <w:rPr>
          <w:rFonts w:ascii="Times New Roman" w:hAnsi="Times New Roman"/>
          <w:b w:val="0"/>
          <w:i w:val="0"/>
          <w:sz w:val="24"/>
        </w:rPr>
        <w:t xml:space="preserve"> linkability attacks are modelled against the pseudonymous identifiers under a defined adversary (an on-chain observer, an honest-but-curious consortium node, and a compromised off-chain store). The metric is the adversary's re-identification advantage and a k-anonymity-style bound on linking an owner's events; every reveal must produce an auditable, multi-party authorisation trail.</w:t>
      </w:r>
    </w:p>
    <w:p>
      <w:pPr>
        <w:pStyle w:val="ListBullet"/>
      </w:pPr>
      <w:r>
        <w:rPr>
          <w:rFonts w:ascii="Times New Roman" w:hAnsi="Times New Roman"/>
          <w:b/>
          <w:i w:val="0"/>
          <w:sz w:val="24"/>
        </w:rPr>
        <w:t>Fraud detection:</w:t>
      </w:r>
      <w:r>
        <w:rPr>
          <w:rFonts w:ascii="Times New Roman" w:hAnsi="Times New Roman"/>
          <w:b w:val="0"/>
          <w:i w:val="0"/>
          <w:sz w:val="24"/>
        </w:rPr>
        <w:t xml:space="preserve"> because the synthetic dataset is generated by the same logic the rules target, results are reported as a </w:t>
      </w:r>
      <w:r>
        <w:rPr>
          <w:rFonts w:ascii="Times New Roman" w:hAnsi="Times New Roman"/>
          <w:b/>
          <w:i w:val="0"/>
          <w:sz w:val="24"/>
        </w:rPr>
        <w:t>correctness check</w:t>
      </w:r>
      <w:r>
        <w:rPr>
          <w:rFonts w:ascii="Times New Roman" w:hAnsi="Times New Roman"/>
          <w:b w:val="0"/>
          <w:i w:val="0"/>
          <w:sz w:val="24"/>
        </w:rPr>
        <w:t xml:space="preserve"> of the rules rather than as real-world detection accuracy. As genuine fraud is a small fraction of events, performance is reported using </w:t>
      </w:r>
      <w:r>
        <w:rPr>
          <w:rFonts w:ascii="Times New Roman" w:hAnsi="Times New Roman"/>
          <w:b/>
          <w:i w:val="0"/>
          <w:sz w:val="24"/>
        </w:rPr>
        <w:t>precision/PPV, recall, F-beta, and area under the precision–recall curve (AUC-PR)</w:t>
      </w:r>
      <w:r>
        <w:rPr>
          <w:rFonts w:ascii="Times New Roman" w:hAnsi="Times New Roman"/>
          <w:b w:val="0"/>
          <w:i w:val="0"/>
          <w:sz w:val="24"/>
        </w:rPr>
        <w:t xml:space="preserve"> at a realistic base rate, together with the expected absolute false-positive volume per million events. Adversarial and held-out cases (e.g., collusive engine/chassis-number forgery) are included to test generalisation beyond scripted fraud.</w:t>
      </w:r>
    </w:p>
    <w:p>
      <w:pPr>
        <w:pStyle w:val="ListBullet"/>
      </w:pPr>
      <w:r>
        <w:rPr>
          <w:rFonts w:ascii="Times New Roman" w:hAnsi="Times New Roman"/>
          <w:b/>
          <w:i w:val="0"/>
          <w:sz w:val="24"/>
        </w:rPr>
        <w:t>Privacy-versus-detection trade-off (headline result):</w:t>
      </w:r>
      <w:r>
        <w:rPr>
          <w:rFonts w:ascii="Times New Roman" w:hAnsi="Times New Roman"/>
          <w:b w:val="0"/>
          <w:i w:val="0"/>
          <w:sz w:val="24"/>
        </w:rPr>
        <w:t xml:space="preserve"> the evaluation quantifies how much linkability must be conceded to reach a given detection performance, and identifies the point at which catching certain frauds would force breaking pseudonymity — the central research finding.</w:t>
      </w:r>
    </w:p>
    <w:p>
      <w:pPr>
        <w:pStyle w:val="ListBullet"/>
      </w:pPr>
      <w:r>
        <w:rPr>
          <w:rFonts w:ascii="Times New Roman" w:hAnsi="Times New Roman"/>
          <w:b/>
          <w:i w:val="0"/>
          <w:sz w:val="24"/>
        </w:rPr>
        <w:t>Performance:</w:t>
      </w:r>
      <w:r>
        <w:rPr>
          <w:rFonts w:ascii="Times New Roman" w:hAnsi="Times New Roman"/>
          <w:b w:val="0"/>
          <w:i w:val="0"/>
          <w:sz w:val="24"/>
        </w:rPr>
        <w:t xml:space="preserve"> the network is load-tested with Hyperledger Caliper under a defined workload (event mix, payload, endorsement policy, organisation/peer/orderer count), reporting p50/p95/p99 latency and sustained throughput; targets of &gt; 100 TPS and sub-3 s latency are treated as feasibility checks, not as contributions.</w:t>
      </w:r>
    </w:p>
    <w:p>
      <w:pPr>
        <w:pStyle w:val="Heading2"/>
      </w:pPr>
      <w:r>
        <w:t>Stage 5 — Documentation</w:t>
      </w:r>
    </w:p>
    <w:p>
      <w:pPr>
        <w:jc w:val="both"/>
      </w:pPr>
      <w:r>
        <w:rPr>
          <w:rFonts w:ascii="Times New Roman" w:hAnsi="Times New Roman"/>
          <w:b w:val="0"/>
          <w:i w:val="0"/>
          <w:sz w:val="24"/>
        </w:rPr>
        <w:t>The final stage produces the complete thesis, the artefact specifications, and the evaluation results.</w:t>
      </w:r>
    </w:p>
    <w:p>
      <w:r>
        <w:br w:type="page"/>
      </w:r>
    </w:p>
    <w:p>
      <w:pPr>
        <w:pStyle w:val="Heading1"/>
      </w:pPr>
      <w:r>
        <w:t>Chapter 04: System Analysis and Design</w:t>
      </w:r>
    </w:p>
    <w:p>
      <w:pPr>
        <w:pStyle w:val="Heading2"/>
      </w:pPr>
      <w:r>
        <w:t>System Overview</w:t>
      </w:r>
    </w:p>
    <w:p>
      <w:pPr>
        <w:jc w:val="both"/>
      </w:pPr>
      <w:r>
        <w:rPr>
          <w:rFonts w:ascii="Times New Roman" w:hAnsi="Times New Roman"/>
          <w:b w:val="0"/>
          <w:i w:val="0"/>
          <w:sz w:val="24"/>
        </w:rPr>
        <w:t>The proposed system is a consortium blockchain-based vehicle lifecycle registry built on Hyperledger Fabric, connecting the DMT, Sri Lanka Police, insurance companies, emission-testing centres, and Sri Lanka Customs. Each institution operates as an identified, permissioned member of the network. Sensitive personal data is held off-chain by the source institution, while only cryptographic hashes, pseudonyms, and status flags are written on-chain.</w:t>
      </w:r>
    </w:p>
    <w:p>
      <w:pPr>
        <w:pStyle w:val="Heading2"/>
      </w:pPr>
      <w:r>
        <w:t>4.2 Blockchain Platform Selection: Private vs Public Blockchain</w:t>
      </w:r>
    </w:p>
    <w:p>
      <w:pPr>
        <w:jc w:val="both"/>
      </w:pPr>
      <w:r>
        <w:rPr>
          <w:rFonts w:ascii="Times New Roman" w:hAnsi="Times New Roman"/>
          <w:b w:val="0"/>
          <w:i w:val="0"/>
          <w:sz w:val="24"/>
        </w:rPr>
        <w:t>During supervision it was suggested that a public blockchain (such as Ethereum) could be used for this system. This section evaluates that option against a permissioned (private/consortium) blockchain and justifies the platform choice, because the selection has a direct impact on privacy, regulatory compliance, performance, and governance — all of which are central to this project.</w:t>
      </w:r>
    </w:p>
    <w:p>
      <w:pPr>
        <w:pStyle w:val="Heading3"/>
      </w:pPr>
      <w:r>
        <w:t>4.2.1 Definitions</w:t>
      </w:r>
    </w:p>
    <w:p>
      <w:pPr>
        <w:jc w:val="both"/>
      </w:pPr>
      <w:r>
        <w:rPr>
          <w:rFonts w:ascii="Times New Roman" w:hAnsi="Times New Roman"/>
          <w:b w:val="0"/>
          <w:i w:val="0"/>
          <w:sz w:val="24"/>
        </w:rPr>
        <w:t xml:space="preserve">A </w:t>
      </w:r>
      <w:r>
        <w:rPr>
          <w:rFonts w:ascii="Times New Roman" w:hAnsi="Times New Roman"/>
          <w:b/>
          <w:i w:val="0"/>
          <w:sz w:val="24"/>
        </w:rPr>
        <w:t>public (permissionless) blockchain</w:t>
      </w:r>
      <w:r>
        <w:rPr>
          <w:rFonts w:ascii="Times New Roman" w:hAnsi="Times New Roman"/>
          <w:b w:val="0"/>
          <w:i w:val="0"/>
          <w:sz w:val="24"/>
        </w:rPr>
        <w:t xml:space="preserve"> is open to anyone; any participant can join, read the full ledger, and submit transactions anonymously (e.g., Ethereum, Bitcoin). A </w:t>
      </w:r>
      <w:r>
        <w:rPr>
          <w:rFonts w:ascii="Times New Roman" w:hAnsi="Times New Roman"/>
          <w:b/>
          <w:i w:val="0"/>
          <w:sz w:val="24"/>
        </w:rPr>
        <w:t>private/consortium (permissioned) blockchain</w:t>
      </w:r>
      <w:r>
        <w:rPr>
          <w:rFonts w:ascii="Times New Roman" w:hAnsi="Times New Roman"/>
          <w:b w:val="0"/>
          <w:i w:val="0"/>
          <w:sz w:val="24"/>
        </w:rPr>
        <w:t xml:space="preserve"> restricts participation to known, vetted organisations that are governed by an agreed membership policy (e.g., Hyperledger Fabric). In a consortium model the ledger is jointly operated by several institutions rather than a single owner.</w:t>
      </w:r>
    </w:p>
    <w:p>
      <w:pPr>
        <w:pStyle w:val="Heading3"/>
      </w:pPr>
      <w:r>
        <w:t>4.2.2 Comparison</w:t>
      </w:r>
    </w:p>
    <w:tbl>
      <w:tblPr>
        <w:tblStyle w:val="TableGrid"/>
        <w:tblW w:type="auto" w:w="0"/>
        <w:jc w:val="center"/>
        <w:tblLook w:firstColumn="1" w:firstRow="1" w:lastColumn="0" w:lastRow="0" w:noHBand="0" w:noVBand="1" w:val="04A0"/>
      </w:tblPr>
      <w:tblGrid>
        <w:gridCol w:w="2640"/>
        <w:gridCol w:w="2640"/>
        <w:gridCol w:w="2640"/>
      </w:tblGrid>
      <w:tr>
        <w:tc>
          <w:tcPr>
            <w:tcW w:type="dxa" w:w="2640"/>
            <w:shd w:val="clear" w:fill="D9E2F3"/>
          </w:tcPr>
          <w:p>
            <w:pPr>
              <w:spacing w:after="40"/>
            </w:pPr>
            <w:r/>
            <w:r>
              <w:rPr>
                <w:rFonts w:ascii="Times New Roman" w:hAnsi="Times New Roman"/>
                <w:b/>
                <w:i w:val="0"/>
                <w:sz w:val="22"/>
              </w:rPr>
              <w:t>Dimension</w:t>
            </w:r>
          </w:p>
        </w:tc>
        <w:tc>
          <w:tcPr>
            <w:tcW w:type="dxa" w:w="2640"/>
            <w:shd w:val="clear" w:fill="D9E2F3"/>
          </w:tcPr>
          <w:p>
            <w:pPr>
              <w:spacing w:after="40"/>
            </w:pPr>
            <w:r/>
            <w:r>
              <w:rPr>
                <w:rFonts w:ascii="Times New Roman" w:hAnsi="Times New Roman"/>
                <w:b/>
                <w:i w:val="0"/>
                <w:sz w:val="22"/>
              </w:rPr>
              <w:t>Public Blockchain (e.g., Ethereum)</w:t>
            </w:r>
          </w:p>
        </w:tc>
        <w:tc>
          <w:tcPr>
            <w:tcW w:type="dxa" w:w="2640"/>
            <w:shd w:val="clear" w:fill="D9E2F3"/>
          </w:tcPr>
          <w:p>
            <w:pPr>
              <w:spacing w:after="40"/>
            </w:pPr>
            <w:r/>
            <w:r>
              <w:rPr>
                <w:rFonts w:ascii="Times New Roman" w:hAnsi="Times New Roman"/>
                <w:b/>
                <w:i w:val="0"/>
                <w:sz w:val="22"/>
              </w:rPr>
              <w:t>Private / Consortium Blockchain (Hyperledger Fabric)</w:t>
            </w:r>
          </w:p>
        </w:tc>
      </w:tr>
      <w:tr>
        <w:tc>
          <w:tcPr>
            <w:tcW w:type="dxa" w:w="2640"/>
          </w:tcPr>
          <w:p>
            <w:pPr>
              <w:spacing w:after="40"/>
            </w:pPr>
            <w:r/>
            <w:r>
              <w:rPr>
                <w:rFonts w:ascii="Times New Roman" w:hAnsi="Times New Roman"/>
                <w:b w:val="0"/>
                <w:i w:val="0"/>
                <w:sz w:val="22"/>
              </w:rPr>
              <w:t>Network access</w:t>
            </w:r>
          </w:p>
        </w:tc>
        <w:tc>
          <w:tcPr>
            <w:tcW w:type="dxa" w:w="2640"/>
          </w:tcPr>
          <w:p>
            <w:pPr>
              <w:spacing w:after="40"/>
            </w:pPr>
            <w:r/>
            <w:r>
              <w:rPr>
                <w:rFonts w:ascii="Times New Roman" w:hAnsi="Times New Roman"/>
                <w:b w:val="0"/>
                <w:i w:val="0"/>
                <w:sz w:val="22"/>
              </w:rPr>
              <w:t>Open, permissionless — anyone can join</w:t>
            </w:r>
          </w:p>
        </w:tc>
        <w:tc>
          <w:tcPr>
            <w:tcW w:type="dxa" w:w="2640"/>
          </w:tcPr>
          <w:p>
            <w:pPr>
              <w:spacing w:after="40"/>
            </w:pPr>
            <w:r/>
            <w:r>
              <w:rPr>
                <w:rFonts w:ascii="Times New Roman" w:hAnsi="Times New Roman"/>
                <w:b w:val="0"/>
                <w:i w:val="0"/>
                <w:sz w:val="22"/>
              </w:rPr>
              <w:t>Restricted, permissioned — only vetted members</w:t>
            </w:r>
          </w:p>
        </w:tc>
      </w:tr>
      <w:tr>
        <w:tc>
          <w:tcPr>
            <w:tcW w:type="dxa" w:w="2640"/>
          </w:tcPr>
          <w:p>
            <w:pPr>
              <w:spacing w:after="40"/>
            </w:pPr>
            <w:r/>
            <w:r>
              <w:rPr>
                <w:rFonts w:ascii="Times New Roman" w:hAnsi="Times New Roman"/>
                <w:b w:val="0"/>
                <w:i w:val="0"/>
                <w:sz w:val="22"/>
              </w:rPr>
              <w:t>Participants</w:t>
            </w:r>
          </w:p>
        </w:tc>
        <w:tc>
          <w:tcPr>
            <w:tcW w:type="dxa" w:w="2640"/>
          </w:tcPr>
          <w:p>
            <w:pPr>
              <w:spacing w:after="40"/>
            </w:pPr>
            <w:r/>
            <w:r>
              <w:rPr>
                <w:rFonts w:ascii="Times New Roman" w:hAnsi="Times New Roman"/>
                <w:b w:val="0"/>
                <w:i w:val="0"/>
                <w:sz w:val="22"/>
              </w:rPr>
              <w:t>Anonymous, unlimited</w:t>
            </w:r>
          </w:p>
        </w:tc>
        <w:tc>
          <w:tcPr>
            <w:tcW w:type="dxa" w:w="2640"/>
          </w:tcPr>
          <w:p>
            <w:pPr>
              <w:spacing w:after="40"/>
            </w:pPr>
            <w:r/>
            <w:r>
              <w:rPr>
                <w:rFonts w:ascii="Times New Roman" w:hAnsi="Times New Roman"/>
                <w:b w:val="0"/>
                <w:i w:val="0"/>
                <w:sz w:val="22"/>
              </w:rPr>
              <w:t>Identified institutions (DMT, Police, insurers, etc.)</w:t>
            </w:r>
          </w:p>
        </w:tc>
      </w:tr>
      <w:tr>
        <w:tc>
          <w:tcPr>
            <w:tcW w:type="dxa" w:w="2640"/>
          </w:tcPr>
          <w:p>
            <w:pPr>
              <w:spacing w:after="40"/>
            </w:pPr>
            <w:r/>
            <w:r>
              <w:rPr>
                <w:rFonts w:ascii="Times New Roman" w:hAnsi="Times New Roman"/>
                <w:b w:val="0"/>
                <w:i w:val="0"/>
                <w:sz w:val="22"/>
              </w:rPr>
              <w:t>Governance</w:t>
            </w:r>
          </w:p>
        </w:tc>
        <w:tc>
          <w:tcPr>
            <w:tcW w:type="dxa" w:w="2640"/>
          </w:tcPr>
          <w:p>
            <w:pPr>
              <w:spacing w:after="40"/>
            </w:pPr>
            <w:r/>
            <w:r>
              <w:rPr>
                <w:rFonts w:ascii="Times New Roman" w:hAnsi="Times New Roman"/>
                <w:b w:val="0"/>
                <w:i w:val="0"/>
                <w:sz w:val="22"/>
              </w:rPr>
              <w:t>Fully decentralised, no single authority</w:t>
            </w:r>
          </w:p>
        </w:tc>
        <w:tc>
          <w:tcPr>
            <w:tcW w:type="dxa" w:w="2640"/>
          </w:tcPr>
          <w:p>
            <w:pPr>
              <w:spacing w:after="40"/>
            </w:pPr>
            <w:r/>
            <w:r>
              <w:rPr>
                <w:rFonts w:ascii="Times New Roman" w:hAnsi="Times New Roman"/>
                <w:b w:val="0"/>
                <w:i w:val="0"/>
                <w:sz w:val="22"/>
              </w:rPr>
              <w:t>Shared among consortium members under agreed rules</w:t>
            </w:r>
          </w:p>
        </w:tc>
      </w:tr>
      <w:tr>
        <w:tc>
          <w:tcPr>
            <w:tcW w:type="dxa" w:w="2640"/>
          </w:tcPr>
          <w:p>
            <w:pPr>
              <w:spacing w:after="40"/>
            </w:pPr>
            <w:r/>
            <w:r>
              <w:rPr>
                <w:rFonts w:ascii="Times New Roman" w:hAnsi="Times New Roman"/>
                <w:b w:val="0"/>
                <w:i w:val="0"/>
                <w:sz w:val="22"/>
              </w:rPr>
              <w:t>Consensus</w:t>
            </w:r>
          </w:p>
        </w:tc>
        <w:tc>
          <w:tcPr>
            <w:tcW w:type="dxa" w:w="2640"/>
          </w:tcPr>
          <w:p>
            <w:pPr>
              <w:spacing w:after="40"/>
            </w:pPr>
            <w:r/>
            <w:r>
              <w:rPr>
                <w:rFonts w:ascii="Times New Roman" w:hAnsi="Times New Roman"/>
                <w:b w:val="0"/>
                <w:i w:val="0"/>
                <w:sz w:val="22"/>
              </w:rPr>
              <w:t>PoW / PoS — resource-intensive</w:t>
            </w:r>
          </w:p>
        </w:tc>
        <w:tc>
          <w:tcPr>
            <w:tcW w:type="dxa" w:w="2640"/>
          </w:tcPr>
          <w:p>
            <w:pPr>
              <w:spacing w:after="40"/>
            </w:pPr>
            <w:r/>
            <w:r>
              <w:rPr>
                <w:rFonts w:ascii="Times New Roman" w:hAnsi="Times New Roman"/>
                <w:b w:val="0"/>
                <w:i w:val="0"/>
                <w:sz w:val="22"/>
              </w:rPr>
              <w:t>Pluggable (Raft / BFT) — lightweight</w:t>
            </w:r>
          </w:p>
        </w:tc>
      </w:tr>
      <w:tr>
        <w:tc>
          <w:tcPr>
            <w:tcW w:type="dxa" w:w="2640"/>
          </w:tcPr>
          <w:p>
            <w:pPr>
              <w:spacing w:after="40"/>
            </w:pPr>
            <w:r/>
            <w:r>
              <w:rPr>
                <w:rFonts w:ascii="Times New Roman" w:hAnsi="Times New Roman"/>
                <w:b w:val="0"/>
                <w:i w:val="0"/>
                <w:sz w:val="22"/>
              </w:rPr>
              <w:t>Throughput</w:t>
            </w:r>
          </w:p>
        </w:tc>
        <w:tc>
          <w:tcPr>
            <w:tcW w:type="dxa" w:w="2640"/>
          </w:tcPr>
          <w:p>
            <w:pPr>
              <w:spacing w:after="40"/>
            </w:pPr>
            <w:r/>
            <w:r>
              <w:rPr>
                <w:rFonts w:ascii="Times New Roman" w:hAnsi="Times New Roman"/>
                <w:b w:val="0"/>
                <w:i w:val="0"/>
                <w:sz w:val="22"/>
              </w:rPr>
              <w:t>Low (~15–30 TPS on Ethereum)</w:t>
            </w:r>
          </w:p>
        </w:tc>
        <w:tc>
          <w:tcPr>
            <w:tcW w:type="dxa" w:w="2640"/>
          </w:tcPr>
          <w:p>
            <w:pPr>
              <w:spacing w:after="40"/>
            </w:pPr>
            <w:r/>
            <w:r>
              <w:rPr>
                <w:rFonts w:ascii="Times New Roman" w:hAnsi="Times New Roman"/>
                <w:b w:val="0"/>
                <w:i w:val="0"/>
                <w:sz w:val="22"/>
              </w:rPr>
              <w:t>High (1,000+ TPS reported for Fabric)</w:t>
            </w:r>
          </w:p>
        </w:tc>
      </w:tr>
      <w:tr>
        <w:tc>
          <w:tcPr>
            <w:tcW w:type="dxa" w:w="2640"/>
          </w:tcPr>
          <w:p>
            <w:pPr>
              <w:spacing w:after="40"/>
            </w:pPr>
            <w:r/>
            <w:r>
              <w:rPr>
                <w:rFonts w:ascii="Times New Roman" w:hAnsi="Times New Roman"/>
                <w:b w:val="0"/>
                <w:i w:val="0"/>
                <w:sz w:val="22"/>
              </w:rPr>
              <w:t>Finality / latency</w:t>
            </w:r>
          </w:p>
        </w:tc>
        <w:tc>
          <w:tcPr>
            <w:tcW w:type="dxa" w:w="2640"/>
          </w:tcPr>
          <w:p>
            <w:pPr>
              <w:spacing w:after="40"/>
            </w:pPr>
            <w:r/>
            <w:r>
              <w:rPr>
                <w:rFonts w:ascii="Times New Roman" w:hAnsi="Times New Roman"/>
                <w:b w:val="0"/>
                <w:i w:val="0"/>
                <w:sz w:val="22"/>
              </w:rPr>
              <w:t>Probabilistic, slower confirmation</w:t>
            </w:r>
          </w:p>
        </w:tc>
        <w:tc>
          <w:tcPr>
            <w:tcW w:type="dxa" w:w="2640"/>
          </w:tcPr>
          <w:p>
            <w:pPr>
              <w:spacing w:after="40"/>
            </w:pPr>
            <w:r/>
            <w:r>
              <w:rPr>
                <w:rFonts w:ascii="Times New Roman" w:hAnsi="Times New Roman"/>
                <w:b w:val="0"/>
                <w:i w:val="0"/>
                <w:sz w:val="22"/>
              </w:rPr>
              <w:t>Deterministic, fast (&lt; 3 s)</w:t>
            </w:r>
          </w:p>
        </w:tc>
      </w:tr>
      <w:tr>
        <w:tc>
          <w:tcPr>
            <w:tcW w:type="dxa" w:w="2640"/>
          </w:tcPr>
          <w:p>
            <w:pPr>
              <w:spacing w:after="40"/>
            </w:pPr>
            <w:r/>
            <w:r>
              <w:rPr>
                <w:rFonts w:ascii="Times New Roman" w:hAnsi="Times New Roman"/>
                <w:b w:val="0"/>
                <w:i w:val="0"/>
                <w:sz w:val="22"/>
              </w:rPr>
              <w:t>Transaction cost</w:t>
            </w:r>
          </w:p>
        </w:tc>
        <w:tc>
          <w:tcPr>
            <w:tcW w:type="dxa" w:w="2640"/>
          </w:tcPr>
          <w:p>
            <w:pPr>
              <w:spacing w:after="40"/>
            </w:pPr>
            <w:r/>
            <w:r>
              <w:rPr>
                <w:rFonts w:ascii="Times New Roman" w:hAnsi="Times New Roman"/>
                <w:b w:val="0"/>
                <w:i w:val="0"/>
                <w:sz w:val="22"/>
              </w:rPr>
              <w:t>Gas fees — real, volatile cost per write</w:t>
            </w:r>
          </w:p>
        </w:tc>
        <w:tc>
          <w:tcPr>
            <w:tcW w:type="dxa" w:w="2640"/>
          </w:tcPr>
          <w:p>
            <w:pPr>
              <w:spacing w:after="40"/>
            </w:pPr>
            <w:r/>
            <w:r>
              <w:rPr>
                <w:rFonts w:ascii="Times New Roman" w:hAnsi="Times New Roman"/>
                <w:b w:val="0"/>
                <w:i w:val="0"/>
                <w:sz w:val="22"/>
              </w:rPr>
              <w:t>No gas; only infrastructure cost</w:t>
            </w:r>
          </w:p>
        </w:tc>
      </w:tr>
      <w:tr>
        <w:tc>
          <w:tcPr>
            <w:tcW w:type="dxa" w:w="2640"/>
          </w:tcPr>
          <w:p>
            <w:pPr>
              <w:spacing w:after="40"/>
            </w:pPr>
            <w:r/>
            <w:r>
              <w:rPr>
                <w:rFonts w:ascii="Times New Roman" w:hAnsi="Times New Roman"/>
                <w:b w:val="0"/>
                <w:i w:val="0"/>
                <w:sz w:val="22"/>
              </w:rPr>
              <w:t>Data confidentiality</w:t>
            </w:r>
          </w:p>
        </w:tc>
        <w:tc>
          <w:tcPr>
            <w:tcW w:type="dxa" w:w="2640"/>
          </w:tcPr>
          <w:p>
            <w:pPr>
              <w:spacing w:after="40"/>
            </w:pPr>
            <w:r/>
            <w:r>
              <w:rPr>
                <w:rFonts w:ascii="Times New Roman" w:hAnsi="Times New Roman"/>
                <w:b w:val="0"/>
                <w:i w:val="0"/>
                <w:sz w:val="22"/>
              </w:rPr>
              <w:t>All data public by default</w:t>
            </w:r>
          </w:p>
        </w:tc>
        <w:tc>
          <w:tcPr>
            <w:tcW w:type="dxa" w:w="2640"/>
          </w:tcPr>
          <w:p>
            <w:pPr>
              <w:spacing w:after="40"/>
            </w:pPr>
            <w:r/>
            <w:r>
              <w:rPr>
                <w:rFonts w:ascii="Times New Roman" w:hAnsi="Times New Roman"/>
                <w:b w:val="0"/>
                <w:i w:val="0"/>
                <w:sz w:val="22"/>
              </w:rPr>
              <w:t>Channels and private-data collections allow selective disclosure</w:t>
            </w:r>
          </w:p>
        </w:tc>
      </w:tr>
      <w:tr>
        <w:tc>
          <w:tcPr>
            <w:tcW w:type="dxa" w:w="2640"/>
          </w:tcPr>
          <w:p>
            <w:pPr>
              <w:spacing w:after="40"/>
            </w:pPr>
            <w:r/>
            <w:r>
              <w:rPr>
                <w:rFonts w:ascii="Times New Roman" w:hAnsi="Times New Roman"/>
                <w:b w:val="0"/>
                <w:i w:val="0"/>
                <w:sz w:val="22"/>
              </w:rPr>
              <w:t>Handling of PII</w:t>
            </w:r>
          </w:p>
        </w:tc>
        <w:tc>
          <w:tcPr>
            <w:tcW w:type="dxa" w:w="2640"/>
          </w:tcPr>
          <w:p>
            <w:pPr>
              <w:spacing w:after="40"/>
            </w:pPr>
            <w:r/>
            <w:r>
              <w:rPr>
                <w:rFonts w:ascii="Times New Roman" w:hAnsi="Times New Roman"/>
                <w:b w:val="0"/>
                <w:i w:val="0"/>
                <w:sz w:val="22"/>
              </w:rPr>
              <w:t>Very difficult — everything is visible and permanent</w:t>
            </w:r>
          </w:p>
        </w:tc>
        <w:tc>
          <w:tcPr>
            <w:tcW w:type="dxa" w:w="2640"/>
          </w:tcPr>
          <w:p>
            <w:pPr>
              <w:spacing w:after="40"/>
            </w:pPr>
            <w:r/>
            <w:r>
              <w:rPr>
                <w:rFonts w:ascii="Times New Roman" w:hAnsi="Times New Roman"/>
                <w:b w:val="0"/>
                <w:i w:val="0"/>
                <w:sz w:val="22"/>
              </w:rPr>
              <w:t>Controllable — PII kept off-chain, only hashes on-chain</w:t>
            </w:r>
          </w:p>
        </w:tc>
      </w:tr>
      <w:tr>
        <w:tc>
          <w:tcPr>
            <w:tcW w:type="dxa" w:w="2640"/>
          </w:tcPr>
          <w:p>
            <w:pPr>
              <w:spacing w:after="40"/>
            </w:pPr>
            <w:r/>
            <w:r>
              <w:rPr>
                <w:rFonts w:ascii="Times New Roman" w:hAnsi="Times New Roman"/>
                <w:b w:val="0"/>
                <w:i w:val="0"/>
                <w:sz w:val="22"/>
              </w:rPr>
              <w:t>Identity &amp; access control</w:t>
            </w:r>
          </w:p>
        </w:tc>
        <w:tc>
          <w:tcPr>
            <w:tcW w:type="dxa" w:w="2640"/>
          </w:tcPr>
          <w:p>
            <w:pPr>
              <w:spacing w:after="40"/>
            </w:pPr>
            <w:r/>
            <w:r>
              <w:rPr>
                <w:rFonts w:ascii="Times New Roman" w:hAnsi="Times New Roman"/>
                <w:b w:val="0"/>
                <w:i w:val="0"/>
                <w:sz w:val="22"/>
              </w:rPr>
              <w:t>Pseudonymous addresses, no native roles</w:t>
            </w:r>
          </w:p>
        </w:tc>
        <w:tc>
          <w:tcPr>
            <w:tcW w:type="dxa" w:w="2640"/>
          </w:tcPr>
          <w:p>
            <w:pPr>
              <w:spacing w:after="40"/>
            </w:pPr>
            <w:r/>
            <w:r>
              <w:rPr>
                <w:rFonts w:ascii="Times New Roman" w:hAnsi="Times New Roman"/>
                <w:b w:val="0"/>
                <w:i w:val="0"/>
                <w:sz w:val="22"/>
              </w:rPr>
              <w:t>Built-in MSP and role-based access control</w:t>
            </w:r>
          </w:p>
        </w:tc>
      </w:tr>
      <w:tr>
        <w:tc>
          <w:tcPr>
            <w:tcW w:type="dxa" w:w="2640"/>
          </w:tcPr>
          <w:p>
            <w:pPr>
              <w:spacing w:after="40"/>
            </w:pPr>
            <w:r/>
            <w:r>
              <w:rPr>
                <w:rFonts w:ascii="Times New Roman" w:hAnsi="Times New Roman"/>
                <w:b w:val="0"/>
                <w:i w:val="0"/>
                <w:sz w:val="22"/>
              </w:rPr>
              <w:t>Regulatory / PDPA fit</w:t>
            </w:r>
          </w:p>
        </w:tc>
        <w:tc>
          <w:tcPr>
            <w:tcW w:type="dxa" w:w="2640"/>
          </w:tcPr>
          <w:p>
            <w:pPr>
              <w:spacing w:after="40"/>
            </w:pPr>
            <w:r/>
            <w:r>
              <w:rPr>
                <w:rFonts w:ascii="Times New Roman" w:hAnsi="Times New Roman"/>
                <w:b w:val="0"/>
                <w:i w:val="0"/>
                <w:sz w:val="22"/>
              </w:rPr>
              <w:t>Poor — immutable public PII conflicts with erasure rights</w:t>
            </w:r>
          </w:p>
        </w:tc>
        <w:tc>
          <w:tcPr>
            <w:tcW w:type="dxa" w:w="2640"/>
          </w:tcPr>
          <w:p>
            <w:pPr>
              <w:spacing w:after="40"/>
            </w:pPr>
            <w:r/>
            <w:r>
              <w:rPr>
                <w:rFonts w:ascii="Times New Roman" w:hAnsi="Times New Roman"/>
                <w:b w:val="0"/>
                <w:i w:val="0"/>
                <w:sz w:val="22"/>
              </w:rPr>
              <w:t>Good — PII off-chain and access-controlled</w:t>
            </w:r>
          </w:p>
        </w:tc>
      </w:tr>
      <w:tr>
        <w:tc>
          <w:tcPr>
            <w:tcW w:type="dxa" w:w="2640"/>
          </w:tcPr>
          <w:p>
            <w:pPr>
              <w:spacing w:after="40"/>
            </w:pPr>
            <w:r/>
            <w:r>
              <w:rPr>
                <w:rFonts w:ascii="Times New Roman" w:hAnsi="Times New Roman"/>
                <w:b w:val="0"/>
                <w:i w:val="0"/>
                <w:sz w:val="22"/>
              </w:rPr>
              <w:t>Energy consumption</w:t>
            </w:r>
          </w:p>
        </w:tc>
        <w:tc>
          <w:tcPr>
            <w:tcW w:type="dxa" w:w="2640"/>
          </w:tcPr>
          <w:p>
            <w:pPr>
              <w:spacing w:after="40"/>
            </w:pPr>
            <w:r/>
            <w:r>
              <w:rPr>
                <w:rFonts w:ascii="Times New Roman" w:hAnsi="Times New Roman"/>
                <w:b w:val="0"/>
                <w:i w:val="0"/>
                <w:sz w:val="22"/>
              </w:rPr>
              <w:t>High (especially PoW)</w:t>
            </w:r>
          </w:p>
        </w:tc>
        <w:tc>
          <w:tcPr>
            <w:tcW w:type="dxa" w:w="2640"/>
          </w:tcPr>
          <w:p>
            <w:pPr>
              <w:spacing w:after="40"/>
            </w:pPr>
            <w:r/>
            <w:r>
              <w:rPr>
                <w:rFonts w:ascii="Times New Roman" w:hAnsi="Times New Roman"/>
                <w:b w:val="0"/>
                <w:i w:val="0"/>
                <w:sz w:val="22"/>
              </w:rPr>
              <w:t>Low</w:t>
            </w:r>
          </w:p>
        </w:tc>
      </w:tr>
      <w:tr>
        <w:tc>
          <w:tcPr>
            <w:tcW w:type="dxa" w:w="2640"/>
          </w:tcPr>
          <w:p>
            <w:pPr>
              <w:spacing w:after="40"/>
            </w:pPr>
            <w:r/>
            <w:r>
              <w:rPr>
                <w:rFonts w:ascii="Times New Roman" w:hAnsi="Times New Roman"/>
                <w:b w:val="0"/>
                <w:i w:val="0"/>
                <w:sz w:val="22"/>
              </w:rPr>
              <w:t>Suitability for a national registry</w:t>
            </w:r>
          </w:p>
        </w:tc>
        <w:tc>
          <w:tcPr>
            <w:tcW w:type="dxa" w:w="2640"/>
          </w:tcPr>
          <w:p>
            <w:pPr>
              <w:spacing w:after="40"/>
            </w:pPr>
            <w:r/>
            <w:r>
              <w:rPr>
                <w:rFonts w:ascii="Times New Roman" w:hAnsi="Times New Roman"/>
                <w:b w:val="0"/>
                <w:i w:val="0"/>
                <w:sz w:val="22"/>
              </w:rPr>
              <w:t>Low</w:t>
            </w:r>
          </w:p>
        </w:tc>
        <w:tc>
          <w:tcPr>
            <w:tcW w:type="dxa" w:w="2640"/>
          </w:tcPr>
          <w:p>
            <w:pPr>
              <w:spacing w:after="40"/>
            </w:pPr>
            <w:r/>
            <w:r>
              <w:rPr>
                <w:rFonts w:ascii="Times New Roman" w:hAnsi="Times New Roman"/>
                <w:b w:val="0"/>
                <w:i w:val="0"/>
                <w:sz w:val="22"/>
              </w:rPr>
              <w:t>High</w:t>
            </w:r>
          </w:p>
        </w:tc>
      </w:tr>
    </w:tbl>
    <w:p/>
    <w:p>
      <w:pPr>
        <w:pStyle w:val="Heading3"/>
      </w:pPr>
      <w:r>
        <w:t>4.2.3 Advantages and Disadvantages</w:t>
      </w:r>
    </w:p>
    <w:p>
      <w:pPr>
        <w:jc w:val="both"/>
      </w:pPr>
      <w:r>
        <w:rPr>
          <w:rFonts w:ascii="Times New Roman" w:hAnsi="Times New Roman"/>
          <w:b/>
          <w:i w:val="0"/>
          <w:sz w:val="24"/>
        </w:rPr>
        <w:t>Public blockchain — advantages:</w:t>
      </w:r>
      <w:r>
        <w:rPr>
          <w:rFonts w:ascii="Times New Roman" w:hAnsi="Times New Roman"/>
          <w:b w:val="0"/>
          <w:i w:val="0"/>
          <w:sz w:val="24"/>
        </w:rPr>
        <w:t xml:space="preserve"> openness and censorship resistance; no single point of trust; public verifiability of records; large, mature developer ecosystem.</w:t>
      </w:r>
    </w:p>
    <w:p>
      <w:pPr>
        <w:jc w:val="both"/>
      </w:pPr>
      <w:r>
        <w:rPr>
          <w:rFonts w:ascii="Times New Roman" w:hAnsi="Times New Roman"/>
          <w:b/>
          <w:i w:val="0"/>
          <w:sz w:val="24"/>
        </w:rPr>
        <w:t>Public blockchain — disadvantages:</w:t>
      </w:r>
      <w:r>
        <w:rPr>
          <w:rFonts w:ascii="Times New Roman" w:hAnsi="Times New Roman"/>
          <w:b w:val="0"/>
          <w:i w:val="0"/>
          <w:sz w:val="24"/>
        </w:rPr>
        <w:t xml:space="preserve"> no confidentiality (all owner data would be visible); gas fees create ongoing, unpredictable costs at government scale; low throughput unsuitable for national transaction volumes; no native role-based access control; immutable public PII conflicts directly with the PDPA (2022); anonymous addresses can actually shield fraudsters.</w:t>
      </w:r>
    </w:p>
    <w:p>
      <w:pPr>
        <w:jc w:val="both"/>
      </w:pPr>
      <w:r>
        <w:rPr>
          <w:rFonts w:ascii="Times New Roman" w:hAnsi="Times New Roman"/>
          <w:b/>
          <w:i w:val="0"/>
          <w:sz w:val="24"/>
        </w:rPr>
        <w:t>Private / consortium blockchain — advantages:</w:t>
      </w:r>
      <w:r>
        <w:rPr>
          <w:rFonts w:ascii="Times New Roman" w:hAnsi="Times New Roman"/>
          <w:b w:val="0"/>
          <w:i w:val="0"/>
          <w:sz w:val="24"/>
        </w:rPr>
        <w:t xml:space="preserve"> data confidentiality through channels and private-data collections; native membership and role-based access control (MSP); high throughput and deterministic finality; no gas fees; governance that mirrors the real institutional structure (DMT, Police, insurers, emission centres); a far better fit for PDPA compliance because PII can be kept off-chain.</w:t>
      </w:r>
    </w:p>
    <w:p>
      <w:pPr>
        <w:jc w:val="both"/>
      </w:pPr>
      <w:r>
        <w:rPr>
          <w:rFonts w:ascii="Times New Roman" w:hAnsi="Times New Roman"/>
          <w:b/>
          <w:i w:val="0"/>
          <w:sz w:val="24"/>
        </w:rPr>
        <w:t>Private / consortium blockchain — disadvantages:</w:t>
      </w:r>
      <w:r>
        <w:rPr>
          <w:rFonts w:ascii="Times New Roman" w:hAnsi="Times New Roman"/>
          <w:b w:val="0"/>
          <w:i w:val="0"/>
          <w:sz w:val="24"/>
        </w:rPr>
        <w:t xml:space="preserve"> less decentralised than a public chain; requires a degree of trust and cooperation between consortium members; more complex initial setup and governance agreements; fewer fully independent public verifiers.</w:t>
      </w:r>
    </w:p>
    <w:p>
      <w:pPr>
        <w:pStyle w:val="Heading3"/>
      </w:pPr>
      <w:r>
        <w:t>4.2.4 Justification of the Selected Platform</w:t>
      </w:r>
    </w:p>
    <w:p>
      <w:pPr>
        <w:jc w:val="both"/>
      </w:pPr>
      <w:r>
        <w:rPr>
          <w:rFonts w:ascii="Times New Roman" w:hAnsi="Times New Roman"/>
          <w:b w:val="0"/>
          <w:i w:val="0"/>
          <w:sz w:val="24"/>
        </w:rPr>
        <w:t xml:space="preserve">For a national vehicle registry that handles sensitive personal data among a known set of government and institutional stakeholders, a </w:t>
      </w:r>
      <w:r>
        <w:rPr>
          <w:rFonts w:ascii="Times New Roman" w:hAnsi="Times New Roman"/>
          <w:b/>
          <w:i w:val="0"/>
          <w:sz w:val="24"/>
        </w:rPr>
        <w:t>permissioned consortium blockchain (Hyperledger Fabric)</w:t>
      </w:r>
      <w:r>
        <w:rPr>
          <w:rFonts w:ascii="Times New Roman" w:hAnsi="Times New Roman"/>
          <w:b w:val="0"/>
          <w:i w:val="0"/>
          <w:sz w:val="24"/>
        </w:rPr>
        <w:t xml:space="preserve"> is the more appropriate choice. The decisive factors are:</w:t>
      </w:r>
    </w:p>
    <w:p>
      <w:pPr>
        <w:pStyle w:val="ListBullet"/>
      </w:pPr>
      <w:r>
        <w:rPr>
          <w:rFonts w:ascii="Times New Roman" w:hAnsi="Times New Roman"/>
          <w:b/>
          <w:i w:val="0"/>
          <w:sz w:val="24"/>
        </w:rPr>
        <w:t>Privacy and PDPA (2022) compliance.</w:t>
      </w:r>
      <w:r>
        <w:rPr>
          <w:rFonts w:ascii="Times New Roman" w:hAnsi="Times New Roman"/>
          <w:b w:val="0"/>
          <w:i w:val="0"/>
          <w:sz w:val="24"/>
        </w:rPr>
        <w:t xml:space="preserve"> A public blockchain would make every owner record permanently and globally visible, which is incompatible with the PDPA's data-protection and erasure principles. Fabric's off-chain storage and private-data collections allow PII to be kept off the ledger while still anchoring integrity on-chain.</w:t>
      </w:r>
    </w:p>
    <w:p>
      <w:pPr>
        <w:pStyle w:val="ListBullet"/>
      </w:pPr>
      <w:r>
        <w:rPr>
          <w:rFonts w:ascii="Times New Roman" w:hAnsi="Times New Roman"/>
          <w:b/>
          <w:i w:val="0"/>
          <w:sz w:val="24"/>
        </w:rPr>
        <w:t>Access control.</w:t>
      </w:r>
      <w:r>
        <w:rPr>
          <w:rFonts w:ascii="Times New Roman" w:hAnsi="Times New Roman"/>
          <w:b w:val="0"/>
          <w:i w:val="0"/>
          <w:sz w:val="24"/>
        </w:rPr>
        <w:t xml:space="preserve"> The system depends on roles — only the Police may log theft, only emission centres may log mileage, and identity reveal requires dual Police + DMT authorisation. Fabric's MSP provides this natively; a public chain does not.</w:t>
      </w:r>
    </w:p>
    <w:p>
      <w:pPr>
        <w:pStyle w:val="ListBullet"/>
      </w:pPr>
      <w:r>
        <w:rPr>
          <w:rFonts w:ascii="Times New Roman" w:hAnsi="Times New Roman"/>
          <w:b/>
          <w:i w:val="0"/>
          <w:sz w:val="24"/>
        </w:rPr>
        <w:t>Performance and cost.</w:t>
      </w:r>
      <w:r>
        <w:rPr>
          <w:rFonts w:ascii="Times New Roman" w:hAnsi="Times New Roman"/>
          <w:b w:val="0"/>
          <w:i w:val="0"/>
          <w:sz w:val="24"/>
        </w:rPr>
        <w:t xml:space="preserve"> A national registry needs high, predictable throughput. Fabric reaches the required &gt; 100 TPS without gas fees, whereas Ethereum's throughput and volatile gas costs are impractical at this scale.</w:t>
      </w:r>
    </w:p>
    <w:p>
      <w:pPr>
        <w:pStyle w:val="ListBullet"/>
      </w:pPr>
      <w:r>
        <w:rPr>
          <w:rFonts w:ascii="Times New Roman" w:hAnsi="Times New Roman"/>
          <w:b/>
          <w:i w:val="0"/>
          <w:sz w:val="24"/>
        </w:rPr>
        <w:t>Governance fit.</w:t>
      </w:r>
      <w:r>
        <w:rPr>
          <w:rFonts w:ascii="Times New Roman" w:hAnsi="Times New Roman"/>
          <w:b w:val="0"/>
          <w:i w:val="0"/>
          <w:sz w:val="24"/>
        </w:rPr>
        <w:t xml:space="preserve"> The stakeholders are already known, identified institutions, which is exactly the consortium model Fabric is designed for; permissionless anonymity is unnecessary and counterproductive here.</w:t>
      </w:r>
    </w:p>
    <w:p>
      <w:pPr>
        <w:jc w:val="both"/>
      </w:pPr>
      <w:r>
        <w:rPr>
          <w:rFonts w:ascii="Times New Roman" w:hAnsi="Times New Roman"/>
          <w:b w:val="0"/>
          <w:i w:val="0"/>
          <w:sz w:val="24"/>
        </w:rPr>
        <w:t>It is also worth noting that the core privacy mechanism of this project — conditional pseudonymity with a hybrid on-chain/off-chain split — inherently requires permissioned features (membership identity, private collections), which a public blockchain does not provide. Therefore the consortium model is selected, with the transparency benefits of a public chain preserved instead through pseudonymised, publicly queryable vehicle histories.</w:t>
      </w:r>
    </w:p>
    <w:p>
      <w:pPr>
        <w:pStyle w:val="Heading2"/>
      </w:pPr>
      <w:r>
        <w:t>4.3 System Architecture (Hybrid On-chain / Off-chain)</w:t>
      </w:r>
    </w:p>
    <w:p>
      <w:pPr>
        <w:jc w:val="both"/>
      </w:pPr>
      <w:r>
        <w:rPr>
          <w:rFonts w:ascii="Times New Roman" w:hAnsi="Times New Roman"/>
          <w:b w:val="0"/>
          <w:i w:val="0"/>
          <w:sz w:val="24"/>
        </w:rPr>
        <w:t>The architecture separates data by sensitivity. On-chain it stores cryptographic hashes, owner pseudonyms, numeric values (such as mileage), and status flags (such as theft). Off-chain, at each source institution, it stores the raw documents and personally identifiable information. Integrity between the two layers is guaranteed by SHA-256 hash anchors recorded on-chain.</w:t>
      </w:r>
    </w:p>
    <w:p>
      <w:pPr>
        <w:jc w:val="center"/>
      </w:pPr>
      <w:r>
        <w:drawing>
          <wp:inline xmlns:a="http://schemas.openxmlformats.org/drawingml/2006/main" xmlns:pic="http://schemas.openxmlformats.org/drawingml/2006/picture">
            <wp:extent cx="5029200" cy="1806105"/>
            <wp:docPr id="4" name="Picture 4"/>
            <wp:cNvGraphicFramePr>
              <a:graphicFrameLocks noChangeAspect="1"/>
            </wp:cNvGraphicFramePr>
            <a:graphic>
              <a:graphicData uri="http://schemas.openxmlformats.org/drawingml/2006/picture">
                <pic:pic>
                  <pic:nvPicPr>
                    <pic:cNvPr id="0" name="fig_hybrid_record.png"/>
                    <pic:cNvPicPr/>
                  </pic:nvPicPr>
                  <pic:blipFill>
                    <a:blip r:embed="rId12"/>
                    <a:stretch>
                      <a:fillRect/>
                    </a:stretch>
                  </pic:blipFill>
                  <pic:spPr>
                    <a:xfrm>
                      <a:off x="0" y="0"/>
                      <a:ext cx="5029200" cy="1806105"/>
                    </a:xfrm>
                    <a:prstGeom prst="rect"/>
                  </pic:spPr>
                </pic:pic>
              </a:graphicData>
            </a:graphic>
          </wp:inline>
        </w:drawing>
      </w:r>
    </w:p>
    <w:p>
      <w:pPr>
        <w:jc w:val="center"/>
      </w:pPr>
      <w:r>
        <w:rPr>
          <w:i/>
          <w:sz w:val="20"/>
        </w:rPr>
        <w:t>Figure 4.1 — Hybrid on-chain/off-chain record model: on-chain hashes verify the off-chain records held in institutional databases.</w:t>
      </w:r>
    </w:p>
    <w:p>
      <w:pPr>
        <w:pStyle w:val="Heading2"/>
      </w:pPr>
      <w:r>
        <w:t>4.4 Inputs</w:t>
      </w:r>
    </w:p>
    <w:tbl>
      <w:tblPr>
        <w:tblStyle w:val="TableGrid"/>
        <w:tblW w:type="auto" w:w="0"/>
        <w:jc w:val="center"/>
        <w:tblLook w:firstColumn="1" w:firstRow="1" w:lastColumn="0" w:lastRow="0" w:noHBand="0" w:noVBand="1" w:val="04A0"/>
      </w:tblPr>
      <w:tblGrid>
        <w:gridCol w:w="2640"/>
        <w:gridCol w:w="2640"/>
        <w:gridCol w:w="2640"/>
      </w:tblGrid>
      <w:tr>
        <w:tc>
          <w:tcPr>
            <w:tcW w:type="dxa" w:w="2640"/>
            <w:shd w:val="clear" w:fill="D9E2F3"/>
          </w:tcPr>
          <w:p>
            <w:pPr>
              <w:spacing w:after="40"/>
            </w:pPr>
            <w:r/>
            <w:r>
              <w:rPr>
                <w:rFonts w:ascii="Times New Roman" w:hAnsi="Times New Roman"/>
                <w:b/>
                <w:i w:val="0"/>
                <w:sz w:val="22"/>
              </w:rPr>
              <w:t>Input</w:t>
            </w:r>
          </w:p>
        </w:tc>
        <w:tc>
          <w:tcPr>
            <w:tcW w:type="dxa" w:w="2640"/>
            <w:shd w:val="clear" w:fill="D9E2F3"/>
          </w:tcPr>
          <w:p>
            <w:pPr>
              <w:spacing w:after="40"/>
            </w:pPr>
            <w:r/>
            <w:r>
              <w:rPr>
                <w:rFonts w:ascii="Times New Roman" w:hAnsi="Times New Roman"/>
                <w:b/>
                <w:i w:val="0"/>
                <w:sz w:val="22"/>
              </w:rPr>
              <w:t>Source</w:t>
            </w:r>
          </w:p>
        </w:tc>
        <w:tc>
          <w:tcPr>
            <w:tcW w:type="dxa" w:w="2640"/>
            <w:shd w:val="clear" w:fill="D9E2F3"/>
          </w:tcPr>
          <w:p>
            <w:pPr>
              <w:spacing w:after="40"/>
            </w:pPr>
            <w:r/>
            <w:r>
              <w:rPr>
                <w:rFonts w:ascii="Times New Roman" w:hAnsi="Times New Roman"/>
                <w:b/>
                <w:i w:val="0"/>
                <w:sz w:val="22"/>
              </w:rPr>
              <w:t>Storage</w:t>
            </w:r>
          </w:p>
        </w:tc>
      </w:tr>
      <w:tr>
        <w:tc>
          <w:tcPr>
            <w:tcW w:type="dxa" w:w="2640"/>
          </w:tcPr>
          <w:p>
            <w:pPr>
              <w:spacing w:after="40"/>
            </w:pPr>
            <w:r/>
            <w:r>
              <w:rPr>
                <w:rFonts w:ascii="Times New Roman" w:hAnsi="Times New Roman"/>
                <w:b w:val="0"/>
                <w:i w:val="0"/>
                <w:sz w:val="22"/>
              </w:rPr>
              <w:t>Vehicle registration / chassis (VIN) number</w:t>
            </w:r>
          </w:p>
        </w:tc>
        <w:tc>
          <w:tcPr>
            <w:tcW w:type="dxa" w:w="2640"/>
          </w:tcPr>
          <w:p>
            <w:pPr>
              <w:spacing w:after="40"/>
            </w:pPr>
            <w:r/>
            <w:r>
              <w:rPr>
                <w:rFonts w:ascii="Times New Roman" w:hAnsi="Times New Roman"/>
                <w:b w:val="0"/>
                <w:i w:val="0"/>
                <w:sz w:val="22"/>
              </w:rPr>
              <w:t>DMT</w:t>
            </w:r>
          </w:p>
        </w:tc>
        <w:tc>
          <w:tcPr>
            <w:tcW w:type="dxa" w:w="2640"/>
          </w:tcPr>
          <w:p>
            <w:pPr>
              <w:spacing w:after="40"/>
            </w:pPr>
            <w:r/>
            <w:r>
              <w:rPr>
                <w:rFonts w:ascii="Times New Roman" w:hAnsi="Times New Roman"/>
                <w:b w:val="0"/>
                <w:i w:val="0"/>
                <w:sz w:val="22"/>
              </w:rPr>
              <w:t>Hashed on-chain (vehicleHash)</w:t>
            </w:r>
          </w:p>
        </w:tc>
      </w:tr>
      <w:tr>
        <w:tc>
          <w:tcPr>
            <w:tcW w:type="dxa" w:w="2640"/>
          </w:tcPr>
          <w:p>
            <w:pPr>
              <w:spacing w:after="40"/>
            </w:pPr>
            <w:r/>
            <w:r>
              <w:rPr>
                <w:rFonts w:ascii="Times New Roman" w:hAnsi="Times New Roman"/>
                <w:b w:val="0"/>
                <w:i w:val="0"/>
                <w:sz w:val="22"/>
              </w:rPr>
              <w:t>Import permit details</w:t>
            </w:r>
          </w:p>
        </w:tc>
        <w:tc>
          <w:tcPr>
            <w:tcW w:type="dxa" w:w="2640"/>
          </w:tcPr>
          <w:p>
            <w:pPr>
              <w:spacing w:after="40"/>
            </w:pPr>
            <w:r/>
            <w:r>
              <w:rPr>
                <w:rFonts w:ascii="Times New Roman" w:hAnsi="Times New Roman"/>
                <w:b w:val="0"/>
                <w:i w:val="0"/>
                <w:sz w:val="22"/>
              </w:rPr>
              <w:t>Customs</w:t>
            </w:r>
          </w:p>
        </w:tc>
        <w:tc>
          <w:tcPr>
            <w:tcW w:type="dxa" w:w="2640"/>
          </w:tcPr>
          <w:p>
            <w:pPr>
              <w:spacing w:after="40"/>
            </w:pPr>
            <w:r/>
            <w:r>
              <w:rPr>
                <w:rFonts w:ascii="Times New Roman" w:hAnsi="Times New Roman"/>
                <w:b w:val="0"/>
                <w:i w:val="0"/>
                <w:sz w:val="22"/>
              </w:rPr>
              <w:t>Hash on-chain, document off-chain</w:t>
            </w:r>
          </w:p>
        </w:tc>
      </w:tr>
      <w:tr>
        <w:tc>
          <w:tcPr>
            <w:tcW w:type="dxa" w:w="2640"/>
          </w:tcPr>
          <w:p>
            <w:pPr>
              <w:spacing w:after="40"/>
            </w:pPr>
            <w:r/>
            <w:r>
              <w:rPr>
                <w:rFonts w:ascii="Times New Roman" w:hAnsi="Times New Roman"/>
                <w:b w:val="0"/>
                <w:i w:val="0"/>
                <w:sz w:val="22"/>
              </w:rPr>
              <w:t>Owner NIC, name, address, contact</w:t>
            </w:r>
          </w:p>
        </w:tc>
        <w:tc>
          <w:tcPr>
            <w:tcW w:type="dxa" w:w="2640"/>
          </w:tcPr>
          <w:p>
            <w:pPr>
              <w:spacing w:after="40"/>
            </w:pPr>
            <w:r/>
            <w:r>
              <w:rPr>
                <w:rFonts w:ascii="Times New Roman" w:hAnsi="Times New Roman"/>
                <w:b w:val="0"/>
                <w:i w:val="0"/>
                <w:sz w:val="22"/>
              </w:rPr>
              <w:t>DMT</w:t>
            </w:r>
          </w:p>
        </w:tc>
        <w:tc>
          <w:tcPr>
            <w:tcW w:type="dxa" w:w="2640"/>
          </w:tcPr>
          <w:p>
            <w:pPr>
              <w:spacing w:after="40"/>
            </w:pPr>
            <w:r/>
            <w:r>
              <w:rPr>
                <w:rFonts w:ascii="Times New Roman" w:hAnsi="Times New Roman"/>
                <w:b w:val="0"/>
                <w:i w:val="0"/>
                <w:sz w:val="22"/>
              </w:rPr>
              <w:t>Off-chain (PDPA protected)</w:t>
            </w:r>
          </w:p>
        </w:tc>
      </w:tr>
      <w:tr>
        <w:tc>
          <w:tcPr>
            <w:tcW w:type="dxa" w:w="2640"/>
          </w:tcPr>
          <w:p>
            <w:pPr>
              <w:spacing w:after="40"/>
            </w:pPr>
            <w:r/>
            <w:r>
              <w:rPr>
                <w:rFonts w:ascii="Times New Roman" w:hAnsi="Times New Roman"/>
                <w:b w:val="0"/>
                <w:i w:val="0"/>
                <w:sz w:val="22"/>
              </w:rPr>
              <w:t>Accident reports</w:t>
            </w:r>
          </w:p>
        </w:tc>
        <w:tc>
          <w:tcPr>
            <w:tcW w:type="dxa" w:w="2640"/>
          </w:tcPr>
          <w:p>
            <w:pPr>
              <w:spacing w:after="40"/>
            </w:pPr>
            <w:r/>
            <w:r>
              <w:rPr>
                <w:rFonts w:ascii="Times New Roman" w:hAnsi="Times New Roman"/>
                <w:b w:val="0"/>
                <w:i w:val="0"/>
                <w:sz w:val="22"/>
              </w:rPr>
              <w:t>Police</w:t>
            </w:r>
          </w:p>
        </w:tc>
        <w:tc>
          <w:tcPr>
            <w:tcW w:type="dxa" w:w="2640"/>
          </w:tcPr>
          <w:p>
            <w:pPr>
              <w:spacing w:after="40"/>
            </w:pPr>
            <w:r/>
            <w:r>
              <w:rPr>
                <w:rFonts w:ascii="Times New Roman" w:hAnsi="Times New Roman"/>
                <w:b w:val="0"/>
                <w:i w:val="0"/>
                <w:sz w:val="22"/>
              </w:rPr>
              <w:t>Hash on-chain, full report off-chain</w:t>
            </w:r>
          </w:p>
        </w:tc>
      </w:tr>
      <w:tr>
        <w:tc>
          <w:tcPr>
            <w:tcW w:type="dxa" w:w="2640"/>
          </w:tcPr>
          <w:p>
            <w:pPr>
              <w:spacing w:after="40"/>
            </w:pPr>
            <w:r/>
            <w:r>
              <w:rPr>
                <w:rFonts w:ascii="Times New Roman" w:hAnsi="Times New Roman"/>
                <w:b w:val="0"/>
                <w:i w:val="0"/>
                <w:sz w:val="22"/>
              </w:rPr>
              <w:t>Insurance claims</w:t>
            </w:r>
          </w:p>
        </w:tc>
        <w:tc>
          <w:tcPr>
            <w:tcW w:type="dxa" w:w="2640"/>
          </w:tcPr>
          <w:p>
            <w:pPr>
              <w:spacing w:after="40"/>
            </w:pPr>
            <w:r/>
            <w:r>
              <w:rPr>
                <w:rFonts w:ascii="Times New Roman" w:hAnsi="Times New Roman"/>
                <w:b w:val="0"/>
                <w:i w:val="0"/>
                <w:sz w:val="22"/>
              </w:rPr>
              <w:t>Insurers</w:t>
            </w:r>
          </w:p>
        </w:tc>
        <w:tc>
          <w:tcPr>
            <w:tcW w:type="dxa" w:w="2640"/>
          </w:tcPr>
          <w:p>
            <w:pPr>
              <w:spacing w:after="40"/>
            </w:pPr>
            <w:r/>
            <w:r>
              <w:rPr>
                <w:rFonts w:ascii="Times New Roman" w:hAnsi="Times New Roman"/>
                <w:b w:val="0"/>
                <w:i w:val="0"/>
                <w:sz w:val="22"/>
              </w:rPr>
              <w:t>Hash on-chain, documents off-chain</w:t>
            </w:r>
          </w:p>
        </w:tc>
      </w:tr>
      <w:tr>
        <w:tc>
          <w:tcPr>
            <w:tcW w:type="dxa" w:w="2640"/>
          </w:tcPr>
          <w:p>
            <w:pPr>
              <w:spacing w:after="40"/>
            </w:pPr>
            <w:r/>
            <w:r>
              <w:rPr>
                <w:rFonts w:ascii="Times New Roman" w:hAnsi="Times New Roman"/>
                <w:b w:val="0"/>
                <w:i w:val="0"/>
                <w:sz w:val="22"/>
              </w:rPr>
              <w:t>Mileage / odometer readings</w:t>
            </w:r>
          </w:p>
        </w:tc>
        <w:tc>
          <w:tcPr>
            <w:tcW w:type="dxa" w:w="2640"/>
          </w:tcPr>
          <w:p>
            <w:pPr>
              <w:spacing w:after="40"/>
            </w:pPr>
            <w:r/>
            <w:r>
              <w:rPr>
                <w:rFonts w:ascii="Times New Roman" w:hAnsi="Times New Roman"/>
                <w:b w:val="0"/>
                <w:i w:val="0"/>
                <w:sz w:val="22"/>
              </w:rPr>
              <w:t>Emission centres</w:t>
            </w:r>
          </w:p>
        </w:tc>
        <w:tc>
          <w:tcPr>
            <w:tcW w:type="dxa" w:w="2640"/>
          </w:tcPr>
          <w:p>
            <w:pPr>
              <w:spacing w:after="40"/>
            </w:pPr>
            <w:r/>
            <w:r>
              <w:rPr>
                <w:rFonts w:ascii="Times New Roman" w:hAnsi="Times New Roman"/>
                <w:b w:val="0"/>
                <w:i w:val="0"/>
                <w:sz w:val="22"/>
              </w:rPr>
              <w:t>Stored on-chain (numeric value)</w:t>
            </w:r>
          </w:p>
        </w:tc>
      </w:tr>
      <w:tr>
        <w:tc>
          <w:tcPr>
            <w:tcW w:type="dxa" w:w="2640"/>
          </w:tcPr>
          <w:p>
            <w:pPr>
              <w:spacing w:after="40"/>
            </w:pPr>
            <w:r/>
            <w:r>
              <w:rPr>
                <w:rFonts w:ascii="Times New Roman" w:hAnsi="Times New Roman"/>
                <w:b w:val="0"/>
                <w:i w:val="0"/>
                <w:sz w:val="22"/>
              </w:rPr>
              <w:t>Theft reports (flag / clear)</w:t>
            </w:r>
          </w:p>
        </w:tc>
        <w:tc>
          <w:tcPr>
            <w:tcW w:type="dxa" w:w="2640"/>
          </w:tcPr>
          <w:p>
            <w:pPr>
              <w:spacing w:after="40"/>
            </w:pPr>
            <w:r/>
            <w:r>
              <w:rPr>
                <w:rFonts w:ascii="Times New Roman" w:hAnsi="Times New Roman"/>
                <w:b w:val="0"/>
                <w:i w:val="0"/>
                <w:sz w:val="22"/>
              </w:rPr>
              <w:t>Police</w:t>
            </w:r>
          </w:p>
        </w:tc>
        <w:tc>
          <w:tcPr>
            <w:tcW w:type="dxa" w:w="2640"/>
          </w:tcPr>
          <w:p>
            <w:pPr>
              <w:spacing w:after="40"/>
            </w:pPr>
            <w:r/>
            <w:r>
              <w:rPr>
                <w:rFonts w:ascii="Times New Roman" w:hAnsi="Times New Roman"/>
                <w:b w:val="0"/>
                <w:i w:val="0"/>
                <w:sz w:val="22"/>
              </w:rPr>
              <w:t>Stored on-chain (status flag)</w:t>
            </w:r>
          </w:p>
        </w:tc>
      </w:tr>
      <w:tr>
        <w:tc>
          <w:tcPr>
            <w:tcW w:type="dxa" w:w="2640"/>
          </w:tcPr>
          <w:p>
            <w:pPr>
              <w:spacing w:after="40"/>
            </w:pPr>
            <w:r/>
            <w:r>
              <w:rPr>
                <w:rFonts w:ascii="Times New Roman" w:hAnsi="Times New Roman"/>
                <w:b w:val="0"/>
                <w:i w:val="0"/>
                <w:sz w:val="22"/>
              </w:rPr>
              <w:t>Emission test results</w:t>
            </w:r>
          </w:p>
        </w:tc>
        <w:tc>
          <w:tcPr>
            <w:tcW w:type="dxa" w:w="2640"/>
          </w:tcPr>
          <w:p>
            <w:pPr>
              <w:spacing w:after="40"/>
            </w:pPr>
            <w:r/>
            <w:r>
              <w:rPr>
                <w:rFonts w:ascii="Times New Roman" w:hAnsi="Times New Roman"/>
                <w:b w:val="0"/>
                <w:i w:val="0"/>
                <w:sz w:val="22"/>
              </w:rPr>
              <w:t>Emission centres</w:t>
            </w:r>
          </w:p>
        </w:tc>
        <w:tc>
          <w:tcPr>
            <w:tcW w:type="dxa" w:w="2640"/>
          </w:tcPr>
          <w:p>
            <w:pPr>
              <w:spacing w:after="40"/>
            </w:pPr>
            <w:r/>
            <w:r>
              <w:rPr>
                <w:rFonts w:ascii="Times New Roman" w:hAnsi="Times New Roman"/>
                <w:b w:val="0"/>
                <w:i w:val="0"/>
                <w:sz w:val="22"/>
              </w:rPr>
              <w:t>Hash on-chain, report off-chain</w:t>
            </w:r>
          </w:p>
        </w:tc>
      </w:tr>
      <w:tr>
        <w:tc>
          <w:tcPr>
            <w:tcW w:type="dxa" w:w="2640"/>
          </w:tcPr>
          <w:p>
            <w:pPr>
              <w:spacing w:after="40"/>
            </w:pPr>
            <w:r/>
            <w:r>
              <w:rPr>
                <w:rFonts w:ascii="Times New Roman" w:hAnsi="Times New Roman"/>
                <w:b w:val="0"/>
                <w:i w:val="0"/>
                <w:sz w:val="22"/>
              </w:rPr>
              <w:t>Ownership transfer requests</w:t>
            </w:r>
          </w:p>
        </w:tc>
        <w:tc>
          <w:tcPr>
            <w:tcW w:type="dxa" w:w="2640"/>
          </w:tcPr>
          <w:p>
            <w:pPr>
              <w:spacing w:after="40"/>
            </w:pPr>
            <w:r/>
            <w:r>
              <w:rPr>
                <w:rFonts w:ascii="Times New Roman" w:hAnsi="Times New Roman"/>
                <w:b w:val="0"/>
                <w:i w:val="0"/>
                <w:sz w:val="22"/>
              </w:rPr>
              <w:t>DMT</w:t>
            </w:r>
          </w:p>
        </w:tc>
        <w:tc>
          <w:tcPr>
            <w:tcW w:type="dxa" w:w="2640"/>
          </w:tcPr>
          <w:p>
            <w:pPr>
              <w:spacing w:after="40"/>
            </w:pPr>
            <w:r/>
            <w:r>
              <w:rPr>
                <w:rFonts w:ascii="Times New Roman" w:hAnsi="Times New Roman"/>
                <w:b w:val="0"/>
                <w:i w:val="0"/>
                <w:sz w:val="22"/>
              </w:rPr>
              <w:t>On-chain (pseudonym-to-pseudonym)</w:t>
            </w:r>
          </w:p>
        </w:tc>
      </w:tr>
    </w:tbl>
    <w:p/>
    <w:p>
      <w:pPr>
        <w:pStyle w:val="Heading2"/>
      </w:pPr>
      <w:r>
        <w:t>4.5 Process Design</w:t>
      </w:r>
    </w:p>
    <w:p>
      <w:pPr>
        <w:pStyle w:val="Heading3"/>
      </w:pPr>
      <w:r>
        <w:t>Algorithm 1 — Generate Pseudonym</w:t>
      </w:r>
    </w:p>
    <w:tbl>
      <w:tblPr>
        <w:tblStyle w:val="TableGrid"/>
        <w:tblW w:type="auto" w:w="0"/>
        <w:jc w:val="center"/>
        <w:tblLook w:firstColumn="1" w:firstRow="1" w:lastColumn="0" w:lastRow="0" w:noHBand="0" w:noVBand="1" w:val="04A0"/>
      </w:tblPr>
      <w:tblGrid>
        <w:gridCol w:w="3960"/>
        <w:gridCol w:w="3960"/>
      </w:tblGrid>
      <w:tr>
        <w:tc>
          <w:tcPr>
            <w:tcW w:type="dxa" w:w="3960"/>
            <w:shd w:val="clear" w:fill="D9E2F3"/>
          </w:tcPr>
          <w:p>
            <w:pPr>
              <w:spacing w:after="40"/>
            </w:pPr>
            <w:r/>
            <w:r>
              <w:rPr>
                <w:rFonts w:ascii="Times New Roman" w:hAnsi="Times New Roman"/>
                <w:b/>
                <w:i w:val="0"/>
                <w:sz w:val="22"/>
              </w:rPr>
              <w:t>Step</w:t>
            </w:r>
          </w:p>
        </w:tc>
        <w:tc>
          <w:tcPr>
            <w:tcW w:type="dxa" w:w="3960"/>
            <w:shd w:val="clear" w:fill="D9E2F3"/>
          </w:tcPr>
          <w:p>
            <w:pPr>
              <w:spacing w:after="40"/>
            </w:pPr>
            <w:r/>
            <w:r>
              <w:rPr>
                <w:rFonts w:ascii="Times New Roman" w:hAnsi="Times New Roman"/>
                <w:b/>
                <w:i w:val="0"/>
                <w:sz w:val="22"/>
              </w:rPr>
              <w:t>Action</w:t>
            </w:r>
          </w:p>
        </w:tc>
      </w:tr>
      <w:tr>
        <w:tc>
          <w:tcPr>
            <w:tcW w:type="dxa" w:w="3960"/>
          </w:tcPr>
          <w:p>
            <w:pPr>
              <w:spacing w:after="40"/>
            </w:pPr>
            <w:r/>
            <w:r>
              <w:rPr>
                <w:rFonts w:ascii="Times New Roman" w:hAnsi="Times New Roman"/>
                <w:b w:val="0"/>
                <w:i w:val="0"/>
                <w:sz w:val="22"/>
              </w:rPr>
              <w:t>1</w:t>
            </w:r>
          </w:p>
        </w:tc>
        <w:tc>
          <w:tcPr>
            <w:tcW w:type="dxa" w:w="3960"/>
          </w:tcPr>
          <w:p>
            <w:pPr>
              <w:spacing w:after="40"/>
            </w:pPr>
            <w:r/>
            <w:r>
              <w:rPr>
                <w:rFonts w:ascii="Times New Roman" w:hAnsi="Times New Roman"/>
                <w:b w:val="0"/>
                <w:i w:val="0"/>
                <w:sz w:val="22"/>
              </w:rPr>
              <w:t>Generate a 256-bit random salt</w:t>
            </w:r>
          </w:p>
        </w:tc>
      </w:tr>
      <w:tr>
        <w:tc>
          <w:tcPr>
            <w:tcW w:type="dxa" w:w="3960"/>
          </w:tcPr>
          <w:p>
            <w:pPr>
              <w:spacing w:after="40"/>
            </w:pPr>
            <w:r/>
            <w:r>
              <w:rPr>
                <w:rFonts w:ascii="Times New Roman" w:hAnsi="Times New Roman"/>
                <w:b w:val="0"/>
                <w:i w:val="0"/>
                <w:sz w:val="22"/>
              </w:rPr>
              <w:t>2</w:t>
            </w:r>
          </w:p>
        </w:tc>
        <w:tc>
          <w:tcPr>
            <w:tcW w:type="dxa" w:w="3960"/>
          </w:tcPr>
          <w:p>
            <w:pPr>
              <w:spacing w:after="40"/>
            </w:pPr>
            <w:r/>
            <w:r>
              <w:rPr>
                <w:rFonts w:ascii="Times New Roman" w:hAnsi="Times New Roman"/>
                <w:b w:val="0"/>
                <w:i w:val="0"/>
                <w:sz w:val="22"/>
              </w:rPr>
              <w:t>Compute intermediate hash: SHA-256(ownerNIC + salt)</w:t>
            </w:r>
          </w:p>
        </w:tc>
      </w:tr>
      <w:tr>
        <w:tc>
          <w:tcPr>
            <w:tcW w:type="dxa" w:w="3960"/>
          </w:tcPr>
          <w:p>
            <w:pPr>
              <w:spacing w:after="40"/>
            </w:pPr>
            <w:r/>
            <w:r>
              <w:rPr>
                <w:rFonts w:ascii="Times New Roman" w:hAnsi="Times New Roman"/>
                <w:b w:val="0"/>
                <w:i w:val="0"/>
                <w:sz w:val="22"/>
              </w:rPr>
              <w:t>3</w:t>
            </w:r>
          </w:p>
        </w:tc>
        <w:tc>
          <w:tcPr>
            <w:tcW w:type="dxa" w:w="3960"/>
          </w:tcPr>
          <w:p>
            <w:pPr>
              <w:spacing w:after="40"/>
            </w:pPr>
            <w:r/>
            <w:r>
              <w:rPr>
                <w:rFonts w:ascii="Times New Roman" w:hAnsi="Times New Roman"/>
                <w:b w:val="0"/>
                <w:i w:val="0"/>
                <w:sz w:val="22"/>
              </w:rPr>
              <w:t>Compute pseudonym: SHA-256(intermediateHash + registrationTimestamp)</w:t>
            </w:r>
          </w:p>
        </w:tc>
      </w:tr>
      <w:tr>
        <w:tc>
          <w:tcPr>
            <w:tcW w:type="dxa" w:w="3960"/>
          </w:tcPr>
          <w:p>
            <w:pPr>
              <w:spacing w:after="40"/>
            </w:pPr>
            <w:r/>
            <w:r>
              <w:rPr>
                <w:rFonts w:ascii="Times New Roman" w:hAnsi="Times New Roman"/>
                <w:b w:val="0"/>
                <w:i w:val="0"/>
                <w:sz w:val="22"/>
              </w:rPr>
              <w:t>4</w:t>
            </w:r>
          </w:p>
        </w:tc>
        <w:tc>
          <w:tcPr>
            <w:tcW w:type="dxa" w:w="3960"/>
          </w:tcPr>
          <w:p>
            <w:pPr>
              <w:spacing w:after="40"/>
            </w:pPr>
            <w:r/>
            <w:r>
              <w:rPr>
                <w:rFonts w:ascii="Times New Roman" w:hAnsi="Times New Roman"/>
                <w:b w:val="0"/>
                <w:i w:val="0"/>
                <w:sz w:val="22"/>
              </w:rPr>
              <w:t>Store the salt securely in the DMT off-chain database, indexed by pseudonym</w:t>
            </w:r>
          </w:p>
        </w:tc>
      </w:tr>
      <w:tr>
        <w:tc>
          <w:tcPr>
            <w:tcW w:type="dxa" w:w="3960"/>
          </w:tcPr>
          <w:p>
            <w:pPr>
              <w:spacing w:after="40"/>
            </w:pPr>
            <w:r/>
            <w:r>
              <w:rPr>
                <w:rFonts w:ascii="Times New Roman" w:hAnsi="Times New Roman"/>
                <w:b w:val="0"/>
                <w:i w:val="0"/>
                <w:sz w:val="22"/>
              </w:rPr>
              <w:t>5</w:t>
            </w:r>
          </w:p>
        </w:tc>
        <w:tc>
          <w:tcPr>
            <w:tcW w:type="dxa" w:w="3960"/>
          </w:tcPr>
          <w:p>
            <w:pPr>
              <w:spacing w:after="40"/>
            </w:pPr>
            <w:r/>
            <w:r>
              <w:rPr>
                <w:rFonts w:ascii="Times New Roman" w:hAnsi="Times New Roman"/>
                <w:b w:val="0"/>
                <w:i w:val="0"/>
                <w:sz w:val="22"/>
              </w:rPr>
              <w:t>Encrypt the (pseudonym to ownerNIC) mapping under a consortium threshold key (shares held by DMT and Police) and store the ciphertext off-chain, so that no single authority can decrypt it</w:t>
            </w:r>
          </w:p>
        </w:tc>
      </w:tr>
      <w:tr>
        <w:tc>
          <w:tcPr>
            <w:tcW w:type="dxa" w:w="3960"/>
          </w:tcPr>
          <w:p>
            <w:pPr>
              <w:spacing w:after="40"/>
            </w:pPr>
            <w:r/>
            <w:r>
              <w:rPr>
                <w:rFonts w:ascii="Times New Roman" w:hAnsi="Times New Roman"/>
                <w:b w:val="0"/>
                <w:i w:val="0"/>
                <w:sz w:val="22"/>
              </w:rPr>
              <w:t>6</w:t>
            </w:r>
          </w:p>
        </w:tc>
        <w:tc>
          <w:tcPr>
            <w:tcW w:type="dxa" w:w="3960"/>
          </w:tcPr>
          <w:p>
            <w:pPr>
              <w:spacing w:after="40"/>
            </w:pPr>
            <w:r/>
            <w:r>
              <w:rPr>
                <w:rFonts w:ascii="Times New Roman" w:hAnsi="Times New Roman"/>
                <w:b w:val="0"/>
                <w:i w:val="0"/>
                <w:sz w:val="22"/>
              </w:rPr>
              <w:t>Emit on-chain event: PseudonymRegistered(pseudonym, timestamp)</w:t>
            </w:r>
          </w:p>
        </w:tc>
      </w:tr>
    </w:tbl>
    <w:p/>
    <w:p>
      <w:pPr>
        <w:jc w:val="both"/>
      </w:pPr>
      <w:r>
        <w:rPr>
          <w:rFonts w:ascii="Times New Roman" w:hAnsi="Times New Roman"/>
          <w:b w:val="0"/>
          <w:i w:val="0"/>
          <w:sz w:val="24"/>
        </w:rPr>
        <w:t xml:space="preserve">The same owner registering different vehicles receives different pseudonyms (a unique salt each time), so registrations of </w:t>
      </w:r>
      <w:r>
        <w:rPr>
          <w:rFonts w:ascii="Times New Roman" w:hAnsi="Times New Roman"/>
          <w:b w:val="0"/>
          <w:i/>
          <w:sz w:val="24"/>
        </w:rPr>
        <w:t>different</w:t>
      </w:r>
      <w:r>
        <w:rPr>
          <w:rFonts w:ascii="Times New Roman" w:hAnsi="Times New Roman"/>
          <w:b w:val="0"/>
          <w:i w:val="0"/>
          <w:sz w:val="24"/>
        </w:rPr>
        <w:t xml:space="preserve"> vehicles are unlinkable. Within a single vehicle, however, the owner's successive events are deliberately linked under one pseudonym so that the cross-event fraud rules can run; the on-chain pseudonym is therefore treated as personal data, while the real-world identity stays sealed behind the threshold escrow until a multi-party reveal.</w:t>
      </w:r>
    </w:p>
    <w:p>
      <w:pPr>
        <w:pStyle w:val="Heading3"/>
      </w:pPr>
      <w:r>
        <w:t>Algorithm 2 — Ownership Transfer (with Theft Check)</w:t>
      </w:r>
    </w:p>
    <w:tbl>
      <w:tblPr>
        <w:tblStyle w:val="TableGrid"/>
        <w:tblW w:type="auto" w:w="0"/>
        <w:jc w:val="center"/>
        <w:tblLook w:firstColumn="1" w:firstRow="1" w:lastColumn="0" w:lastRow="0" w:noHBand="0" w:noVBand="1" w:val="04A0"/>
      </w:tblPr>
      <w:tblGrid>
        <w:gridCol w:w="3960"/>
        <w:gridCol w:w="3960"/>
      </w:tblGrid>
      <w:tr>
        <w:tc>
          <w:tcPr>
            <w:tcW w:type="dxa" w:w="3960"/>
            <w:shd w:val="clear" w:fill="D9E2F3"/>
          </w:tcPr>
          <w:p>
            <w:pPr>
              <w:spacing w:after="40"/>
            </w:pPr>
            <w:r/>
            <w:r>
              <w:rPr>
                <w:rFonts w:ascii="Times New Roman" w:hAnsi="Times New Roman"/>
                <w:b/>
                <w:i w:val="0"/>
                <w:sz w:val="22"/>
              </w:rPr>
              <w:t>Step</w:t>
            </w:r>
          </w:p>
        </w:tc>
        <w:tc>
          <w:tcPr>
            <w:tcW w:type="dxa" w:w="3960"/>
            <w:shd w:val="clear" w:fill="D9E2F3"/>
          </w:tcPr>
          <w:p>
            <w:pPr>
              <w:spacing w:after="40"/>
            </w:pPr>
            <w:r/>
            <w:r>
              <w:rPr>
                <w:rFonts w:ascii="Times New Roman" w:hAnsi="Times New Roman"/>
                <w:b/>
                <w:i w:val="0"/>
                <w:sz w:val="22"/>
              </w:rPr>
              <w:t>Action</w:t>
            </w:r>
          </w:p>
        </w:tc>
      </w:tr>
      <w:tr>
        <w:tc>
          <w:tcPr>
            <w:tcW w:type="dxa" w:w="3960"/>
          </w:tcPr>
          <w:p>
            <w:pPr>
              <w:spacing w:after="40"/>
            </w:pPr>
            <w:r/>
            <w:r>
              <w:rPr>
                <w:rFonts w:ascii="Times New Roman" w:hAnsi="Times New Roman"/>
                <w:b w:val="0"/>
                <w:i w:val="0"/>
                <w:sz w:val="22"/>
              </w:rPr>
              <w:t>1</w:t>
            </w:r>
          </w:p>
        </w:tc>
        <w:tc>
          <w:tcPr>
            <w:tcW w:type="dxa" w:w="3960"/>
          </w:tcPr>
          <w:p>
            <w:pPr>
              <w:spacing w:after="40"/>
            </w:pPr>
            <w:r/>
            <w:r>
              <w:rPr>
                <w:rFonts w:ascii="Times New Roman" w:hAnsi="Times New Roman"/>
                <w:b w:val="0"/>
                <w:i w:val="0"/>
                <w:sz w:val="22"/>
              </w:rPr>
              <w:t>Receive transfer request (vehicleHash, fromPseudonym, toPseudonym)</w:t>
            </w:r>
          </w:p>
        </w:tc>
      </w:tr>
      <w:tr>
        <w:tc>
          <w:tcPr>
            <w:tcW w:type="dxa" w:w="3960"/>
          </w:tcPr>
          <w:p>
            <w:pPr>
              <w:spacing w:after="40"/>
            </w:pPr>
            <w:r/>
            <w:r>
              <w:rPr>
                <w:rFonts w:ascii="Times New Roman" w:hAnsi="Times New Roman"/>
                <w:b w:val="0"/>
                <w:i w:val="0"/>
                <w:sz w:val="22"/>
              </w:rPr>
              <w:t>2</w:t>
            </w:r>
          </w:p>
        </w:tc>
        <w:tc>
          <w:tcPr>
            <w:tcW w:type="dxa" w:w="3960"/>
          </w:tcPr>
          <w:p>
            <w:pPr>
              <w:spacing w:after="40"/>
            </w:pPr>
            <w:r/>
            <w:r>
              <w:rPr>
                <w:rFonts w:ascii="Times New Roman" w:hAnsi="Times New Roman"/>
                <w:b w:val="0"/>
                <w:i w:val="0"/>
                <w:sz w:val="22"/>
              </w:rPr>
              <w:t>Theft check — retrieve the latest theft flag for the vehicle</w:t>
            </w:r>
          </w:p>
        </w:tc>
      </w:tr>
      <w:tr>
        <w:tc>
          <w:tcPr>
            <w:tcW w:type="dxa" w:w="3960"/>
          </w:tcPr>
          <w:p>
            <w:pPr>
              <w:spacing w:after="40"/>
            </w:pPr>
            <w:r/>
            <w:r>
              <w:rPr>
                <w:rFonts w:ascii="Times New Roman" w:hAnsi="Times New Roman"/>
                <w:b w:val="0"/>
                <w:i w:val="0"/>
                <w:sz w:val="22"/>
              </w:rPr>
              <w:t>3</w:t>
            </w:r>
          </w:p>
        </w:tc>
        <w:tc>
          <w:tcPr>
            <w:tcW w:type="dxa" w:w="3960"/>
          </w:tcPr>
          <w:p>
            <w:pPr>
              <w:spacing w:after="40"/>
            </w:pPr>
            <w:r/>
            <w:r>
              <w:rPr>
                <w:rFonts w:ascii="Times New Roman" w:hAnsi="Times New Roman"/>
                <w:b w:val="0"/>
                <w:i w:val="0"/>
                <w:sz w:val="22"/>
              </w:rPr>
              <w:t>If flagged STOLEN, block the transfer, emit an alert, and trigger identity reveal</w:t>
            </w:r>
          </w:p>
        </w:tc>
      </w:tr>
      <w:tr>
        <w:tc>
          <w:tcPr>
            <w:tcW w:type="dxa" w:w="3960"/>
          </w:tcPr>
          <w:p>
            <w:pPr>
              <w:spacing w:after="40"/>
            </w:pPr>
            <w:r/>
            <w:r>
              <w:rPr>
                <w:rFonts w:ascii="Times New Roman" w:hAnsi="Times New Roman"/>
                <w:b w:val="0"/>
                <w:i w:val="0"/>
                <w:sz w:val="22"/>
              </w:rPr>
              <w:t>4</w:t>
            </w:r>
          </w:p>
        </w:tc>
        <w:tc>
          <w:tcPr>
            <w:tcW w:type="dxa" w:w="3960"/>
          </w:tcPr>
          <w:p>
            <w:pPr>
              <w:spacing w:after="40"/>
            </w:pPr>
            <w:r/>
            <w:r>
              <w:rPr>
                <w:rFonts w:ascii="Times New Roman" w:hAnsi="Times New Roman"/>
                <w:b w:val="0"/>
                <w:i w:val="0"/>
                <w:sz w:val="22"/>
              </w:rPr>
              <w:t>Owner verification — confirm fromPseudonym is the current on-chain owner</w:t>
            </w:r>
          </w:p>
        </w:tc>
      </w:tr>
      <w:tr>
        <w:tc>
          <w:tcPr>
            <w:tcW w:type="dxa" w:w="3960"/>
          </w:tcPr>
          <w:p>
            <w:pPr>
              <w:spacing w:after="40"/>
            </w:pPr>
            <w:r/>
            <w:r>
              <w:rPr>
                <w:rFonts w:ascii="Times New Roman" w:hAnsi="Times New Roman"/>
                <w:b w:val="0"/>
                <w:i w:val="0"/>
                <w:sz w:val="22"/>
              </w:rPr>
              <w:t>5</w:t>
            </w:r>
          </w:p>
        </w:tc>
        <w:tc>
          <w:tcPr>
            <w:tcW w:type="dxa" w:w="3960"/>
          </w:tcPr>
          <w:p>
            <w:pPr>
              <w:spacing w:after="40"/>
            </w:pPr>
            <w:r/>
            <w:r>
              <w:rPr>
                <w:rFonts w:ascii="Times New Roman" w:hAnsi="Times New Roman"/>
                <w:b w:val="0"/>
                <w:i w:val="0"/>
                <w:sz w:val="22"/>
              </w:rPr>
              <w:t>Generate a new pseudonym for the buyer and log the transfer on-chain</w:t>
            </w:r>
          </w:p>
        </w:tc>
      </w:tr>
    </w:tbl>
    <w:p/>
    <w:p>
      <w:pPr>
        <w:pStyle w:val="Heading3"/>
      </w:pPr>
      <w:r>
        <w:t>Algorithm 3 — Conditional Identity Reveal (Multi-Party, Policy-Coupled)</w:t>
      </w:r>
    </w:p>
    <w:tbl>
      <w:tblPr>
        <w:tblStyle w:val="TableGrid"/>
        <w:tblW w:type="auto" w:w="0"/>
        <w:jc w:val="center"/>
        <w:tblLook w:firstColumn="1" w:firstRow="1" w:lastColumn="0" w:lastRow="0" w:noHBand="0" w:noVBand="1" w:val="04A0"/>
      </w:tblPr>
      <w:tblGrid>
        <w:gridCol w:w="3960"/>
        <w:gridCol w:w="3960"/>
      </w:tblGrid>
      <w:tr>
        <w:tc>
          <w:tcPr>
            <w:tcW w:type="dxa" w:w="3960"/>
            <w:shd w:val="clear" w:fill="D9E2F3"/>
          </w:tcPr>
          <w:p>
            <w:pPr>
              <w:spacing w:after="40"/>
            </w:pPr>
            <w:r/>
            <w:r>
              <w:rPr>
                <w:rFonts w:ascii="Times New Roman" w:hAnsi="Times New Roman"/>
                <w:b/>
                <w:i w:val="0"/>
                <w:sz w:val="22"/>
              </w:rPr>
              <w:t>Step</w:t>
            </w:r>
          </w:p>
        </w:tc>
        <w:tc>
          <w:tcPr>
            <w:tcW w:type="dxa" w:w="3960"/>
            <w:shd w:val="clear" w:fill="D9E2F3"/>
          </w:tcPr>
          <w:p>
            <w:pPr>
              <w:spacing w:after="40"/>
            </w:pPr>
            <w:r/>
            <w:r>
              <w:rPr>
                <w:rFonts w:ascii="Times New Roman" w:hAnsi="Times New Roman"/>
                <w:b/>
                <w:i w:val="0"/>
                <w:sz w:val="22"/>
              </w:rPr>
              <w:t>Action</w:t>
            </w:r>
          </w:p>
        </w:tc>
      </w:tr>
      <w:tr>
        <w:tc>
          <w:tcPr>
            <w:tcW w:type="dxa" w:w="3960"/>
          </w:tcPr>
          <w:p>
            <w:pPr>
              <w:spacing w:after="40"/>
            </w:pPr>
            <w:r/>
            <w:r>
              <w:rPr>
                <w:rFonts w:ascii="Times New Roman" w:hAnsi="Times New Roman"/>
                <w:b w:val="0"/>
                <w:i w:val="0"/>
                <w:sz w:val="22"/>
              </w:rPr>
              <w:t>1</w:t>
            </w:r>
          </w:p>
        </w:tc>
        <w:tc>
          <w:tcPr>
            <w:tcW w:type="dxa" w:w="3960"/>
          </w:tcPr>
          <w:p>
            <w:pPr>
              <w:spacing w:after="40"/>
            </w:pPr>
            <w:r/>
            <w:r>
              <w:rPr>
                <w:rFonts w:ascii="Times New Roman" w:hAnsi="Times New Roman"/>
                <w:b w:val="0"/>
                <w:i w:val="0"/>
                <w:sz w:val="22"/>
              </w:rPr>
              <w:t>Police submit a reveal request with pseudonym, reason, and Police signature</w:t>
            </w:r>
          </w:p>
        </w:tc>
      </w:tr>
      <w:tr>
        <w:tc>
          <w:tcPr>
            <w:tcW w:type="dxa" w:w="3960"/>
          </w:tcPr>
          <w:p>
            <w:pPr>
              <w:spacing w:after="40"/>
            </w:pPr>
            <w:r/>
            <w:r>
              <w:rPr>
                <w:rFonts w:ascii="Times New Roman" w:hAnsi="Times New Roman"/>
                <w:b w:val="0"/>
                <w:i w:val="0"/>
                <w:sz w:val="22"/>
              </w:rPr>
              <w:t>2</w:t>
            </w:r>
          </w:p>
        </w:tc>
        <w:tc>
          <w:tcPr>
            <w:tcW w:type="dxa" w:w="3960"/>
          </w:tcPr>
          <w:p>
            <w:pPr>
              <w:spacing w:after="40"/>
            </w:pPr>
            <w:r/>
            <w:r>
              <w:rPr>
                <w:rFonts w:ascii="Times New Roman" w:hAnsi="Times New Roman"/>
                <w:b w:val="0"/>
                <w:i w:val="0"/>
                <w:sz w:val="22"/>
              </w:rPr>
              <w:t>The contract verifies the Police signature against the registered Police node</w:t>
            </w:r>
          </w:p>
        </w:tc>
      </w:tr>
      <w:tr>
        <w:tc>
          <w:tcPr>
            <w:tcW w:type="dxa" w:w="3960"/>
          </w:tcPr>
          <w:p>
            <w:pPr>
              <w:spacing w:after="40"/>
            </w:pPr>
            <w:r/>
            <w:r>
              <w:rPr>
                <w:rFonts w:ascii="Times New Roman" w:hAnsi="Times New Roman"/>
                <w:b w:val="0"/>
                <w:i w:val="0"/>
                <w:sz w:val="22"/>
              </w:rPr>
              <w:t>3</w:t>
            </w:r>
          </w:p>
        </w:tc>
        <w:tc>
          <w:tcPr>
            <w:tcW w:type="dxa" w:w="3960"/>
          </w:tcPr>
          <w:p>
            <w:pPr>
              <w:spacing w:after="40"/>
            </w:pPr>
            <w:r/>
            <w:r>
              <w:rPr>
                <w:rFonts w:ascii="Times New Roman" w:hAnsi="Times New Roman"/>
                <w:b/>
                <w:i w:val="0"/>
                <w:sz w:val="22"/>
              </w:rPr>
              <w:t>Policy check (machine-validated, not merely human-reviewed):</w:t>
            </w:r>
            <w:r>
              <w:rPr>
                <w:rFonts w:ascii="Times New Roman" w:hAnsi="Times New Roman"/>
                <w:b w:val="0"/>
                <w:i w:val="0"/>
                <w:sz w:val="22"/>
              </w:rPr>
              <w:t xml:space="preserve"> the contract queries the FraudDetector contract for an existing, unexpired fraud flag or court-order hash referencing this pseudonym; the request is rejected outright if none exists</w:t>
            </w:r>
          </w:p>
        </w:tc>
      </w:tr>
      <w:tr>
        <w:tc>
          <w:tcPr>
            <w:tcW w:type="dxa" w:w="3960"/>
          </w:tcPr>
          <w:p>
            <w:pPr>
              <w:spacing w:after="40"/>
            </w:pPr>
            <w:r/>
            <w:r>
              <w:rPr>
                <w:rFonts w:ascii="Times New Roman" w:hAnsi="Times New Roman"/>
                <w:b w:val="0"/>
                <w:i w:val="0"/>
                <w:sz w:val="22"/>
              </w:rPr>
              <w:t>4</w:t>
            </w:r>
          </w:p>
        </w:tc>
        <w:tc>
          <w:tcPr>
            <w:tcW w:type="dxa" w:w="3960"/>
          </w:tcPr>
          <w:p>
            <w:pPr>
              <w:spacing w:after="40"/>
            </w:pPr>
            <w:r/>
            <w:r>
              <w:rPr>
                <w:rFonts w:ascii="Times New Roman" w:hAnsi="Times New Roman"/>
                <w:b w:val="0"/>
                <w:i w:val="0"/>
                <w:sz w:val="22"/>
              </w:rPr>
              <w:t>The request is forwarded to the DMT for co-authorisation</w:t>
            </w:r>
          </w:p>
        </w:tc>
      </w:tr>
      <w:tr>
        <w:tc>
          <w:tcPr>
            <w:tcW w:type="dxa" w:w="3960"/>
          </w:tcPr>
          <w:p>
            <w:pPr>
              <w:spacing w:after="40"/>
            </w:pPr>
            <w:r/>
            <w:r>
              <w:rPr>
                <w:rFonts w:ascii="Times New Roman" w:hAnsi="Times New Roman"/>
                <w:b w:val="0"/>
                <w:i w:val="0"/>
                <w:sz w:val="22"/>
              </w:rPr>
              <w:t>5</w:t>
            </w:r>
          </w:p>
        </w:tc>
        <w:tc>
          <w:tcPr>
            <w:tcW w:type="dxa" w:w="3960"/>
          </w:tcPr>
          <w:p>
            <w:pPr>
              <w:spacing w:after="40"/>
            </w:pPr>
            <w:r/>
            <w:r>
              <w:rPr>
                <w:rFonts w:ascii="Times New Roman" w:hAnsi="Times New Roman"/>
                <w:b w:val="0"/>
                <w:i w:val="0"/>
                <w:sz w:val="22"/>
              </w:rPr>
              <w:t>The DMT officer reviews the legal justification and co-signs</w:t>
            </w:r>
          </w:p>
        </w:tc>
      </w:tr>
      <w:tr>
        <w:tc>
          <w:tcPr>
            <w:tcW w:type="dxa" w:w="3960"/>
          </w:tcPr>
          <w:p>
            <w:pPr>
              <w:spacing w:after="40"/>
            </w:pPr>
            <w:r/>
            <w:r>
              <w:rPr>
                <w:rFonts w:ascii="Times New Roman" w:hAnsi="Times New Roman"/>
                <w:b w:val="0"/>
                <w:i w:val="0"/>
                <w:sz w:val="22"/>
              </w:rPr>
              <w:t>6</w:t>
            </w:r>
          </w:p>
        </w:tc>
        <w:tc>
          <w:tcPr>
            <w:tcW w:type="dxa" w:w="3960"/>
          </w:tcPr>
          <w:p>
            <w:pPr>
              <w:spacing w:after="40"/>
            </w:pPr>
            <w:r/>
            <w:r>
              <w:rPr>
                <w:rFonts w:ascii="Times New Roman" w:hAnsi="Times New Roman"/>
                <w:b w:val="0"/>
                <w:i w:val="0"/>
                <w:sz w:val="22"/>
              </w:rPr>
              <w:t>The contract validates the cited legal ground against the enumerated categories (theft investigation / court order / fraud alert)</w:t>
            </w:r>
          </w:p>
        </w:tc>
      </w:tr>
      <w:tr>
        <w:tc>
          <w:tcPr>
            <w:tcW w:type="dxa" w:w="3960"/>
          </w:tcPr>
          <w:p>
            <w:pPr>
              <w:spacing w:after="40"/>
            </w:pPr>
            <w:r/>
            <w:r>
              <w:rPr>
                <w:rFonts w:ascii="Times New Roman" w:hAnsi="Times New Roman"/>
                <w:b w:val="0"/>
                <w:i w:val="0"/>
                <w:sz w:val="22"/>
              </w:rPr>
              <w:t>7</w:t>
            </w:r>
          </w:p>
        </w:tc>
        <w:tc>
          <w:tcPr>
            <w:tcW w:type="dxa" w:w="3960"/>
          </w:tcPr>
          <w:p>
            <w:pPr>
              <w:spacing w:after="40"/>
            </w:pPr>
            <w:r/>
            <w:r>
              <w:rPr>
                <w:rFonts w:ascii="Times New Roman" w:hAnsi="Times New Roman"/>
                <w:b w:val="0"/>
                <w:i w:val="0"/>
                <w:sz w:val="22"/>
              </w:rPr>
              <w:t>Each authorising party contributes its key share; the ownerNIC is recovered only when the required quorum (DMT + Police) combines its shares (threshold decryption)</w:t>
            </w:r>
          </w:p>
        </w:tc>
      </w:tr>
      <w:tr>
        <w:tc>
          <w:tcPr>
            <w:tcW w:type="dxa" w:w="3960"/>
          </w:tcPr>
          <w:p>
            <w:pPr>
              <w:spacing w:after="40"/>
            </w:pPr>
            <w:r/>
            <w:r>
              <w:rPr>
                <w:rFonts w:ascii="Times New Roman" w:hAnsi="Times New Roman"/>
                <w:b w:val="0"/>
                <w:i w:val="0"/>
                <w:sz w:val="22"/>
              </w:rPr>
              <w:t>8</w:t>
            </w:r>
          </w:p>
        </w:tc>
        <w:tc>
          <w:tcPr>
            <w:tcW w:type="dxa" w:w="3960"/>
          </w:tcPr>
          <w:p>
            <w:pPr>
              <w:spacing w:after="40"/>
            </w:pPr>
            <w:r/>
            <w:r>
              <w:rPr>
                <w:rFonts w:ascii="Times New Roman" w:hAnsi="Times New Roman"/>
                <w:b w:val="0"/>
                <w:i w:val="0"/>
                <w:sz w:val="22"/>
              </w:rPr>
              <w:t>Every reveal attempt (successful or rejected) is logged on-chain permanently, and a human reviewer confirms the outcome before any action is taken against an owner</w:t>
            </w:r>
          </w:p>
        </w:tc>
      </w:tr>
    </w:tbl>
    <w:p/>
    <w:p>
      <w:pPr>
        <w:jc w:val="both"/>
      </w:pPr>
      <w:r>
        <w:rPr>
          <w:rFonts w:ascii="Times New Roman" w:hAnsi="Times New Roman"/>
          <w:b w:val="0"/>
          <w:i w:val="0"/>
          <w:sz w:val="24"/>
        </w:rPr>
        <w:t xml:space="preserve">Because reveal requires reconstructing the escrow key from multiple shares, no single authority can unmask an owner alone, and neither a single compromised authority nor a leaked database can de-anonymise the registry on its own. The immutable audit trail records every attempt. Step 3 is the design's specific differentiator against the closest located precedents: Concordium, Kamara et al. (2021), SeDe, PEReDi and SCMS all gate reveal on a quorum's </w:t>
      </w:r>
      <w:r>
        <w:rPr>
          <w:rFonts w:ascii="Times New Roman" w:hAnsi="Times New Roman"/>
          <w:b w:val="0"/>
          <w:i/>
          <w:sz w:val="24"/>
        </w:rPr>
        <w:t>approval</w:t>
      </w:r>
      <w:r>
        <w:rPr>
          <w:rFonts w:ascii="Times New Roman" w:hAnsi="Times New Roman"/>
          <w:b w:val="0"/>
          <w:i w:val="0"/>
          <w:sz w:val="24"/>
        </w:rPr>
        <w:t xml:space="preserve">, but none machine-checks the justification itself against a system-generated trigger before that approval is even sought — the reveal condition in those schemes is an off-ledger legal or human artefact that the quorum merely attests to. Coupling the reveal to an on-chain fraud flag means an unjustified request can be rejected by chaincode logic alone, before any human signature is spent, and — as future evaluation work — makes the </w:t>
      </w:r>
      <w:r>
        <w:rPr>
          <w:rFonts w:ascii="Times New Roman" w:hAnsi="Times New Roman"/>
          <w:b/>
          <w:i w:val="0"/>
          <w:sz w:val="24"/>
        </w:rPr>
        <w:t>reveal surface</w:t>
      </w:r>
      <w:r>
        <w:rPr>
          <w:rFonts w:ascii="Times New Roman" w:hAnsi="Times New Roman"/>
          <w:b w:val="0"/>
          <w:i w:val="0"/>
          <w:sz w:val="24"/>
        </w:rPr>
        <w:t xml:space="preserve"> (the fraction of pseudonyms for which a valid reveal condition currently exists) a measurable quantity rather than an unbounded one.</w:t>
      </w:r>
    </w:p>
    <w:p>
      <w:pPr>
        <w:jc w:val="center"/>
      </w:pPr>
      <w:r>
        <w:drawing>
          <wp:inline xmlns:a="http://schemas.openxmlformats.org/drawingml/2006/main" xmlns:pic="http://schemas.openxmlformats.org/drawingml/2006/picture">
            <wp:extent cx="5029200" cy="3048442"/>
            <wp:docPr id="5" name="Picture 5"/>
            <wp:cNvGraphicFramePr>
              <a:graphicFrameLocks noChangeAspect="1"/>
            </wp:cNvGraphicFramePr>
            <a:graphic>
              <a:graphicData uri="http://schemas.openxmlformats.org/drawingml/2006/picture">
                <pic:pic>
                  <pic:nvPicPr>
                    <pic:cNvPr id="0" name="fig_reveal_sequence.png"/>
                    <pic:cNvPicPr/>
                  </pic:nvPicPr>
                  <pic:blipFill>
                    <a:blip r:embed="rId13"/>
                    <a:stretch>
                      <a:fillRect/>
                    </a:stretch>
                  </pic:blipFill>
                  <pic:spPr>
                    <a:xfrm>
                      <a:off x="0" y="0"/>
                      <a:ext cx="5029200" cy="3048442"/>
                    </a:xfrm>
                    <a:prstGeom prst="rect"/>
                  </pic:spPr>
                </pic:pic>
              </a:graphicData>
            </a:graphic>
          </wp:inline>
        </w:drawing>
      </w:r>
    </w:p>
    <w:p>
      <w:pPr>
        <w:jc w:val="center"/>
      </w:pPr>
      <w:r>
        <w:rPr>
          <w:i/>
          <w:sz w:val="20"/>
        </w:rPr>
        <w:t>Figure 4.2 — Multi-party conditional identity-reveal flow: a Police request requires DMT co-authorisation, every attempt is logged on-chain, and the owner identity is released only over a secure channel.</w:t>
      </w:r>
    </w:p>
    <w:p>
      <w:pPr>
        <w:pStyle w:val="Heading3"/>
      </w:pPr>
      <w:r>
        <w:t>Algorithm 4 — Odometer Rollback Detection</w:t>
      </w:r>
    </w:p>
    <w:tbl>
      <w:tblPr>
        <w:tblStyle w:val="TableGrid"/>
        <w:tblW w:type="auto" w:w="0"/>
        <w:jc w:val="center"/>
        <w:tblLook w:firstColumn="1" w:firstRow="1" w:lastColumn="0" w:lastRow="0" w:noHBand="0" w:noVBand="1" w:val="04A0"/>
      </w:tblPr>
      <w:tblGrid>
        <w:gridCol w:w="2640"/>
        <w:gridCol w:w="2640"/>
        <w:gridCol w:w="2640"/>
      </w:tblGrid>
      <w:tr>
        <w:tc>
          <w:tcPr>
            <w:tcW w:type="dxa" w:w="2640"/>
            <w:shd w:val="clear" w:fill="D9E2F3"/>
          </w:tcPr>
          <w:p>
            <w:pPr>
              <w:spacing w:after="40"/>
            </w:pPr>
            <w:r/>
            <w:r>
              <w:rPr>
                <w:rFonts w:ascii="Times New Roman" w:hAnsi="Times New Roman"/>
                <w:b/>
                <w:i w:val="0"/>
                <w:sz w:val="22"/>
              </w:rPr>
              <w:t>Rule</w:t>
            </w:r>
          </w:p>
        </w:tc>
        <w:tc>
          <w:tcPr>
            <w:tcW w:type="dxa" w:w="2640"/>
            <w:shd w:val="clear" w:fill="D9E2F3"/>
          </w:tcPr>
          <w:p>
            <w:pPr>
              <w:spacing w:after="40"/>
            </w:pPr>
            <w:r/>
            <w:r>
              <w:rPr>
                <w:rFonts w:ascii="Times New Roman" w:hAnsi="Times New Roman"/>
                <w:b/>
                <w:i w:val="0"/>
                <w:sz w:val="22"/>
              </w:rPr>
              <w:t>Check</w:t>
            </w:r>
          </w:p>
        </w:tc>
        <w:tc>
          <w:tcPr>
            <w:tcW w:type="dxa" w:w="2640"/>
            <w:shd w:val="clear" w:fill="D9E2F3"/>
          </w:tcPr>
          <w:p>
            <w:pPr>
              <w:spacing w:after="40"/>
            </w:pPr>
            <w:r/>
            <w:r>
              <w:rPr>
                <w:rFonts w:ascii="Times New Roman" w:hAnsi="Times New Roman"/>
                <w:b/>
                <w:i w:val="0"/>
                <w:sz w:val="22"/>
              </w:rPr>
              <w:t>Result</w:t>
            </w:r>
          </w:p>
        </w:tc>
      </w:tr>
      <w:tr>
        <w:tc>
          <w:tcPr>
            <w:tcW w:type="dxa" w:w="2640"/>
          </w:tcPr>
          <w:p>
            <w:pPr>
              <w:spacing w:after="40"/>
            </w:pPr>
            <w:r/>
            <w:r>
              <w:rPr>
                <w:rFonts w:ascii="Times New Roman" w:hAnsi="Times New Roman"/>
                <w:b w:val="0"/>
                <w:i w:val="0"/>
                <w:sz w:val="22"/>
              </w:rPr>
              <w:t>Monotonicity</w:t>
            </w:r>
          </w:p>
        </w:tc>
        <w:tc>
          <w:tcPr>
            <w:tcW w:type="dxa" w:w="2640"/>
          </w:tcPr>
          <w:p>
            <w:pPr>
              <w:spacing w:after="40"/>
            </w:pPr>
            <w:r/>
            <w:r>
              <w:rPr>
                <w:rFonts w:ascii="Times New Roman" w:hAnsi="Times New Roman"/>
                <w:b w:val="0"/>
                <w:i w:val="0"/>
                <w:sz w:val="22"/>
              </w:rPr>
              <w:t>Is the new mileage less than the last recorded mileage?</w:t>
            </w:r>
          </w:p>
        </w:tc>
        <w:tc>
          <w:tcPr>
            <w:tcW w:type="dxa" w:w="2640"/>
          </w:tcPr>
          <w:p>
            <w:pPr>
              <w:spacing w:after="40"/>
            </w:pPr>
            <w:r/>
            <w:r>
              <w:rPr>
                <w:rFonts w:ascii="Times New Roman" w:hAnsi="Times New Roman"/>
                <w:b w:val="0"/>
                <w:i w:val="0"/>
                <w:sz w:val="22"/>
              </w:rPr>
              <w:t>FRAUD ALERT — rollback detected</w:t>
            </w:r>
          </w:p>
        </w:tc>
      </w:tr>
      <w:tr>
        <w:tc>
          <w:tcPr>
            <w:tcW w:type="dxa" w:w="2640"/>
          </w:tcPr>
          <w:p>
            <w:pPr>
              <w:spacing w:after="40"/>
            </w:pPr>
            <w:r/>
            <w:r>
              <w:rPr>
                <w:rFonts w:ascii="Times New Roman" w:hAnsi="Times New Roman"/>
                <w:b w:val="0"/>
                <w:i w:val="0"/>
                <w:sz w:val="22"/>
              </w:rPr>
              <w:t>Rate-of-change</w:t>
            </w:r>
          </w:p>
        </w:tc>
        <w:tc>
          <w:tcPr>
            <w:tcW w:type="dxa" w:w="2640"/>
          </w:tcPr>
          <w:p>
            <w:pPr>
              <w:spacing w:after="40"/>
            </w:pPr>
            <w:r/>
            <w:r>
              <w:rPr>
                <w:rFonts w:ascii="Times New Roman" w:hAnsi="Times New Roman"/>
                <w:b w:val="0"/>
                <w:i w:val="0"/>
                <w:sz w:val="22"/>
              </w:rPr>
              <w:t>Is the daily increase greater than 1,000 km/day?</w:t>
            </w:r>
          </w:p>
        </w:tc>
        <w:tc>
          <w:tcPr>
            <w:tcW w:type="dxa" w:w="2640"/>
          </w:tcPr>
          <w:p>
            <w:pPr>
              <w:spacing w:after="40"/>
            </w:pPr>
            <w:r/>
            <w:r>
              <w:rPr>
                <w:rFonts w:ascii="Times New Roman" w:hAnsi="Times New Roman"/>
                <w:b w:val="0"/>
                <w:i w:val="0"/>
                <w:sz w:val="22"/>
              </w:rPr>
              <w:t>WARNING — excessive mileage</w:t>
            </w:r>
          </w:p>
        </w:tc>
      </w:tr>
      <w:tr>
        <w:tc>
          <w:tcPr>
            <w:tcW w:type="dxa" w:w="2640"/>
          </w:tcPr>
          <w:p>
            <w:pPr>
              <w:spacing w:after="40"/>
            </w:pPr>
            <w:r/>
            <w:r>
              <w:rPr>
                <w:rFonts w:ascii="Times New Roman" w:hAnsi="Times New Roman"/>
                <w:b w:val="0"/>
                <w:i w:val="0"/>
                <w:sz w:val="22"/>
              </w:rPr>
              <w:t>Stagnation</w:t>
            </w:r>
          </w:p>
        </w:tc>
        <w:tc>
          <w:tcPr>
            <w:tcW w:type="dxa" w:w="2640"/>
          </w:tcPr>
          <w:p>
            <w:pPr>
              <w:spacing w:after="40"/>
            </w:pPr>
            <w:r/>
            <w:r>
              <w:rPr>
                <w:rFonts w:ascii="Times New Roman" w:hAnsi="Times New Roman"/>
                <w:b w:val="0"/>
                <w:i w:val="0"/>
                <w:sz w:val="22"/>
              </w:rPr>
              <w:t>Is the increase zero over 365+ days?</w:t>
            </w:r>
          </w:p>
        </w:tc>
        <w:tc>
          <w:tcPr>
            <w:tcW w:type="dxa" w:w="2640"/>
          </w:tcPr>
          <w:p>
            <w:pPr>
              <w:spacing w:after="40"/>
            </w:pPr>
            <w:r/>
            <w:r>
              <w:rPr>
                <w:rFonts w:ascii="Times New Roman" w:hAnsi="Times New Roman"/>
                <w:b w:val="0"/>
                <w:i w:val="0"/>
                <w:sz w:val="22"/>
              </w:rPr>
              <w:t>WARNING — suspiciously stagnant</w:t>
            </w:r>
          </w:p>
        </w:tc>
      </w:tr>
    </w:tbl>
    <w:p/>
    <w:p>
      <w:pPr>
        <w:jc w:val="center"/>
      </w:pPr>
      <w:r>
        <w:drawing>
          <wp:inline xmlns:a="http://schemas.openxmlformats.org/drawingml/2006/main" xmlns:pic="http://schemas.openxmlformats.org/drawingml/2006/picture">
            <wp:extent cx="4114800" cy="2939143"/>
            <wp:docPr id="6" name="Picture 6"/>
            <wp:cNvGraphicFramePr>
              <a:graphicFrameLocks noChangeAspect="1"/>
            </wp:cNvGraphicFramePr>
            <a:graphic>
              <a:graphicData uri="http://schemas.openxmlformats.org/drawingml/2006/picture">
                <pic:pic>
                  <pic:nvPicPr>
                    <pic:cNvPr id="0" name="fig_odometer_normal.png"/>
                    <pic:cNvPicPr/>
                  </pic:nvPicPr>
                  <pic:blipFill>
                    <a:blip r:embed="rId14"/>
                    <a:stretch>
                      <a:fillRect/>
                    </a:stretch>
                  </pic:blipFill>
                  <pic:spPr>
                    <a:xfrm>
                      <a:off x="0" y="0"/>
                      <a:ext cx="4114800" cy="2939143"/>
                    </a:xfrm>
                    <a:prstGeom prst="rect"/>
                  </pic:spPr>
                </pic:pic>
              </a:graphicData>
            </a:graphic>
          </wp:inline>
        </w:drawing>
      </w:r>
    </w:p>
    <w:p>
      <w:pPr>
        <w:jc w:val="center"/>
      </w:pPr>
      <w:r>
        <w:rPr>
          <w:i/>
          <w:sz w:val="20"/>
        </w:rPr>
        <w:t>Figure 4.3 — Normal case: mileage increases monotonically and passes the rollback check.</w:t>
      </w:r>
    </w:p>
    <w:p>
      <w:pPr>
        <w:jc w:val="center"/>
      </w:pPr>
      <w:r>
        <w:drawing>
          <wp:inline xmlns:a="http://schemas.openxmlformats.org/drawingml/2006/main" xmlns:pic="http://schemas.openxmlformats.org/drawingml/2006/picture">
            <wp:extent cx="4114800" cy="2939143"/>
            <wp:docPr id="7" name="Picture 7"/>
            <wp:cNvGraphicFramePr>
              <a:graphicFrameLocks noChangeAspect="1"/>
            </wp:cNvGraphicFramePr>
            <a:graphic>
              <a:graphicData uri="http://schemas.openxmlformats.org/drawingml/2006/picture">
                <pic:pic>
                  <pic:nvPicPr>
                    <pic:cNvPr id="0" name="fig_odometer_fraud.png"/>
                    <pic:cNvPicPr/>
                  </pic:nvPicPr>
                  <pic:blipFill>
                    <a:blip r:embed="rId15"/>
                    <a:stretch>
                      <a:fillRect/>
                    </a:stretch>
                  </pic:blipFill>
                  <pic:spPr>
                    <a:xfrm>
                      <a:off x="0" y="0"/>
                      <a:ext cx="4114800" cy="2939143"/>
                    </a:xfrm>
                    <a:prstGeom prst="rect"/>
                  </pic:spPr>
                </pic:pic>
              </a:graphicData>
            </a:graphic>
          </wp:inline>
        </w:drawing>
      </w:r>
    </w:p>
    <w:p>
      <w:pPr>
        <w:jc w:val="center"/>
      </w:pPr>
      <w:r>
        <w:rPr>
          <w:i/>
          <w:sz w:val="20"/>
        </w:rPr>
        <w:t>Figure 4.4 — Fraud case: a mileage decrease between readings triggers an odometer-rollback alert.</w:t>
      </w:r>
    </w:p>
    <w:p>
      <w:pPr>
        <w:pStyle w:val="Heading3"/>
      </w:pPr>
      <w:r>
        <w:t>Algorithm 5 — Accident–Insurance Cross-Reference (Two-Tier Evidence Rule)</w:t>
      </w:r>
    </w:p>
    <w:tbl>
      <w:tblPr>
        <w:tblStyle w:val="TableGrid"/>
        <w:tblW w:type="auto" w:w="0"/>
        <w:jc w:val="center"/>
        <w:tblLook w:firstColumn="1" w:firstRow="1" w:lastColumn="0" w:lastRow="0" w:noHBand="0" w:noVBand="1" w:val="04A0"/>
      </w:tblPr>
      <w:tblGrid>
        <w:gridCol w:w="2640"/>
        <w:gridCol w:w="2640"/>
        <w:gridCol w:w="2640"/>
      </w:tblGrid>
      <w:tr>
        <w:tc>
          <w:tcPr>
            <w:tcW w:type="dxa" w:w="2640"/>
            <w:shd w:val="clear" w:fill="D9E2F3"/>
          </w:tcPr>
          <w:p>
            <w:pPr>
              <w:spacing w:after="40"/>
            </w:pPr>
            <w:r/>
            <w:r>
              <w:rPr>
                <w:rFonts w:ascii="Times New Roman" w:hAnsi="Times New Roman"/>
                <w:b/>
                <w:i w:val="0"/>
                <w:sz w:val="22"/>
              </w:rPr>
              <w:t>Check</w:t>
            </w:r>
          </w:p>
        </w:tc>
        <w:tc>
          <w:tcPr>
            <w:tcW w:type="dxa" w:w="2640"/>
            <w:shd w:val="clear" w:fill="D9E2F3"/>
          </w:tcPr>
          <w:p>
            <w:pPr>
              <w:spacing w:after="40"/>
            </w:pPr>
            <w:r/>
            <w:r>
              <w:rPr>
                <w:rFonts w:ascii="Times New Roman" w:hAnsi="Times New Roman"/>
                <w:b/>
                <w:i w:val="0"/>
                <w:sz w:val="22"/>
              </w:rPr>
              <w:t>Condition</w:t>
            </w:r>
          </w:p>
        </w:tc>
        <w:tc>
          <w:tcPr>
            <w:tcW w:type="dxa" w:w="2640"/>
            <w:shd w:val="clear" w:fill="D9E2F3"/>
          </w:tcPr>
          <w:p>
            <w:pPr>
              <w:spacing w:after="40"/>
            </w:pPr>
            <w:r/>
            <w:r>
              <w:rPr>
                <w:rFonts w:ascii="Times New Roman" w:hAnsi="Times New Roman"/>
                <w:b/>
                <w:i w:val="0"/>
                <w:sz w:val="22"/>
              </w:rPr>
              <w:t>Result</w:t>
            </w:r>
          </w:p>
        </w:tc>
      </w:tr>
      <w:tr>
        <w:tc>
          <w:tcPr>
            <w:tcW w:type="dxa" w:w="2640"/>
          </w:tcPr>
          <w:p>
            <w:pPr>
              <w:spacing w:after="40"/>
            </w:pPr>
            <w:r/>
            <w:r>
              <w:rPr>
                <w:rFonts w:ascii="Times New Roman" w:hAnsi="Times New Roman"/>
                <w:b w:val="0"/>
                <w:i w:val="0"/>
                <w:sz w:val="22"/>
              </w:rPr>
              <w:t>1</w:t>
            </w:r>
          </w:p>
        </w:tc>
        <w:tc>
          <w:tcPr>
            <w:tcW w:type="dxa" w:w="2640"/>
          </w:tcPr>
          <w:p>
            <w:pPr>
              <w:spacing w:after="40"/>
            </w:pPr>
            <w:r/>
            <w:r>
              <w:rPr>
                <w:rFonts w:ascii="Times New Roman" w:hAnsi="Times New Roman"/>
                <w:b w:val="0"/>
                <w:i w:val="0"/>
                <w:sz w:val="22"/>
              </w:rPr>
              <w:t xml:space="preserve">Insurance claim exists with </w:t>
            </w:r>
            <w:r>
              <w:rPr>
                <w:rFonts w:ascii="Times New Roman" w:hAnsi="Times New Roman"/>
                <w:b/>
                <w:i w:val="0"/>
                <w:sz w:val="22"/>
              </w:rPr>
              <w:t>neither</w:t>
            </w:r>
            <w:r>
              <w:rPr>
                <w:rFonts w:ascii="Times New Roman" w:hAnsi="Times New Roman"/>
                <w:b w:val="0"/>
                <w:i w:val="0"/>
                <w:sz w:val="22"/>
              </w:rPr>
              <w:t xml:space="preserve"> a matching Police accident report </w:t>
            </w:r>
            <w:r>
              <w:rPr>
                <w:rFonts w:ascii="Times New Roman" w:hAnsi="Times New Roman"/>
                <w:b/>
                <w:i w:val="0"/>
                <w:sz w:val="22"/>
              </w:rPr>
              <w:t>nor</w:t>
            </w:r>
            <w:r>
              <w:rPr>
                <w:rFonts w:ascii="Times New Roman" w:hAnsi="Times New Roman"/>
                <w:b w:val="0"/>
                <w:i w:val="0"/>
                <w:sz w:val="22"/>
              </w:rPr>
              <w:t xml:space="preserve"> an insurer assessor scene-attestation</w:t>
            </w:r>
          </w:p>
        </w:tc>
        <w:tc>
          <w:tcPr>
            <w:tcW w:type="dxa" w:w="2640"/>
          </w:tcPr>
          <w:p>
            <w:pPr>
              <w:spacing w:after="40"/>
            </w:pPr>
            <w:r/>
            <w:r>
              <w:rPr>
                <w:rFonts w:ascii="Times New Roman" w:hAnsi="Times New Roman"/>
                <w:b w:val="0"/>
                <w:i w:val="0"/>
                <w:sz w:val="22"/>
              </w:rPr>
              <w:t>FRAUD ALERT — possible insurance fraud</w:t>
            </w:r>
          </w:p>
        </w:tc>
      </w:tr>
      <w:tr>
        <w:tc>
          <w:tcPr>
            <w:tcW w:type="dxa" w:w="2640"/>
          </w:tcPr>
          <w:p>
            <w:pPr>
              <w:spacing w:after="40"/>
            </w:pPr>
            <w:r/>
            <w:r>
              <w:rPr>
                <w:rFonts w:ascii="Times New Roman" w:hAnsi="Times New Roman"/>
                <w:b w:val="0"/>
                <w:i w:val="0"/>
                <w:sz w:val="22"/>
              </w:rPr>
              <w:t>2</w:t>
            </w:r>
          </w:p>
        </w:tc>
        <w:tc>
          <w:tcPr>
            <w:tcW w:type="dxa" w:w="2640"/>
          </w:tcPr>
          <w:p>
            <w:pPr>
              <w:spacing w:after="40"/>
            </w:pPr>
            <w:r/>
            <w:r>
              <w:rPr>
                <w:rFonts w:ascii="Times New Roman" w:hAnsi="Times New Roman"/>
                <w:b w:val="0"/>
                <w:i w:val="0"/>
                <w:sz w:val="22"/>
              </w:rPr>
              <w:t>Accident report exists but no insurance claim</w:t>
            </w:r>
          </w:p>
        </w:tc>
        <w:tc>
          <w:tcPr>
            <w:tcW w:type="dxa" w:w="2640"/>
          </w:tcPr>
          <w:p>
            <w:pPr>
              <w:spacing w:after="40"/>
            </w:pPr>
            <w:r/>
            <w:r>
              <w:rPr>
                <w:rFonts w:ascii="Times New Roman" w:hAnsi="Times New Roman"/>
                <w:b w:val="0"/>
                <w:i w:val="0"/>
                <w:sz w:val="22"/>
              </w:rPr>
              <w:t>INFO FLAG — buyer should be informed</w:t>
            </w:r>
          </w:p>
        </w:tc>
      </w:tr>
      <w:tr>
        <w:tc>
          <w:tcPr>
            <w:tcW w:type="dxa" w:w="2640"/>
          </w:tcPr>
          <w:p>
            <w:pPr>
              <w:spacing w:after="40"/>
            </w:pPr>
            <w:r/>
            <w:r>
              <w:rPr>
                <w:rFonts w:ascii="Times New Roman" w:hAnsi="Times New Roman"/>
                <w:b w:val="0"/>
                <w:i w:val="0"/>
                <w:sz w:val="22"/>
              </w:rPr>
              <w:t>3</w:t>
            </w:r>
          </w:p>
        </w:tc>
        <w:tc>
          <w:tcPr>
            <w:tcW w:type="dxa" w:w="2640"/>
          </w:tcPr>
          <w:p>
            <w:pPr>
              <w:spacing w:after="40"/>
            </w:pPr>
            <w:r/>
            <w:r>
              <w:rPr>
                <w:rFonts w:ascii="Times New Roman" w:hAnsi="Times New Roman"/>
                <w:b w:val="0"/>
                <w:i w:val="0"/>
                <w:sz w:val="22"/>
              </w:rPr>
              <w:t>Multiple insurance claims reference the same evidence anchor</w:t>
            </w:r>
          </w:p>
        </w:tc>
        <w:tc>
          <w:tcPr>
            <w:tcW w:type="dxa" w:w="2640"/>
          </w:tcPr>
          <w:p>
            <w:pPr>
              <w:spacing w:after="40"/>
            </w:pPr>
            <w:r/>
            <w:r>
              <w:rPr>
                <w:rFonts w:ascii="Times New Roman" w:hAnsi="Times New Roman"/>
                <w:b w:val="0"/>
                <w:i w:val="0"/>
                <w:sz w:val="22"/>
              </w:rPr>
              <w:t>FRAUD ALERT — duplicate claims</w:t>
            </w:r>
          </w:p>
        </w:tc>
      </w:tr>
      <w:tr>
        <w:tc>
          <w:tcPr>
            <w:tcW w:type="dxa" w:w="2640"/>
          </w:tcPr>
          <w:p>
            <w:pPr>
              <w:spacing w:after="40"/>
            </w:pPr>
            <w:r/>
            <w:r>
              <w:rPr>
                <w:rFonts w:ascii="Times New Roman" w:hAnsi="Times New Roman"/>
                <w:b w:val="0"/>
                <w:i w:val="0"/>
                <w:sz w:val="22"/>
              </w:rPr>
              <w:t>4</w:t>
            </w:r>
          </w:p>
        </w:tc>
        <w:tc>
          <w:tcPr>
            <w:tcW w:type="dxa" w:w="2640"/>
          </w:tcPr>
          <w:p>
            <w:pPr>
              <w:spacing w:after="40"/>
            </w:pPr>
            <w:r/>
            <w:r>
              <w:rPr>
                <w:rFonts w:ascii="Times New Roman" w:hAnsi="Times New Roman"/>
                <w:b w:val="0"/>
                <w:i w:val="0"/>
                <w:sz w:val="22"/>
              </w:rPr>
              <w:t>Claims from different insurers on the same vehicle within an overlapping date window (no shared anchor)</w:t>
            </w:r>
          </w:p>
        </w:tc>
        <w:tc>
          <w:tcPr>
            <w:tcW w:type="dxa" w:w="2640"/>
          </w:tcPr>
          <w:p>
            <w:pPr>
              <w:spacing w:after="40"/>
            </w:pPr>
            <w:r/>
            <w:r>
              <w:rPr>
                <w:rFonts w:ascii="Times New Roman" w:hAnsi="Times New Roman"/>
                <w:b w:val="0"/>
                <w:i w:val="0"/>
                <w:sz w:val="22"/>
              </w:rPr>
              <w:t>WARNING — possible cross-insurer double-dip</w:t>
            </w:r>
          </w:p>
        </w:tc>
      </w:tr>
    </w:tbl>
    <w:p/>
    <w:p>
      <w:pPr>
        <w:jc w:val="both"/>
      </w:pPr>
      <w:r>
        <w:rPr>
          <w:rFonts w:ascii="Times New Roman" w:hAnsi="Times New Roman"/>
          <w:b w:val="0"/>
          <w:i w:val="0"/>
          <w:sz w:val="24"/>
        </w:rPr>
        <w:t xml:space="preserve">Check 1 was revised during the July 2026 fraud-capability audit (§4.11): the original rule treated a Police accident report as the only valid anchor, but Sri Lankan insurers routinely settle </w:t>
      </w:r>
      <w:r>
        <w:rPr>
          <w:rFonts w:ascii="Times New Roman" w:hAnsi="Times New Roman"/>
          <w:b w:val="0"/>
          <w:i/>
          <w:sz w:val="24"/>
        </w:rPr>
        <w:t>on-the-spot</w:t>
      </w:r>
      <w:r>
        <w:rPr>
          <w:rFonts w:ascii="Times New Roman" w:hAnsi="Times New Roman"/>
          <w:b w:val="0"/>
          <w:i w:val="0"/>
          <w:sz w:val="24"/>
        </w:rPr>
        <w:t xml:space="preserve"> claims — an assessor is dispatched to the scene and no police report is ever filed (police involvement is mandatory only for injury or third-party-dispute cases) — so the unrevised rule would have flagged every legitimate on-the-spot claim as fraud. Under the two-tier rule, a claim must cite either a Police report (independent evidence) or an insurer assessor attestation (self-attested evidence; the assessor's identity, scene timestamp, and a hash of scene photographs are recorded on-chain), and the evidence tier is visible on the vehicle history. Deterministic duplicate-claim detection (Check 3) consequently holds only where both claims share an anchor; the cross-insurer window rule (Check 4) covers assessor-anchored claims at warning rather than alert strength.</w:t>
      </w:r>
    </w:p>
    <w:p>
      <w:pPr>
        <w:jc w:val="center"/>
      </w:pPr>
      <w:r>
        <w:drawing>
          <wp:inline xmlns:a="http://schemas.openxmlformats.org/drawingml/2006/main" xmlns:pic="http://schemas.openxmlformats.org/drawingml/2006/picture">
            <wp:extent cx="5029200" cy="1810690"/>
            <wp:docPr id="8" name="Picture 8"/>
            <wp:cNvGraphicFramePr>
              <a:graphicFrameLocks noChangeAspect="1"/>
            </wp:cNvGraphicFramePr>
            <a:graphic>
              <a:graphicData uri="http://schemas.openxmlformats.org/drawingml/2006/picture">
                <pic:pic>
                  <pic:nvPicPr>
                    <pic:cNvPr id="0" name="fig_fraud_flowcharts.png"/>
                    <pic:cNvPicPr/>
                  </pic:nvPicPr>
                  <pic:blipFill>
                    <a:blip r:embed="rId16"/>
                    <a:stretch>
                      <a:fillRect/>
                    </a:stretch>
                  </pic:blipFill>
                  <pic:spPr>
                    <a:xfrm>
                      <a:off x="0" y="0"/>
                      <a:ext cx="5029200" cy="1810690"/>
                    </a:xfrm>
                    <a:prstGeom prst="rect"/>
                  </pic:spPr>
                </pic:pic>
              </a:graphicData>
            </a:graphic>
          </wp:inline>
        </w:drawing>
      </w:r>
    </w:p>
    <w:p>
      <w:pPr>
        <w:jc w:val="center"/>
      </w:pPr>
      <w:r>
        <w:rPr>
          <w:i/>
          <w:sz w:val="20"/>
        </w:rPr>
        <w:t>Figure 4.5 — Decision flow of the fraud-detection checks: odometer rollback, accident–insurance cross-reference, and the stolen-vehicle transfer block.</w:t>
      </w:r>
    </w:p>
    <w:p>
      <w:pPr>
        <w:pStyle w:val="Heading3"/>
      </w:pPr>
      <w:r>
        <w:t>Minimum-Linkability Analysis (Analytical, to be validated empirically in Chapter 6)</w:t>
      </w:r>
    </w:p>
    <w:p>
      <w:pPr>
        <w:jc w:val="both"/>
      </w:pPr>
      <w:r>
        <w:rPr>
          <w:rFonts w:ascii="Times New Roman" w:hAnsi="Times New Roman"/>
          <w:b w:val="0"/>
          <w:i w:val="0"/>
          <w:sz w:val="24"/>
        </w:rPr>
        <w:t xml:space="preserve">The pseudonym model (Algorithm 1) links an owner's events at the </w:t>
      </w:r>
      <w:r>
        <w:rPr>
          <w:rFonts w:ascii="Times New Roman" w:hAnsi="Times New Roman"/>
          <w:b w:val="0"/>
          <w:i/>
          <w:sz w:val="24"/>
        </w:rPr>
        <w:t>per-vehicle</w:t>
      </w:r>
      <w:r>
        <w:rPr>
          <w:rFonts w:ascii="Times New Roman" w:hAnsi="Times New Roman"/>
          <w:b w:val="0"/>
          <w:i w:val="0"/>
          <w:sz w:val="24"/>
        </w:rPr>
        <w:t xml:space="preserve"> level by design. Before that specific granularity is defended empirically, it is possible to derive, purely from each rule's logic, the coarsest pseudonym-linkage tier at which the rule can still be decided — its </w:t>
      </w:r>
      <w:r>
        <w:rPr>
          <w:rFonts w:ascii="Times New Roman" w:hAnsi="Times New Roman"/>
          <w:b/>
          <w:i w:val="0"/>
          <w:sz w:val="24"/>
        </w:rPr>
        <w:t>minimum required linkage</w:t>
      </w:r>
      <w:r>
        <w:rPr>
          <w:rFonts w:ascii="Times New Roman" w:hAnsi="Times New Roman"/>
          <w:b w:val="0"/>
          <w:i w:val="0"/>
          <w:sz w:val="24"/>
        </w:rPr>
        <w:t>. This analysis is not itself claimed as a cryptographic novelty (view-determinacy analysis of this kind is standard in the privacy literature — Nash et al., 2010; Antignac et al., 2017); its contribution here is applying it to this rule set and using the resulting prediction as a falsifiable check against the measured trade-off curve in Chapter 6.</w:t>
      </w:r>
    </w:p>
    <w:tbl>
      <w:tblPr>
        <w:tblStyle w:val="TableGrid"/>
        <w:tblW w:type="auto" w:w="0"/>
        <w:jc w:val="center"/>
        <w:tblLook w:firstColumn="1" w:firstRow="1" w:lastColumn="0" w:lastRow="0" w:noHBand="0" w:noVBand="1" w:val="04A0"/>
      </w:tblPr>
      <w:tblGrid>
        <w:gridCol w:w="1980"/>
        <w:gridCol w:w="1980"/>
        <w:gridCol w:w="1980"/>
        <w:gridCol w:w="1980"/>
      </w:tblGrid>
      <w:tr>
        <w:tc>
          <w:tcPr>
            <w:tcW w:type="dxa" w:w="1980"/>
            <w:shd w:val="clear" w:fill="D9E2F3"/>
          </w:tcPr>
          <w:p>
            <w:pPr>
              <w:spacing w:after="40"/>
            </w:pPr>
            <w:r/>
            <w:r>
              <w:rPr>
                <w:rFonts w:ascii="Times New Roman" w:hAnsi="Times New Roman"/>
                <w:b/>
                <w:i w:val="0"/>
                <w:sz w:val="22"/>
              </w:rPr>
              <w:t>Fraud rule</w:t>
            </w:r>
          </w:p>
        </w:tc>
        <w:tc>
          <w:tcPr>
            <w:tcW w:type="dxa" w:w="1980"/>
            <w:shd w:val="clear" w:fill="D9E2F3"/>
          </w:tcPr>
          <w:p>
            <w:pPr>
              <w:spacing w:after="40"/>
            </w:pPr>
            <w:r/>
            <w:r>
              <w:rPr>
                <w:rFonts w:ascii="Times New Roman" w:hAnsi="Times New Roman"/>
                <w:b/>
                <w:i w:val="0"/>
                <w:sz w:val="22"/>
              </w:rPr>
              <w:t>What the rule must compare</w:t>
            </w:r>
          </w:p>
        </w:tc>
        <w:tc>
          <w:tcPr>
            <w:tcW w:type="dxa" w:w="1980"/>
            <w:shd w:val="clear" w:fill="D9E2F3"/>
          </w:tcPr>
          <w:p>
            <w:pPr>
              <w:spacing w:after="40"/>
            </w:pPr>
            <w:r/>
            <w:r>
              <w:rPr>
                <w:rFonts w:ascii="Times New Roman" w:hAnsi="Times New Roman"/>
                <w:b/>
                <w:i w:val="0"/>
                <w:sz w:val="22"/>
              </w:rPr>
              <w:t>Minimum linkage tier needed</w:t>
            </w:r>
          </w:p>
        </w:tc>
        <w:tc>
          <w:tcPr>
            <w:tcW w:type="dxa" w:w="1980"/>
            <w:shd w:val="clear" w:fill="D9E2F3"/>
          </w:tcPr>
          <w:p>
            <w:pPr>
              <w:spacing w:after="40"/>
            </w:pPr>
            <w:r/>
            <w:r>
              <w:rPr>
                <w:rFonts w:ascii="Times New Roman" w:hAnsi="Times New Roman"/>
                <w:b/>
                <w:i w:val="0"/>
                <w:sz w:val="22"/>
              </w:rPr>
              <w:t>Predicted behaviour as linkage is reduced</w:t>
            </w:r>
          </w:p>
        </w:tc>
      </w:tr>
      <w:tr>
        <w:tc>
          <w:tcPr>
            <w:tcW w:type="dxa" w:w="1980"/>
          </w:tcPr>
          <w:p>
            <w:pPr>
              <w:spacing w:after="40"/>
            </w:pPr>
            <w:r/>
            <w:r>
              <w:rPr>
                <w:rFonts w:ascii="Times New Roman" w:hAnsi="Times New Roman"/>
                <w:b w:val="0"/>
                <w:i w:val="0"/>
                <w:sz w:val="22"/>
              </w:rPr>
              <w:t>Odometer monotonicity / rate / stagnation (Algorithm 4)</w:t>
            </w:r>
          </w:p>
        </w:tc>
        <w:tc>
          <w:tcPr>
            <w:tcW w:type="dxa" w:w="1980"/>
          </w:tcPr>
          <w:p>
            <w:pPr>
              <w:spacing w:after="40"/>
            </w:pPr>
            <w:r/>
            <w:r>
              <w:rPr>
                <w:rFonts w:ascii="Times New Roman" w:hAnsi="Times New Roman"/>
                <w:b w:val="0"/>
                <w:i w:val="0"/>
                <w:sz w:val="22"/>
              </w:rPr>
              <w:t xml:space="preserve">Two mileage readings for </w:t>
            </w:r>
            <w:r>
              <w:rPr>
                <w:rFonts w:ascii="Times New Roman" w:hAnsi="Times New Roman"/>
                <w:b w:val="0"/>
                <w:i/>
                <w:sz w:val="22"/>
              </w:rPr>
              <w:t>the same vehicle</w:t>
            </w:r>
          </w:p>
        </w:tc>
        <w:tc>
          <w:tcPr>
            <w:tcW w:type="dxa" w:w="1980"/>
          </w:tcPr>
          <w:p>
            <w:pPr>
              <w:spacing w:after="40"/>
            </w:pPr>
            <w:r/>
            <w:r>
              <w:rPr>
                <w:rFonts w:ascii="Times New Roman" w:hAnsi="Times New Roman"/>
                <w:b w:val="0"/>
                <w:i w:val="0"/>
                <w:sz w:val="22"/>
              </w:rPr>
              <w:t>Vehicle-level (same-vehicle event chain); owner identity irrelevant</w:t>
            </w:r>
          </w:p>
        </w:tc>
        <w:tc>
          <w:tcPr>
            <w:tcW w:type="dxa" w:w="1980"/>
          </w:tcPr>
          <w:p>
            <w:pPr>
              <w:spacing w:after="40"/>
            </w:pPr>
            <w:r/>
            <w:r>
              <w:rPr>
                <w:rFonts w:ascii="Times New Roman" w:hAnsi="Times New Roman"/>
                <w:b w:val="0"/>
                <w:i w:val="0"/>
                <w:sz w:val="22"/>
              </w:rPr>
              <w:t>Survives until the vehicle link itself is hidden — the last tier to break</w:t>
            </w:r>
          </w:p>
        </w:tc>
      </w:tr>
      <w:tr>
        <w:tc>
          <w:tcPr>
            <w:tcW w:type="dxa" w:w="1980"/>
          </w:tcPr>
          <w:p>
            <w:pPr>
              <w:spacing w:after="40"/>
            </w:pPr>
            <w:r/>
            <w:r>
              <w:rPr>
                <w:rFonts w:ascii="Times New Roman" w:hAnsi="Times New Roman"/>
                <w:b w:val="0"/>
                <w:i w:val="0"/>
                <w:sz w:val="22"/>
              </w:rPr>
              <w:t>Stolen-vehicle transfer block (Algorithm 2)</w:t>
            </w:r>
          </w:p>
        </w:tc>
        <w:tc>
          <w:tcPr>
            <w:tcW w:type="dxa" w:w="1980"/>
          </w:tcPr>
          <w:p>
            <w:pPr>
              <w:spacing w:after="40"/>
            </w:pPr>
            <w:r/>
            <w:r>
              <w:rPr>
                <w:rFonts w:ascii="Times New Roman" w:hAnsi="Times New Roman"/>
                <w:b w:val="0"/>
                <w:i w:val="0"/>
                <w:sz w:val="22"/>
              </w:rPr>
              <w:t xml:space="preserve">The theft flag and the transfer request for </w:t>
            </w:r>
            <w:r>
              <w:rPr>
                <w:rFonts w:ascii="Times New Roman" w:hAnsi="Times New Roman"/>
                <w:b w:val="0"/>
                <w:i/>
                <w:sz w:val="22"/>
              </w:rPr>
              <w:t>the same vehicle, at the same moment</w:t>
            </w:r>
          </w:p>
        </w:tc>
        <w:tc>
          <w:tcPr>
            <w:tcW w:type="dxa" w:w="1980"/>
          </w:tcPr>
          <w:p>
            <w:pPr>
              <w:spacing w:after="40"/>
            </w:pPr>
            <w:r/>
            <w:r>
              <w:rPr>
                <w:rFonts w:ascii="Times New Roman" w:hAnsi="Times New Roman"/>
                <w:b w:val="0"/>
                <w:i w:val="0"/>
                <w:sz w:val="22"/>
              </w:rPr>
              <w:t>Vehicle-level, time-bound</w:t>
            </w:r>
          </w:p>
        </w:tc>
        <w:tc>
          <w:tcPr>
            <w:tcW w:type="dxa" w:w="1980"/>
          </w:tcPr>
          <w:p>
            <w:pPr>
              <w:spacing w:after="40"/>
            </w:pPr>
            <w:r/>
            <w:r>
              <w:rPr>
                <w:rFonts w:ascii="Times New Roman" w:hAnsi="Times New Roman"/>
                <w:b w:val="0"/>
                <w:i w:val="0"/>
                <w:sz w:val="22"/>
              </w:rPr>
              <w:t>Survives at per-vehicle and per-event granularity; breaks once even the vehicle link is hidden</w:t>
            </w:r>
          </w:p>
        </w:tc>
      </w:tr>
      <w:tr>
        <w:tc>
          <w:tcPr>
            <w:tcW w:type="dxa" w:w="1980"/>
          </w:tcPr>
          <w:p>
            <w:pPr>
              <w:spacing w:after="40"/>
            </w:pPr>
            <w:r/>
            <w:r>
              <w:rPr>
                <w:rFonts w:ascii="Times New Roman" w:hAnsi="Times New Roman"/>
                <w:b w:val="0"/>
                <w:i w:val="0"/>
                <w:sz w:val="22"/>
              </w:rPr>
              <w:t>Accident–insurance cross-reference (Algorithm 5)</w:t>
            </w:r>
          </w:p>
        </w:tc>
        <w:tc>
          <w:tcPr>
            <w:tcW w:type="dxa" w:w="1980"/>
          </w:tcPr>
          <w:p>
            <w:pPr>
              <w:spacing w:after="40"/>
            </w:pPr>
            <w:r/>
            <w:r>
              <w:rPr>
                <w:rFonts w:ascii="Times New Roman" w:hAnsi="Times New Roman"/>
                <w:b w:val="0"/>
                <w:i w:val="0"/>
                <w:sz w:val="22"/>
              </w:rPr>
              <w:t xml:space="preserve">An accident report and a claim for </w:t>
            </w:r>
            <w:r>
              <w:rPr>
                <w:rFonts w:ascii="Times New Roman" w:hAnsi="Times New Roman"/>
                <w:b w:val="0"/>
                <w:i/>
                <w:sz w:val="22"/>
              </w:rPr>
              <w:t>the same vehicle and incident</w:t>
            </w:r>
          </w:p>
        </w:tc>
        <w:tc>
          <w:tcPr>
            <w:tcW w:type="dxa" w:w="1980"/>
          </w:tcPr>
          <w:p>
            <w:pPr>
              <w:spacing w:after="40"/>
            </w:pPr>
            <w:r/>
            <w:r>
              <w:rPr>
                <w:rFonts w:ascii="Times New Roman" w:hAnsi="Times New Roman"/>
                <w:b w:val="0"/>
                <w:i w:val="0"/>
                <w:sz w:val="22"/>
              </w:rPr>
              <w:t>Vehicle+event-level</w:t>
            </w:r>
          </w:p>
        </w:tc>
        <w:tc>
          <w:tcPr>
            <w:tcW w:type="dxa" w:w="1980"/>
          </w:tcPr>
          <w:p>
            <w:pPr>
              <w:spacing w:after="40"/>
            </w:pPr>
            <w:r/>
            <w:r>
              <w:rPr>
                <w:rFonts w:ascii="Times New Roman" w:hAnsi="Times New Roman"/>
                <w:b w:val="0"/>
                <w:i w:val="0"/>
                <w:sz w:val="22"/>
              </w:rPr>
              <w:t>Breaks earlier than the odometer rule if events are pseudonymised independently of each other</w:t>
            </w:r>
          </w:p>
        </w:tc>
      </w:tr>
      <w:tr>
        <w:tc>
          <w:tcPr>
            <w:tcW w:type="dxa" w:w="1980"/>
          </w:tcPr>
          <w:p>
            <w:pPr>
              <w:spacing w:after="40"/>
            </w:pPr>
            <w:r/>
            <w:r>
              <w:rPr>
                <w:rFonts w:ascii="Times New Roman" w:hAnsi="Times New Roman"/>
                <w:b w:val="0"/>
                <w:i w:val="0"/>
                <w:sz w:val="22"/>
              </w:rPr>
              <w:t>Straw-owner / serial-fraud pattern (not yet implemented — identified by this analysis)</w:t>
            </w:r>
          </w:p>
        </w:tc>
        <w:tc>
          <w:tcPr>
            <w:tcW w:type="dxa" w:w="1980"/>
          </w:tcPr>
          <w:p>
            <w:pPr>
              <w:spacing w:after="40"/>
            </w:pPr>
            <w:r/>
            <w:r>
              <w:rPr>
                <w:rFonts w:ascii="Times New Roman" w:hAnsi="Times New Roman"/>
                <w:b w:val="0"/>
                <w:i w:val="0"/>
                <w:sz w:val="22"/>
              </w:rPr>
              <w:t xml:space="preserve">The same behaviour repeated by </w:t>
            </w:r>
            <w:r>
              <w:rPr>
                <w:rFonts w:ascii="Times New Roman" w:hAnsi="Times New Roman"/>
                <w:b w:val="0"/>
                <w:i/>
                <w:sz w:val="22"/>
              </w:rPr>
              <w:t>the same owner across different vehicles</w:t>
            </w:r>
          </w:p>
        </w:tc>
        <w:tc>
          <w:tcPr>
            <w:tcW w:type="dxa" w:w="1980"/>
          </w:tcPr>
          <w:p>
            <w:pPr>
              <w:spacing w:after="40"/>
            </w:pPr>
            <w:r/>
            <w:r>
              <w:rPr>
                <w:rFonts w:ascii="Times New Roman" w:hAnsi="Times New Roman"/>
                <w:b w:val="0"/>
                <w:i w:val="0"/>
                <w:sz w:val="22"/>
              </w:rPr>
              <w:t>Owner-level, cross-vehicle</w:t>
            </w:r>
          </w:p>
        </w:tc>
        <w:tc>
          <w:tcPr>
            <w:tcW w:type="dxa" w:w="1980"/>
          </w:tcPr>
          <w:p>
            <w:pPr>
              <w:spacing w:after="40"/>
            </w:pPr>
            <w:r/>
            <w:r>
              <w:rPr>
                <w:rFonts w:ascii="Times New Roman" w:hAnsi="Times New Roman"/>
                <w:b w:val="0"/>
                <w:i w:val="0"/>
                <w:sz w:val="22"/>
              </w:rPr>
              <w:t>Breaks immediately once each vehicle receives an independent pseudonym — i.e., under this thesis's own design (Algorithm 1)</w:t>
            </w:r>
          </w:p>
        </w:tc>
      </w:tr>
    </w:tbl>
    <w:p/>
    <w:p>
      <w:pPr>
        <w:jc w:val="both"/>
      </w:pPr>
      <w:r>
        <w:rPr>
          <w:rFonts w:ascii="Times New Roman" w:hAnsi="Times New Roman"/>
          <w:b w:val="0"/>
          <w:i w:val="0"/>
          <w:sz w:val="24"/>
        </w:rPr>
        <w:t xml:space="preserve">The last row is the analysis's most consequential finding: the current design (a distinct pseudonym per vehicle, chosen specifically so that different vehicles owned by the same person are </w:t>
      </w:r>
      <w:r>
        <w:rPr>
          <w:rFonts w:ascii="Times New Roman" w:hAnsi="Times New Roman"/>
          <w:b w:val="0"/>
          <w:i/>
          <w:sz w:val="24"/>
        </w:rPr>
        <w:t>not</w:t>
      </w:r>
      <w:r>
        <w:rPr>
          <w:rFonts w:ascii="Times New Roman" w:hAnsi="Times New Roman"/>
          <w:b w:val="0"/>
          <w:i w:val="0"/>
          <w:sz w:val="24"/>
        </w:rPr>
        <w:t xml:space="preserve"> linkable) is deliberately unable to detect a fraud pattern that repeats across a person's vehicles — for example, an owner who clocks the odometer on several cars in turn. This is a genuine limitation, not an oversight, and is reported as such rather than concealed: privacy and this specific detection capability are in direct tension for this rule.</w:t>
      </w:r>
    </w:p>
    <w:p>
      <w:pPr>
        <w:jc w:val="both"/>
      </w:pPr>
      <w:r>
        <w:rPr>
          <w:rFonts w:ascii="Times New Roman" w:hAnsi="Times New Roman"/>
          <w:b w:val="0"/>
          <w:i w:val="0"/>
          <w:sz w:val="24"/>
        </w:rPr>
        <w:t xml:space="preserve">The wider prediction is that the four rule families do </w:t>
      </w:r>
      <w:r>
        <w:rPr>
          <w:rFonts w:ascii="Times New Roman" w:hAnsi="Times New Roman"/>
          <w:b/>
          <w:i w:val="0"/>
          <w:sz w:val="24"/>
        </w:rPr>
        <w:t>not</w:t>
      </w:r>
      <w:r>
        <w:rPr>
          <w:rFonts w:ascii="Times New Roman" w:hAnsi="Times New Roman"/>
          <w:b w:val="0"/>
          <w:i w:val="0"/>
          <w:sz w:val="24"/>
        </w:rPr>
        <w:t xml:space="preserve"> degrade evenly as linkage decreases — each has its own threshold at which it stops being decidable at all, so the expected shape of the empirical curve in Chapter 6 is a step function with breakpoints at these predicted tiers, rather than a smooth decline. Chapter 6 sets out how this prediction is checked against measurement.</w:t>
      </w:r>
    </w:p>
    <w:p>
      <w:pPr>
        <w:pStyle w:val="Heading2"/>
      </w:pPr>
      <w:r>
        <w:t>4.6 Outputs</w:t>
      </w:r>
    </w:p>
    <w:tbl>
      <w:tblPr>
        <w:tblStyle w:val="TableGrid"/>
        <w:tblW w:type="auto" w:w="0"/>
        <w:jc w:val="center"/>
        <w:tblLook w:firstColumn="1" w:firstRow="1" w:lastColumn="0" w:lastRow="0" w:noHBand="0" w:noVBand="1" w:val="04A0"/>
      </w:tblPr>
      <w:tblGrid>
        <w:gridCol w:w="3960"/>
        <w:gridCol w:w="3960"/>
      </w:tblGrid>
      <w:tr>
        <w:tc>
          <w:tcPr>
            <w:tcW w:type="dxa" w:w="3960"/>
            <w:shd w:val="clear" w:fill="D9E2F3"/>
          </w:tcPr>
          <w:p>
            <w:pPr>
              <w:spacing w:after="40"/>
            </w:pPr>
            <w:r/>
            <w:r>
              <w:rPr>
                <w:rFonts w:ascii="Times New Roman" w:hAnsi="Times New Roman"/>
                <w:b/>
                <w:i w:val="0"/>
                <w:sz w:val="22"/>
              </w:rPr>
              <w:t>Audience</w:t>
            </w:r>
          </w:p>
        </w:tc>
        <w:tc>
          <w:tcPr>
            <w:tcW w:type="dxa" w:w="3960"/>
            <w:shd w:val="clear" w:fill="D9E2F3"/>
          </w:tcPr>
          <w:p>
            <w:pPr>
              <w:spacing w:after="40"/>
            </w:pPr>
            <w:r/>
            <w:r>
              <w:rPr>
                <w:rFonts w:ascii="Times New Roman" w:hAnsi="Times New Roman"/>
                <w:b/>
                <w:i w:val="0"/>
                <w:sz w:val="22"/>
              </w:rPr>
              <w:t>Output</w:t>
            </w:r>
          </w:p>
        </w:tc>
      </w:tr>
      <w:tr>
        <w:tc>
          <w:tcPr>
            <w:tcW w:type="dxa" w:w="3960"/>
          </w:tcPr>
          <w:p>
            <w:pPr>
              <w:spacing w:after="40"/>
            </w:pPr>
            <w:r/>
            <w:r>
              <w:rPr>
                <w:rFonts w:ascii="Times New Roman" w:hAnsi="Times New Roman"/>
                <w:b w:val="0"/>
                <w:i w:val="0"/>
                <w:sz w:val="22"/>
              </w:rPr>
              <w:t>Buyers (public)</w:t>
            </w:r>
          </w:p>
        </w:tc>
        <w:tc>
          <w:tcPr>
            <w:tcW w:type="dxa" w:w="3960"/>
          </w:tcPr>
          <w:p>
            <w:pPr>
              <w:spacing w:after="40"/>
            </w:pPr>
            <w:r/>
            <w:r>
              <w:rPr>
                <w:rFonts w:ascii="Times New Roman" w:hAnsi="Times New Roman"/>
                <w:b w:val="0"/>
                <w:i w:val="0"/>
                <w:sz w:val="22"/>
              </w:rPr>
              <w:t>Pseudonymised vehicle history, mileage progression, accident count, theft status, claim count, fraud alerts, risk score</w:t>
            </w:r>
          </w:p>
        </w:tc>
      </w:tr>
      <w:tr>
        <w:tc>
          <w:tcPr>
            <w:tcW w:type="dxa" w:w="3960"/>
          </w:tcPr>
          <w:p>
            <w:pPr>
              <w:spacing w:after="40"/>
            </w:pPr>
            <w:r/>
            <w:r>
              <w:rPr>
                <w:rFonts w:ascii="Times New Roman" w:hAnsi="Times New Roman"/>
                <w:b w:val="0"/>
                <w:i w:val="0"/>
                <w:sz w:val="22"/>
              </w:rPr>
              <w:t>Consortium members</w:t>
            </w:r>
          </w:p>
        </w:tc>
        <w:tc>
          <w:tcPr>
            <w:tcW w:type="dxa" w:w="3960"/>
          </w:tcPr>
          <w:p>
            <w:pPr>
              <w:spacing w:after="40"/>
            </w:pPr>
            <w:r/>
            <w:r>
              <w:rPr>
                <w:rFonts w:ascii="Times New Roman" w:hAnsi="Times New Roman"/>
                <w:b w:val="0"/>
                <w:i w:val="0"/>
                <w:sz w:val="22"/>
              </w:rPr>
              <w:t>Real-time fraud alerts, cross-reference reports, transfer-block notifications, reveal audit trail</w:t>
            </w:r>
          </w:p>
        </w:tc>
      </w:tr>
      <w:tr>
        <w:tc>
          <w:tcPr>
            <w:tcW w:type="dxa" w:w="3960"/>
          </w:tcPr>
          <w:p>
            <w:pPr>
              <w:spacing w:after="40"/>
            </w:pPr>
            <w:r/>
            <w:r>
              <w:rPr>
                <w:rFonts w:ascii="Times New Roman" w:hAnsi="Times New Roman"/>
                <w:b w:val="0"/>
                <w:i w:val="0"/>
                <w:sz w:val="22"/>
              </w:rPr>
              <w:t>Evaluation</w:t>
            </w:r>
          </w:p>
        </w:tc>
        <w:tc>
          <w:tcPr>
            <w:tcW w:type="dxa" w:w="3960"/>
          </w:tcPr>
          <w:p>
            <w:pPr>
              <w:spacing w:after="40"/>
            </w:pPr>
            <w:r/>
            <w:r>
              <w:rPr>
                <w:rFonts w:ascii="Times New Roman" w:hAnsi="Times New Roman"/>
                <w:b w:val="0"/>
                <w:i w:val="0"/>
                <w:sz w:val="22"/>
              </w:rPr>
              <w:t>Privacy metrics, fraud-detection accuracy, performance benchmarks, PDPA compliance mapping</w:t>
            </w:r>
          </w:p>
        </w:tc>
      </w:tr>
    </w:tbl>
    <w:p/>
    <w:p>
      <w:pPr>
        <w:pStyle w:val="Heading2"/>
      </w:pPr>
      <w:r>
        <w:t>4.7 Role-Based Access Control</w:t>
      </w:r>
    </w:p>
    <w:tbl>
      <w:tblPr>
        <w:tblStyle w:val="TableGrid"/>
        <w:tblW w:type="auto" w:w="0"/>
        <w:jc w:val="center"/>
        <w:tblLook w:firstColumn="1" w:firstRow="1" w:lastColumn="0" w:lastRow="0" w:noHBand="0" w:noVBand="1" w:val="04A0"/>
      </w:tblPr>
      <w:tblGrid>
        <w:gridCol w:w="3960"/>
        <w:gridCol w:w="3960"/>
      </w:tblGrid>
      <w:tr>
        <w:tc>
          <w:tcPr>
            <w:tcW w:type="dxa" w:w="3960"/>
            <w:shd w:val="clear" w:fill="D9E2F3"/>
          </w:tcPr>
          <w:p>
            <w:pPr>
              <w:spacing w:after="40"/>
            </w:pPr>
            <w:r/>
            <w:r>
              <w:rPr>
                <w:rFonts w:ascii="Times New Roman" w:hAnsi="Times New Roman"/>
                <w:b/>
                <w:i w:val="0"/>
                <w:sz w:val="22"/>
              </w:rPr>
              <w:t>Event Type</w:t>
            </w:r>
          </w:p>
        </w:tc>
        <w:tc>
          <w:tcPr>
            <w:tcW w:type="dxa" w:w="3960"/>
            <w:shd w:val="clear" w:fill="D9E2F3"/>
          </w:tcPr>
          <w:p>
            <w:pPr>
              <w:spacing w:after="40"/>
            </w:pPr>
            <w:r/>
            <w:r>
              <w:rPr>
                <w:rFonts w:ascii="Times New Roman" w:hAnsi="Times New Roman"/>
                <w:b/>
                <w:i w:val="0"/>
                <w:sz w:val="22"/>
              </w:rPr>
              <w:t>Authorised Source</w:t>
            </w:r>
          </w:p>
        </w:tc>
      </w:tr>
      <w:tr>
        <w:tc>
          <w:tcPr>
            <w:tcW w:type="dxa" w:w="3960"/>
          </w:tcPr>
          <w:p>
            <w:pPr>
              <w:spacing w:after="40"/>
            </w:pPr>
            <w:r/>
            <w:r>
              <w:rPr>
                <w:rFonts w:ascii="Times New Roman" w:hAnsi="Times New Roman"/>
                <w:b w:val="0"/>
                <w:i w:val="0"/>
                <w:sz w:val="22"/>
              </w:rPr>
              <w:t>Accident reports</w:t>
            </w:r>
          </w:p>
        </w:tc>
        <w:tc>
          <w:tcPr>
            <w:tcW w:type="dxa" w:w="3960"/>
          </w:tcPr>
          <w:p>
            <w:pPr>
              <w:spacing w:after="40"/>
            </w:pPr>
            <w:r/>
            <w:r>
              <w:rPr>
                <w:rFonts w:ascii="Times New Roman" w:hAnsi="Times New Roman"/>
                <w:b w:val="0"/>
                <w:i w:val="0"/>
                <w:sz w:val="22"/>
              </w:rPr>
              <w:t>Police only</w:t>
            </w:r>
          </w:p>
        </w:tc>
      </w:tr>
      <w:tr>
        <w:tc>
          <w:tcPr>
            <w:tcW w:type="dxa" w:w="3960"/>
          </w:tcPr>
          <w:p>
            <w:pPr>
              <w:spacing w:after="40"/>
            </w:pPr>
            <w:r/>
            <w:r>
              <w:rPr>
                <w:rFonts w:ascii="Times New Roman" w:hAnsi="Times New Roman"/>
                <w:b w:val="0"/>
                <w:i w:val="0"/>
                <w:sz w:val="22"/>
              </w:rPr>
              <w:t>Insurance claims</w:t>
            </w:r>
          </w:p>
        </w:tc>
        <w:tc>
          <w:tcPr>
            <w:tcW w:type="dxa" w:w="3960"/>
          </w:tcPr>
          <w:p>
            <w:pPr>
              <w:spacing w:after="40"/>
            </w:pPr>
            <w:r/>
            <w:r>
              <w:rPr>
                <w:rFonts w:ascii="Times New Roman" w:hAnsi="Times New Roman"/>
                <w:b w:val="0"/>
                <w:i w:val="0"/>
                <w:sz w:val="22"/>
              </w:rPr>
              <w:t>Insurers only</w:t>
            </w:r>
          </w:p>
        </w:tc>
      </w:tr>
      <w:tr>
        <w:tc>
          <w:tcPr>
            <w:tcW w:type="dxa" w:w="3960"/>
          </w:tcPr>
          <w:p>
            <w:pPr>
              <w:spacing w:after="40"/>
            </w:pPr>
            <w:r/>
            <w:r>
              <w:rPr>
                <w:rFonts w:ascii="Times New Roman" w:hAnsi="Times New Roman"/>
                <w:b w:val="0"/>
                <w:i w:val="0"/>
                <w:sz w:val="22"/>
              </w:rPr>
              <w:t>Mileage readings</w:t>
            </w:r>
          </w:p>
        </w:tc>
        <w:tc>
          <w:tcPr>
            <w:tcW w:type="dxa" w:w="3960"/>
          </w:tcPr>
          <w:p>
            <w:pPr>
              <w:spacing w:after="40"/>
            </w:pPr>
            <w:r/>
            <w:r>
              <w:rPr>
                <w:rFonts w:ascii="Times New Roman" w:hAnsi="Times New Roman"/>
                <w:b w:val="0"/>
                <w:i w:val="0"/>
                <w:sz w:val="22"/>
              </w:rPr>
              <w:t>Emission centres only</w:t>
            </w:r>
          </w:p>
        </w:tc>
      </w:tr>
      <w:tr>
        <w:tc>
          <w:tcPr>
            <w:tcW w:type="dxa" w:w="3960"/>
          </w:tcPr>
          <w:p>
            <w:pPr>
              <w:spacing w:after="40"/>
            </w:pPr>
            <w:r/>
            <w:r>
              <w:rPr>
                <w:rFonts w:ascii="Times New Roman" w:hAnsi="Times New Roman"/>
                <w:b w:val="0"/>
                <w:i w:val="0"/>
                <w:sz w:val="22"/>
              </w:rPr>
              <w:t>Theft flags</w:t>
            </w:r>
          </w:p>
        </w:tc>
        <w:tc>
          <w:tcPr>
            <w:tcW w:type="dxa" w:w="3960"/>
          </w:tcPr>
          <w:p>
            <w:pPr>
              <w:spacing w:after="40"/>
            </w:pPr>
            <w:r/>
            <w:r>
              <w:rPr>
                <w:rFonts w:ascii="Times New Roman" w:hAnsi="Times New Roman"/>
                <w:b w:val="0"/>
                <w:i w:val="0"/>
                <w:sz w:val="22"/>
              </w:rPr>
              <w:t>Police only</w:t>
            </w:r>
          </w:p>
        </w:tc>
      </w:tr>
      <w:tr>
        <w:tc>
          <w:tcPr>
            <w:tcW w:type="dxa" w:w="3960"/>
          </w:tcPr>
          <w:p>
            <w:pPr>
              <w:spacing w:after="40"/>
            </w:pPr>
            <w:r/>
            <w:r>
              <w:rPr>
                <w:rFonts w:ascii="Times New Roman" w:hAnsi="Times New Roman"/>
                <w:b w:val="0"/>
                <w:i w:val="0"/>
                <w:sz w:val="22"/>
              </w:rPr>
              <w:t>Emission tests</w:t>
            </w:r>
          </w:p>
        </w:tc>
        <w:tc>
          <w:tcPr>
            <w:tcW w:type="dxa" w:w="3960"/>
          </w:tcPr>
          <w:p>
            <w:pPr>
              <w:spacing w:after="40"/>
            </w:pPr>
            <w:r/>
            <w:r>
              <w:rPr>
                <w:rFonts w:ascii="Times New Roman" w:hAnsi="Times New Roman"/>
                <w:b w:val="0"/>
                <w:i w:val="0"/>
                <w:sz w:val="22"/>
              </w:rPr>
              <w:t>Emission centres only</w:t>
            </w:r>
          </w:p>
        </w:tc>
      </w:tr>
      <w:tr>
        <w:tc>
          <w:tcPr>
            <w:tcW w:type="dxa" w:w="3960"/>
          </w:tcPr>
          <w:p>
            <w:pPr>
              <w:spacing w:after="40"/>
            </w:pPr>
            <w:r/>
            <w:r>
              <w:rPr>
                <w:rFonts w:ascii="Times New Roman" w:hAnsi="Times New Roman"/>
                <w:b w:val="0"/>
                <w:i w:val="0"/>
                <w:sz w:val="22"/>
              </w:rPr>
              <w:t>Import records</w:t>
            </w:r>
          </w:p>
        </w:tc>
        <w:tc>
          <w:tcPr>
            <w:tcW w:type="dxa" w:w="3960"/>
          </w:tcPr>
          <w:p>
            <w:pPr>
              <w:spacing w:after="40"/>
            </w:pPr>
            <w:r/>
            <w:r>
              <w:rPr>
                <w:rFonts w:ascii="Times New Roman" w:hAnsi="Times New Roman"/>
                <w:b w:val="0"/>
                <w:i w:val="0"/>
                <w:sz w:val="22"/>
              </w:rPr>
              <w:t>Customs only</w:t>
            </w:r>
          </w:p>
        </w:tc>
      </w:tr>
      <w:tr>
        <w:tc>
          <w:tcPr>
            <w:tcW w:type="dxa" w:w="3960"/>
          </w:tcPr>
          <w:p>
            <w:pPr>
              <w:spacing w:after="40"/>
            </w:pPr>
            <w:r/>
            <w:r>
              <w:rPr>
                <w:rFonts w:ascii="Times New Roman" w:hAnsi="Times New Roman"/>
                <w:b w:val="0"/>
                <w:i w:val="0"/>
                <w:sz w:val="22"/>
              </w:rPr>
              <w:t>Registration / transfer</w:t>
            </w:r>
          </w:p>
        </w:tc>
        <w:tc>
          <w:tcPr>
            <w:tcW w:type="dxa" w:w="3960"/>
          </w:tcPr>
          <w:p>
            <w:pPr>
              <w:spacing w:after="40"/>
            </w:pPr>
            <w:r/>
            <w:r>
              <w:rPr>
                <w:rFonts w:ascii="Times New Roman" w:hAnsi="Times New Roman"/>
                <w:b w:val="0"/>
                <w:i w:val="0"/>
                <w:sz w:val="22"/>
              </w:rPr>
              <w:t>DMT only</w:t>
            </w:r>
          </w:p>
        </w:tc>
      </w:tr>
    </w:tbl>
    <w:p/>
    <w:p>
      <w:pPr>
        <w:pStyle w:val="Heading2"/>
      </w:pPr>
      <w:r>
        <w:t>4.8 Smart Contract (Chaincode) Structure</w:t>
      </w:r>
    </w:p>
    <w:p>
      <w:pPr>
        <w:jc w:val="both"/>
      </w:pPr>
      <w:r>
        <w:rPr>
          <w:rFonts w:ascii="Times New Roman" w:hAnsi="Times New Roman"/>
          <w:b w:val="0"/>
          <w:i w:val="0"/>
          <w:sz w:val="24"/>
        </w:rPr>
        <w:t xml:space="preserve">The chaincode is organised into three smart contracts. The </w:t>
      </w:r>
      <w:r>
        <w:rPr>
          <w:rFonts w:ascii="Times New Roman" w:hAnsi="Times New Roman"/>
          <w:b/>
          <w:i w:val="0"/>
          <w:sz w:val="24"/>
        </w:rPr>
        <w:t>VehicleRegistry</w:t>
      </w:r>
      <w:r>
        <w:rPr>
          <w:rFonts w:ascii="Times New Roman" w:hAnsi="Times New Roman"/>
          <w:b w:val="0"/>
          <w:i w:val="0"/>
          <w:sz w:val="24"/>
        </w:rPr>
        <w:t xml:space="preserve"> contract handles registration, ownership transfer, and the lifecycle events (mileage, accidents, insurance claims, emissions, and theft flags), invoking the fraud-detection rules as events are logged. The </w:t>
      </w:r>
      <w:r>
        <w:rPr>
          <w:rFonts w:ascii="Times New Roman" w:hAnsi="Times New Roman"/>
          <w:b/>
          <w:i w:val="0"/>
          <w:sz w:val="24"/>
        </w:rPr>
        <w:t>IdentityManager</w:t>
      </w:r>
      <w:r>
        <w:rPr>
          <w:rFonts w:ascii="Times New Roman" w:hAnsi="Times New Roman"/>
          <w:b w:val="0"/>
          <w:i w:val="0"/>
          <w:sz w:val="24"/>
        </w:rPr>
        <w:t xml:space="preserve"> contract generates pseudonyms and governs the multi-party conditional reveal. The </w:t>
      </w:r>
      <w:r>
        <w:rPr>
          <w:rFonts w:ascii="Times New Roman" w:hAnsi="Times New Roman"/>
          <w:b/>
          <w:i w:val="0"/>
          <w:sz w:val="24"/>
        </w:rPr>
        <w:t>FraudDetector</w:t>
      </w:r>
      <w:r>
        <w:rPr>
          <w:rFonts w:ascii="Times New Roman" w:hAnsi="Times New Roman"/>
          <w:b w:val="0"/>
          <w:i w:val="0"/>
          <w:sz w:val="24"/>
        </w:rPr>
        <w:t xml:space="preserve"> contract runs the cross-event checks and exposes the fraud alerts and the vehicle risk score.</w:t>
      </w:r>
    </w:p>
    <w:p>
      <w:pPr>
        <w:jc w:val="center"/>
      </w:pPr>
      <w:r>
        <w:drawing>
          <wp:inline xmlns:a="http://schemas.openxmlformats.org/drawingml/2006/main" xmlns:pic="http://schemas.openxmlformats.org/drawingml/2006/picture">
            <wp:extent cx="5029200" cy="2363577"/>
            <wp:docPr id="9" name="Picture 9"/>
            <wp:cNvGraphicFramePr>
              <a:graphicFrameLocks noChangeAspect="1"/>
            </wp:cNvGraphicFramePr>
            <a:graphic>
              <a:graphicData uri="http://schemas.openxmlformats.org/drawingml/2006/picture">
                <pic:pic>
                  <pic:nvPicPr>
                    <pic:cNvPr id="0" name="fig_contract_structure.png"/>
                    <pic:cNvPicPr/>
                  </pic:nvPicPr>
                  <pic:blipFill>
                    <a:blip r:embed="rId17"/>
                    <a:stretch>
                      <a:fillRect/>
                    </a:stretch>
                  </pic:blipFill>
                  <pic:spPr>
                    <a:xfrm>
                      <a:off x="0" y="0"/>
                      <a:ext cx="5029200" cy="2363577"/>
                    </a:xfrm>
                    <a:prstGeom prst="rect"/>
                  </pic:spPr>
                </pic:pic>
              </a:graphicData>
            </a:graphic>
          </wp:inline>
        </w:drawing>
      </w:r>
    </w:p>
    <w:p>
      <w:pPr>
        <w:jc w:val="center"/>
      </w:pPr>
      <w:r>
        <w:rPr>
          <w:i/>
          <w:sz w:val="20"/>
        </w:rPr>
        <w:t>Figure 4.6 — Chaincode decomposition into three smart contracts: VehicleRegistry, IdentityManager, and FraudDetector.</w:t>
      </w:r>
    </w:p>
    <w:p>
      <w:pPr>
        <w:pStyle w:val="Heading2"/>
      </w:pPr>
      <w:r>
        <w:t>4.9 How the Application Works: Inputs, Process, and Outputs</w:t>
      </w:r>
    </w:p>
    <w:p>
      <w:pPr>
        <w:jc w:val="both"/>
      </w:pPr>
      <w:r>
        <w:rPr>
          <w:rFonts w:ascii="Times New Roman" w:hAnsi="Times New Roman"/>
          <w:b w:val="0"/>
          <w:i w:val="0"/>
          <w:sz w:val="24"/>
        </w:rPr>
        <w:t xml:space="preserve">This section makes the operation of the proposed system concrete by following the inputs, processing and outputs across a vehicle's life, from import into Sri Lanka through resale. The system records seven lifecycle events; each event is an </w:t>
      </w:r>
      <w:r>
        <w:rPr>
          <w:rFonts w:ascii="Times New Roman" w:hAnsi="Times New Roman"/>
          <w:b/>
          <w:i w:val="0"/>
          <w:sz w:val="24"/>
        </w:rPr>
        <w:t>input</w:t>
      </w:r>
      <w:r>
        <w:rPr>
          <w:rFonts w:ascii="Times New Roman" w:hAnsi="Times New Roman"/>
          <w:b w:val="0"/>
          <w:i w:val="0"/>
          <w:sz w:val="24"/>
        </w:rPr>
        <w:t xml:space="preserve"> submitted by the authorised consortium member, is </w:t>
      </w:r>
      <w:r>
        <w:rPr>
          <w:rFonts w:ascii="Times New Roman" w:hAnsi="Times New Roman"/>
          <w:b/>
          <w:i w:val="0"/>
          <w:sz w:val="24"/>
        </w:rPr>
        <w:t>processed</w:t>
      </w:r>
      <w:r>
        <w:rPr>
          <w:rFonts w:ascii="Times New Roman" w:hAnsi="Times New Roman"/>
          <w:b w:val="0"/>
          <w:i w:val="0"/>
          <w:sz w:val="24"/>
        </w:rPr>
        <w:t xml:space="preserve"> by chaincode (pseudonymisation, the hybrid on-chain/off-chain split, and the cross-event fraud rules), and produces </w:t>
      </w:r>
      <w:r>
        <w:rPr>
          <w:rFonts w:ascii="Times New Roman" w:hAnsi="Times New Roman"/>
          <w:b/>
          <w:i w:val="0"/>
          <w:sz w:val="24"/>
        </w:rPr>
        <w:t>outputs</w:t>
      </w:r>
      <w:r>
        <w:rPr>
          <w:rFonts w:ascii="Times New Roman" w:hAnsi="Times New Roman"/>
          <w:b w:val="0"/>
          <w:i w:val="0"/>
          <w:sz w:val="24"/>
        </w:rPr>
        <w:t xml:space="preserve"> (a pseudonymised public history, fraud alerts, and an auditable trail).</w:t>
      </w:r>
    </w:p>
    <w:p>
      <w:pPr>
        <w:pStyle w:val="Heading3"/>
      </w:pPr>
      <w:r>
        <w:t>4.9.1 The real-world lifecycle and the agency that owns each step</w:t>
      </w:r>
    </w:p>
    <w:tbl>
      <w:tblPr>
        <w:tblStyle w:val="TableGrid"/>
        <w:tblW w:type="auto" w:w="0"/>
        <w:jc w:val="center"/>
        <w:tblLook w:firstColumn="1" w:firstRow="1" w:lastColumn="0" w:lastRow="0" w:noHBand="0" w:noVBand="1" w:val="04A0"/>
      </w:tblPr>
      <w:tblGrid>
        <w:gridCol w:w="1980"/>
        <w:gridCol w:w="1980"/>
        <w:gridCol w:w="1980"/>
        <w:gridCol w:w="1980"/>
      </w:tblGrid>
      <w:tr>
        <w:tc>
          <w:tcPr>
            <w:tcW w:type="dxa" w:w="1980"/>
            <w:shd w:val="clear" w:fill="D9E2F3"/>
          </w:tcPr>
          <w:p>
            <w:pPr>
              <w:spacing w:after="40"/>
            </w:pPr>
            <w:r/>
            <w:r>
              <w:rPr>
                <w:rFonts w:ascii="Times New Roman" w:hAnsi="Times New Roman"/>
                <w:b/>
                <w:i w:val="0"/>
                <w:sz w:val="22"/>
              </w:rPr>
              <w:t>#</w:t>
            </w:r>
          </w:p>
        </w:tc>
        <w:tc>
          <w:tcPr>
            <w:tcW w:type="dxa" w:w="1980"/>
            <w:shd w:val="clear" w:fill="D9E2F3"/>
          </w:tcPr>
          <w:p>
            <w:pPr>
              <w:spacing w:after="40"/>
            </w:pPr>
            <w:r/>
            <w:r>
              <w:rPr>
                <w:rFonts w:ascii="Times New Roman" w:hAnsi="Times New Roman"/>
                <w:b/>
                <w:i w:val="0"/>
                <w:sz w:val="22"/>
              </w:rPr>
              <w:t>Lifecycle step</w:t>
            </w:r>
          </w:p>
        </w:tc>
        <w:tc>
          <w:tcPr>
            <w:tcW w:type="dxa" w:w="1980"/>
            <w:shd w:val="clear" w:fill="D9E2F3"/>
          </w:tcPr>
          <w:p>
            <w:pPr>
              <w:spacing w:after="40"/>
            </w:pPr>
            <w:r/>
            <w:r>
              <w:rPr>
                <w:rFonts w:ascii="Times New Roman" w:hAnsi="Times New Roman"/>
                <w:b/>
                <w:i w:val="0"/>
                <w:sz w:val="22"/>
              </w:rPr>
              <w:t>Owning agency</w:t>
            </w:r>
          </w:p>
        </w:tc>
        <w:tc>
          <w:tcPr>
            <w:tcW w:type="dxa" w:w="1980"/>
            <w:shd w:val="clear" w:fill="D9E2F3"/>
          </w:tcPr>
          <w:p>
            <w:pPr>
              <w:spacing w:after="40"/>
            </w:pPr>
            <w:r/>
            <w:r>
              <w:rPr>
                <w:rFonts w:ascii="Times New Roman" w:hAnsi="Times New Roman"/>
                <w:b/>
                <w:i w:val="0"/>
                <w:sz w:val="22"/>
              </w:rPr>
              <w:t>Key artefact</w:t>
            </w:r>
          </w:p>
        </w:tc>
      </w:tr>
      <w:tr>
        <w:tc>
          <w:tcPr>
            <w:tcW w:type="dxa" w:w="1980"/>
          </w:tcPr>
          <w:p>
            <w:pPr>
              <w:spacing w:after="40"/>
            </w:pPr>
            <w:r/>
            <w:r>
              <w:rPr>
                <w:rFonts w:ascii="Times New Roman" w:hAnsi="Times New Roman"/>
                <w:b w:val="0"/>
                <w:i w:val="0"/>
                <w:sz w:val="22"/>
              </w:rPr>
              <w:t>1</w:t>
            </w:r>
          </w:p>
        </w:tc>
        <w:tc>
          <w:tcPr>
            <w:tcW w:type="dxa" w:w="1980"/>
          </w:tcPr>
          <w:p>
            <w:pPr>
              <w:spacing w:after="40"/>
            </w:pPr>
            <w:r/>
            <w:r>
              <w:rPr>
                <w:rFonts w:ascii="Times New Roman" w:hAnsi="Times New Roman"/>
                <w:b w:val="0"/>
                <w:i w:val="0"/>
                <w:sz w:val="22"/>
              </w:rPr>
              <w:t>Import control licence (vehicles are controlled goods)</w:t>
            </w:r>
          </w:p>
        </w:tc>
        <w:tc>
          <w:tcPr>
            <w:tcW w:type="dxa" w:w="1980"/>
          </w:tcPr>
          <w:p>
            <w:pPr>
              <w:spacing w:after="40"/>
            </w:pPr>
            <w:r/>
            <w:r>
              <w:rPr>
                <w:rFonts w:ascii="Times New Roman" w:hAnsi="Times New Roman"/>
                <w:b w:val="0"/>
                <w:i w:val="0"/>
                <w:sz w:val="22"/>
              </w:rPr>
              <w:t>Imports &amp; Exports Control</w:t>
            </w:r>
          </w:p>
        </w:tc>
        <w:tc>
          <w:tcPr>
            <w:tcW w:type="dxa" w:w="1980"/>
          </w:tcPr>
          <w:p>
            <w:pPr>
              <w:spacing w:after="40"/>
            </w:pPr>
            <w:r/>
            <w:r>
              <w:rPr>
                <w:rFonts w:ascii="Times New Roman" w:hAnsi="Times New Roman"/>
                <w:b w:val="0"/>
                <w:i w:val="0"/>
                <w:sz w:val="22"/>
              </w:rPr>
              <w:t>Import Control Licence</w:t>
            </w:r>
          </w:p>
        </w:tc>
      </w:tr>
      <w:tr>
        <w:tc>
          <w:tcPr>
            <w:tcW w:type="dxa" w:w="1980"/>
          </w:tcPr>
          <w:p>
            <w:pPr>
              <w:spacing w:after="40"/>
            </w:pPr>
            <w:r/>
            <w:r>
              <w:rPr>
                <w:rFonts w:ascii="Times New Roman" w:hAnsi="Times New Roman"/>
                <w:b w:val="0"/>
                <w:i w:val="0"/>
                <w:sz w:val="22"/>
              </w:rPr>
              <w:t>2</w:t>
            </w:r>
          </w:p>
        </w:tc>
        <w:tc>
          <w:tcPr>
            <w:tcW w:type="dxa" w:w="1980"/>
          </w:tcPr>
          <w:p>
            <w:pPr>
              <w:spacing w:after="40"/>
            </w:pPr>
            <w:r/>
            <w:r>
              <w:rPr>
                <w:rFonts w:ascii="Times New Roman" w:hAnsi="Times New Roman"/>
                <w:b w:val="0"/>
                <w:i w:val="0"/>
                <w:sz w:val="22"/>
              </w:rPr>
              <w:t>Customs clearance (CusDec via ASYCUDA; duty assessed and paid)</w:t>
            </w:r>
          </w:p>
        </w:tc>
        <w:tc>
          <w:tcPr>
            <w:tcW w:type="dxa" w:w="1980"/>
          </w:tcPr>
          <w:p>
            <w:pPr>
              <w:spacing w:after="40"/>
            </w:pPr>
            <w:r/>
            <w:r>
              <w:rPr>
                <w:rFonts w:ascii="Times New Roman" w:hAnsi="Times New Roman"/>
                <w:b w:val="0"/>
                <w:i w:val="0"/>
                <w:sz w:val="22"/>
              </w:rPr>
              <w:t>Sri Lanka Customs</w:t>
            </w:r>
          </w:p>
        </w:tc>
        <w:tc>
          <w:tcPr>
            <w:tcW w:type="dxa" w:w="1980"/>
          </w:tcPr>
          <w:p>
            <w:pPr>
              <w:spacing w:after="40"/>
            </w:pPr>
            <w:r/>
            <w:r>
              <w:rPr>
                <w:rFonts w:ascii="Times New Roman" w:hAnsi="Times New Roman"/>
                <w:b w:val="0"/>
                <w:i w:val="0"/>
                <w:sz w:val="22"/>
              </w:rPr>
              <w:t>Customs declaration; duty-assessment notice</w:t>
            </w:r>
          </w:p>
        </w:tc>
      </w:tr>
      <w:tr>
        <w:tc>
          <w:tcPr>
            <w:tcW w:type="dxa" w:w="1980"/>
          </w:tcPr>
          <w:p>
            <w:pPr>
              <w:spacing w:after="40"/>
            </w:pPr>
            <w:r/>
            <w:r>
              <w:rPr>
                <w:rFonts w:ascii="Times New Roman" w:hAnsi="Times New Roman"/>
                <w:b w:val="0"/>
                <w:i w:val="0"/>
                <w:sz w:val="22"/>
              </w:rPr>
              <w:t>3</w:t>
            </w:r>
          </w:p>
        </w:tc>
        <w:tc>
          <w:tcPr>
            <w:tcW w:type="dxa" w:w="1980"/>
          </w:tcPr>
          <w:p>
            <w:pPr>
              <w:spacing w:after="40"/>
            </w:pPr>
            <w:r/>
            <w:r>
              <w:rPr>
                <w:rFonts w:ascii="Times New Roman" w:hAnsi="Times New Roman"/>
                <w:b w:val="0"/>
                <w:i w:val="0"/>
                <w:sz w:val="22"/>
              </w:rPr>
              <w:t>First registration (chassis/engine verified; number assigned; CR issued)</w:t>
            </w:r>
          </w:p>
        </w:tc>
        <w:tc>
          <w:tcPr>
            <w:tcW w:type="dxa" w:w="1980"/>
          </w:tcPr>
          <w:p>
            <w:pPr>
              <w:spacing w:after="40"/>
            </w:pPr>
            <w:r/>
            <w:r>
              <w:rPr>
                <w:rFonts w:ascii="Times New Roman" w:hAnsi="Times New Roman"/>
                <w:b w:val="0"/>
                <w:i w:val="0"/>
                <w:sz w:val="22"/>
              </w:rPr>
              <w:t>DMT</w:t>
            </w:r>
          </w:p>
        </w:tc>
        <w:tc>
          <w:tcPr>
            <w:tcW w:type="dxa" w:w="1980"/>
          </w:tcPr>
          <w:p>
            <w:pPr>
              <w:spacing w:after="40"/>
            </w:pPr>
            <w:r/>
            <w:r>
              <w:rPr>
                <w:rFonts w:ascii="Times New Roman" w:hAnsi="Times New Roman"/>
                <w:b w:val="0"/>
                <w:i w:val="0"/>
                <w:sz w:val="22"/>
              </w:rPr>
              <w:t>Certificate of Registration</w:t>
            </w:r>
          </w:p>
        </w:tc>
      </w:tr>
      <w:tr>
        <w:tc>
          <w:tcPr>
            <w:tcW w:type="dxa" w:w="1980"/>
          </w:tcPr>
          <w:p>
            <w:pPr>
              <w:spacing w:after="40"/>
            </w:pPr>
            <w:r/>
            <w:r>
              <w:rPr>
                <w:rFonts w:ascii="Times New Roman" w:hAnsi="Times New Roman"/>
                <w:b w:val="0"/>
                <w:i w:val="0"/>
                <w:sz w:val="22"/>
              </w:rPr>
              <w:t>4</w:t>
            </w:r>
          </w:p>
        </w:tc>
        <w:tc>
          <w:tcPr>
            <w:tcW w:type="dxa" w:w="1980"/>
          </w:tcPr>
          <w:p>
            <w:pPr>
              <w:spacing w:after="40"/>
            </w:pPr>
            <w:r/>
            <w:r>
              <w:rPr>
                <w:rFonts w:ascii="Times New Roman" w:hAnsi="Times New Roman"/>
                <w:b w:val="0"/>
                <w:i w:val="0"/>
                <w:sz w:val="22"/>
              </w:rPr>
              <w:t>Third-party insurance (statutory)</w:t>
            </w:r>
          </w:p>
        </w:tc>
        <w:tc>
          <w:tcPr>
            <w:tcW w:type="dxa" w:w="1980"/>
          </w:tcPr>
          <w:p>
            <w:pPr>
              <w:spacing w:after="40"/>
            </w:pPr>
            <w:r/>
            <w:r>
              <w:rPr>
                <w:rFonts w:ascii="Times New Roman" w:hAnsi="Times New Roman"/>
                <w:b w:val="0"/>
                <w:i w:val="0"/>
                <w:sz w:val="22"/>
              </w:rPr>
              <w:t>Insurer</w:t>
            </w:r>
          </w:p>
        </w:tc>
        <w:tc>
          <w:tcPr>
            <w:tcW w:type="dxa" w:w="1980"/>
          </w:tcPr>
          <w:p>
            <w:pPr>
              <w:spacing w:after="40"/>
            </w:pPr>
            <w:r/>
            <w:r>
              <w:rPr>
                <w:rFonts w:ascii="Times New Roman" w:hAnsi="Times New Roman"/>
                <w:b w:val="0"/>
                <w:i w:val="0"/>
                <w:sz w:val="22"/>
              </w:rPr>
              <w:t>Insurance certificate</w:t>
            </w:r>
          </w:p>
        </w:tc>
      </w:tr>
      <w:tr>
        <w:tc>
          <w:tcPr>
            <w:tcW w:type="dxa" w:w="1980"/>
          </w:tcPr>
          <w:p>
            <w:pPr>
              <w:spacing w:after="40"/>
            </w:pPr>
            <w:r/>
            <w:r>
              <w:rPr>
                <w:rFonts w:ascii="Times New Roman" w:hAnsi="Times New Roman"/>
                <w:b w:val="0"/>
                <w:i w:val="0"/>
                <w:sz w:val="22"/>
              </w:rPr>
              <w:t>5</w:t>
            </w:r>
          </w:p>
        </w:tc>
        <w:tc>
          <w:tcPr>
            <w:tcW w:type="dxa" w:w="1980"/>
          </w:tcPr>
          <w:p>
            <w:pPr>
              <w:spacing w:after="40"/>
            </w:pPr>
            <w:r/>
            <w:r>
              <w:rPr>
                <w:rFonts w:ascii="Times New Roman" w:hAnsi="Times New Roman"/>
                <w:b w:val="0"/>
                <w:i w:val="0"/>
                <w:sz w:val="22"/>
              </w:rPr>
              <w:t>Vehicle emission test (from the second year)</w:t>
            </w:r>
          </w:p>
        </w:tc>
        <w:tc>
          <w:tcPr>
            <w:tcW w:type="dxa" w:w="1980"/>
          </w:tcPr>
          <w:p>
            <w:pPr>
              <w:spacing w:after="40"/>
            </w:pPr>
            <w:r/>
            <w:r>
              <w:rPr>
                <w:rFonts w:ascii="Times New Roman" w:hAnsi="Times New Roman"/>
                <w:b w:val="0"/>
                <w:i w:val="0"/>
                <w:sz w:val="22"/>
              </w:rPr>
              <w:t>VET operator (LAUGFS / CleanCo)</w:t>
            </w:r>
          </w:p>
        </w:tc>
        <w:tc>
          <w:tcPr>
            <w:tcW w:type="dxa" w:w="1980"/>
          </w:tcPr>
          <w:p>
            <w:pPr>
              <w:spacing w:after="40"/>
            </w:pPr>
            <w:r/>
            <w:r>
              <w:rPr>
                <w:rFonts w:ascii="Times New Roman" w:hAnsi="Times New Roman"/>
                <w:b w:val="0"/>
                <w:i w:val="0"/>
                <w:sz w:val="22"/>
              </w:rPr>
              <w:t>VET certificate</w:t>
            </w:r>
          </w:p>
        </w:tc>
      </w:tr>
      <w:tr>
        <w:tc>
          <w:tcPr>
            <w:tcW w:type="dxa" w:w="1980"/>
          </w:tcPr>
          <w:p>
            <w:pPr>
              <w:spacing w:after="40"/>
            </w:pPr>
            <w:r/>
            <w:r>
              <w:rPr>
                <w:rFonts w:ascii="Times New Roman" w:hAnsi="Times New Roman"/>
                <w:b w:val="0"/>
                <w:i w:val="0"/>
                <w:sz w:val="22"/>
              </w:rPr>
              <w:t>6</w:t>
            </w:r>
          </w:p>
        </w:tc>
        <w:tc>
          <w:tcPr>
            <w:tcW w:type="dxa" w:w="1980"/>
          </w:tcPr>
          <w:p>
            <w:pPr>
              <w:spacing w:after="40"/>
            </w:pPr>
            <w:r/>
            <w:r>
              <w:rPr>
                <w:rFonts w:ascii="Times New Roman" w:hAnsi="Times New Roman"/>
                <w:b w:val="0"/>
                <w:i w:val="0"/>
                <w:sz w:val="22"/>
              </w:rPr>
              <w:t>Annual revenue licence (requires valid insurance + VET)</w:t>
            </w:r>
          </w:p>
        </w:tc>
        <w:tc>
          <w:tcPr>
            <w:tcW w:type="dxa" w:w="1980"/>
          </w:tcPr>
          <w:p>
            <w:pPr>
              <w:spacing w:after="40"/>
            </w:pPr>
            <w:r/>
            <w:r>
              <w:rPr>
                <w:rFonts w:ascii="Times New Roman" w:hAnsi="Times New Roman"/>
                <w:b w:val="0"/>
                <w:i w:val="0"/>
                <w:sz w:val="22"/>
              </w:rPr>
              <w:t>Provincial DMT</w:t>
            </w:r>
          </w:p>
        </w:tc>
        <w:tc>
          <w:tcPr>
            <w:tcW w:type="dxa" w:w="1980"/>
          </w:tcPr>
          <w:p>
            <w:pPr>
              <w:spacing w:after="40"/>
            </w:pPr>
            <w:r/>
            <w:r>
              <w:rPr>
                <w:rFonts w:ascii="Times New Roman" w:hAnsi="Times New Roman"/>
                <w:b w:val="0"/>
                <w:i w:val="0"/>
                <w:sz w:val="22"/>
              </w:rPr>
              <w:t>Revenue licence (eRL)</w:t>
            </w:r>
          </w:p>
        </w:tc>
      </w:tr>
      <w:tr>
        <w:tc>
          <w:tcPr>
            <w:tcW w:type="dxa" w:w="1980"/>
          </w:tcPr>
          <w:p>
            <w:pPr>
              <w:spacing w:after="40"/>
            </w:pPr>
            <w:r/>
            <w:r>
              <w:rPr>
                <w:rFonts w:ascii="Times New Roman" w:hAnsi="Times New Roman"/>
                <w:b w:val="0"/>
                <w:i w:val="0"/>
                <w:sz w:val="22"/>
              </w:rPr>
              <w:t>7</w:t>
            </w:r>
          </w:p>
        </w:tc>
        <w:tc>
          <w:tcPr>
            <w:tcW w:type="dxa" w:w="1980"/>
          </w:tcPr>
          <w:p>
            <w:pPr>
              <w:spacing w:after="40"/>
            </w:pPr>
            <w:r/>
            <w:r>
              <w:rPr>
                <w:rFonts w:ascii="Times New Roman" w:hAnsi="Times New Roman"/>
                <w:b w:val="0"/>
                <w:i w:val="0"/>
                <w:sz w:val="22"/>
              </w:rPr>
              <w:t>Ownership transfer</w:t>
            </w:r>
          </w:p>
        </w:tc>
        <w:tc>
          <w:tcPr>
            <w:tcW w:type="dxa" w:w="1980"/>
          </w:tcPr>
          <w:p>
            <w:pPr>
              <w:spacing w:after="40"/>
            </w:pPr>
            <w:r/>
            <w:r>
              <w:rPr>
                <w:rFonts w:ascii="Times New Roman" w:hAnsi="Times New Roman"/>
                <w:b w:val="0"/>
                <w:i w:val="0"/>
                <w:sz w:val="22"/>
              </w:rPr>
              <w:t>DMT</w:t>
            </w:r>
          </w:p>
        </w:tc>
        <w:tc>
          <w:tcPr>
            <w:tcW w:type="dxa" w:w="1980"/>
          </w:tcPr>
          <w:p>
            <w:pPr>
              <w:spacing w:after="40"/>
            </w:pPr>
            <w:r/>
            <w:r>
              <w:rPr>
                <w:rFonts w:ascii="Times New Roman" w:hAnsi="Times New Roman"/>
                <w:b w:val="0"/>
                <w:i w:val="0"/>
                <w:sz w:val="22"/>
              </w:rPr>
              <w:t>Re-registered CR</w:t>
            </w:r>
          </w:p>
        </w:tc>
      </w:tr>
      <w:tr>
        <w:tc>
          <w:tcPr>
            <w:tcW w:type="dxa" w:w="1980"/>
          </w:tcPr>
          <w:p>
            <w:pPr>
              <w:spacing w:after="40"/>
            </w:pPr>
            <w:r/>
            <w:r>
              <w:rPr>
                <w:rFonts w:ascii="Times New Roman" w:hAnsi="Times New Roman"/>
                <w:b w:val="0"/>
                <w:i w:val="0"/>
                <w:sz w:val="22"/>
              </w:rPr>
              <w:t>8</w:t>
            </w:r>
          </w:p>
        </w:tc>
        <w:tc>
          <w:tcPr>
            <w:tcW w:type="dxa" w:w="1980"/>
          </w:tcPr>
          <w:p>
            <w:pPr>
              <w:spacing w:after="40"/>
            </w:pPr>
            <w:r/>
            <w:r>
              <w:rPr>
                <w:rFonts w:ascii="Times New Roman" w:hAnsi="Times New Roman"/>
                <w:b w:val="0"/>
                <w:i w:val="0"/>
                <w:sz w:val="22"/>
              </w:rPr>
              <w:t>Accident / insurance claim</w:t>
            </w:r>
          </w:p>
        </w:tc>
        <w:tc>
          <w:tcPr>
            <w:tcW w:type="dxa" w:w="1980"/>
          </w:tcPr>
          <w:p>
            <w:pPr>
              <w:spacing w:after="40"/>
            </w:pPr>
            <w:r/>
            <w:r>
              <w:rPr>
                <w:rFonts w:ascii="Times New Roman" w:hAnsi="Times New Roman"/>
                <w:b w:val="0"/>
                <w:i w:val="0"/>
                <w:sz w:val="22"/>
              </w:rPr>
              <w:t>Insurer (police report)</w:t>
            </w:r>
          </w:p>
        </w:tc>
        <w:tc>
          <w:tcPr>
            <w:tcW w:type="dxa" w:w="1980"/>
          </w:tcPr>
          <w:p>
            <w:pPr>
              <w:spacing w:after="40"/>
            </w:pPr>
            <w:r/>
            <w:r>
              <w:rPr>
                <w:rFonts w:ascii="Times New Roman" w:hAnsi="Times New Roman"/>
                <w:b w:val="0"/>
                <w:i w:val="0"/>
                <w:sz w:val="22"/>
              </w:rPr>
              <w:t>Claim record</w:t>
            </w:r>
          </w:p>
        </w:tc>
      </w:tr>
      <w:tr>
        <w:tc>
          <w:tcPr>
            <w:tcW w:type="dxa" w:w="1980"/>
          </w:tcPr>
          <w:p>
            <w:pPr>
              <w:spacing w:after="40"/>
            </w:pPr>
            <w:r/>
            <w:r>
              <w:rPr>
                <w:rFonts w:ascii="Times New Roman" w:hAnsi="Times New Roman"/>
                <w:b w:val="0"/>
                <w:i w:val="0"/>
                <w:sz w:val="22"/>
              </w:rPr>
              <w:t>9</w:t>
            </w:r>
          </w:p>
        </w:tc>
        <w:tc>
          <w:tcPr>
            <w:tcW w:type="dxa" w:w="1980"/>
          </w:tcPr>
          <w:p>
            <w:pPr>
              <w:spacing w:after="40"/>
            </w:pPr>
            <w:r/>
            <w:r>
              <w:rPr>
                <w:rFonts w:ascii="Times New Roman" w:hAnsi="Times New Roman"/>
                <w:b w:val="0"/>
                <w:i w:val="0"/>
                <w:sz w:val="22"/>
              </w:rPr>
              <w:t>Theft report</w:t>
            </w:r>
          </w:p>
        </w:tc>
        <w:tc>
          <w:tcPr>
            <w:tcW w:type="dxa" w:w="1980"/>
          </w:tcPr>
          <w:p>
            <w:pPr>
              <w:spacing w:after="40"/>
            </w:pPr>
            <w:r/>
            <w:r>
              <w:rPr>
                <w:rFonts w:ascii="Times New Roman" w:hAnsi="Times New Roman"/>
                <w:b w:val="0"/>
                <w:i w:val="0"/>
                <w:sz w:val="22"/>
              </w:rPr>
              <w:t>Police, then DMT</w:t>
            </w:r>
          </w:p>
        </w:tc>
        <w:tc>
          <w:tcPr>
            <w:tcW w:type="dxa" w:w="1980"/>
          </w:tcPr>
          <w:p>
            <w:pPr>
              <w:spacing w:after="40"/>
            </w:pPr>
            <w:r/>
            <w:r>
              <w:rPr>
                <w:rFonts w:ascii="Times New Roman" w:hAnsi="Times New Roman"/>
                <w:b w:val="0"/>
                <w:i w:val="0"/>
                <w:sz w:val="22"/>
              </w:rPr>
              <w:t>Police complaint</w:t>
            </w:r>
          </w:p>
        </w:tc>
      </w:tr>
    </w:tbl>
    <w:p/>
    <w:p>
      <w:pPr>
        <w:jc w:val="both"/>
      </w:pPr>
      <w:r>
        <w:rPr>
          <w:rFonts w:ascii="Times New Roman" w:hAnsi="Times New Roman"/>
          <w:b w:val="0"/>
          <w:i w:val="0"/>
          <w:sz w:val="24"/>
        </w:rPr>
        <w:t>(Sources: Sri Lanka Customs, n.d.; Department of Motor Traffic, n.d.)</w:t>
      </w:r>
    </w:p>
    <w:p>
      <w:pPr>
        <w:pStyle w:val="Heading3"/>
      </w:pPr>
      <w:r>
        <w:t>4.9.2 Worked example — a used Japanese import</w:t>
      </w:r>
    </w:p>
    <w:p>
      <w:pPr>
        <w:jc w:val="both"/>
      </w:pPr>
      <w:r>
        <w:rPr>
          <w:rFonts w:ascii="Times New Roman" w:hAnsi="Times New Roman"/>
          <w:b w:val="0"/>
          <w:i w:val="0"/>
          <w:sz w:val="24"/>
        </w:rPr>
        <w:t>Consider Mr. K. Perera importing a 2019 Toyota Aqua hybrid, chassis NHP10-1234567, engine 1NZ-FXE-987654, with an import-time odometer reading of 62,400 km. Table 4.9 traces how the proposed system processes the vehicle's life as inputs, processing and outputs.</w:t>
      </w:r>
    </w:p>
    <w:p>
      <w:pPr>
        <w:jc w:val="both"/>
      </w:pPr>
      <w:r>
        <w:rPr>
          <w:rFonts w:ascii="Times New Roman" w:hAnsi="Times New Roman"/>
          <w:b/>
          <w:i w:val="0"/>
          <w:sz w:val="24"/>
        </w:rPr>
        <w:t>Table 4.9 — Input to Process to Output for the worked-example vehicle</w:t>
      </w:r>
    </w:p>
    <w:tbl>
      <w:tblPr>
        <w:tblStyle w:val="TableGrid"/>
        <w:tblW w:type="auto" w:w="0"/>
        <w:jc w:val="center"/>
        <w:tblLook w:firstColumn="1" w:firstRow="1" w:lastColumn="0" w:lastRow="0" w:noHBand="0" w:noVBand="1" w:val="04A0"/>
      </w:tblPr>
      <w:tblGrid>
        <w:gridCol w:w="1980"/>
        <w:gridCol w:w="1980"/>
        <w:gridCol w:w="1980"/>
        <w:gridCol w:w="1980"/>
      </w:tblGrid>
      <w:tr>
        <w:tc>
          <w:tcPr>
            <w:tcW w:type="dxa" w:w="1980"/>
            <w:shd w:val="clear" w:fill="D9E2F3"/>
          </w:tcPr>
          <w:p>
            <w:pPr>
              <w:spacing w:after="40"/>
            </w:pPr>
            <w:r/>
            <w:r>
              <w:rPr>
                <w:rFonts w:ascii="Times New Roman" w:hAnsi="Times New Roman"/>
                <w:b/>
                <w:i w:val="0"/>
                <w:sz w:val="22"/>
              </w:rPr>
              <w:t>Lifecycle event</w:t>
            </w:r>
          </w:p>
        </w:tc>
        <w:tc>
          <w:tcPr>
            <w:tcW w:type="dxa" w:w="1980"/>
            <w:shd w:val="clear" w:fill="D9E2F3"/>
          </w:tcPr>
          <w:p>
            <w:pPr>
              <w:spacing w:after="40"/>
            </w:pPr>
            <w:r/>
            <w:r>
              <w:rPr>
                <w:rFonts w:ascii="Times New Roman" w:hAnsi="Times New Roman"/>
                <w:b/>
                <w:i w:val="0"/>
                <w:sz w:val="22"/>
              </w:rPr>
              <w:t>Input (who submits what)</w:t>
            </w:r>
          </w:p>
        </w:tc>
        <w:tc>
          <w:tcPr>
            <w:tcW w:type="dxa" w:w="1980"/>
            <w:shd w:val="clear" w:fill="D9E2F3"/>
          </w:tcPr>
          <w:p>
            <w:pPr>
              <w:spacing w:after="40"/>
            </w:pPr>
            <w:r/>
            <w:r>
              <w:rPr>
                <w:rFonts w:ascii="Times New Roman" w:hAnsi="Times New Roman"/>
                <w:b/>
                <w:i w:val="0"/>
                <w:sz w:val="22"/>
              </w:rPr>
              <w:t>Process (on-chain / off-chain)</w:t>
            </w:r>
          </w:p>
        </w:tc>
        <w:tc>
          <w:tcPr>
            <w:tcW w:type="dxa" w:w="1980"/>
            <w:shd w:val="clear" w:fill="D9E2F3"/>
          </w:tcPr>
          <w:p>
            <w:pPr>
              <w:spacing w:after="40"/>
            </w:pPr>
            <w:r/>
            <w:r>
              <w:rPr>
                <w:rFonts w:ascii="Times New Roman" w:hAnsi="Times New Roman"/>
                <w:b/>
                <w:i w:val="0"/>
                <w:sz w:val="22"/>
              </w:rPr>
              <w:t>Output</w:t>
            </w:r>
          </w:p>
        </w:tc>
      </w:tr>
      <w:tr>
        <w:tc>
          <w:tcPr>
            <w:tcW w:type="dxa" w:w="1980"/>
          </w:tcPr>
          <w:p>
            <w:pPr>
              <w:spacing w:after="40"/>
            </w:pPr>
            <w:r/>
            <w:r>
              <w:rPr>
                <w:rFonts w:ascii="Times New Roman" w:hAnsi="Times New Roman"/>
                <w:b w:val="0"/>
                <w:i w:val="0"/>
                <w:sz w:val="22"/>
              </w:rPr>
              <w:t>First registration</w:t>
            </w:r>
          </w:p>
        </w:tc>
        <w:tc>
          <w:tcPr>
            <w:tcW w:type="dxa" w:w="1980"/>
          </w:tcPr>
          <w:p>
            <w:pPr>
              <w:spacing w:after="40"/>
            </w:pPr>
            <w:r/>
            <w:r>
              <w:rPr>
                <w:rFonts w:ascii="Times New Roman" w:hAnsi="Times New Roman"/>
                <w:b w:val="0"/>
                <w:i w:val="0"/>
                <w:sz w:val="22"/>
              </w:rPr>
              <w:t>DMT submits chassis/engine, owner NIC, Customs reference</w:t>
            </w:r>
          </w:p>
        </w:tc>
        <w:tc>
          <w:tcPr>
            <w:tcW w:type="dxa" w:w="1980"/>
          </w:tcPr>
          <w:p>
            <w:pPr>
              <w:spacing w:after="40"/>
            </w:pPr>
            <w:r/>
            <w:r>
              <w:rPr>
                <w:rFonts w:ascii="Times New Roman" w:hAnsi="Times New Roman"/>
                <w:b w:val="0"/>
                <w:i w:val="0"/>
                <w:sz w:val="22"/>
              </w:rPr>
              <w:t xml:space="preserve">Generate owner </w:t>
            </w:r>
            <w:r>
              <w:rPr>
                <w:rFonts w:ascii="Times New Roman" w:hAnsi="Times New Roman"/>
                <w:b/>
                <w:i w:val="0"/>
                <w:sz w:val="22"/>
              </w:rPr>
              <w:t>pseudonym</w:t>
            </w:r>
            <w:r>
              <w:rPr>
                <w:rFonts w:ascii="Times New Roman" w:hAnsi="Times New Roman"/>
                <w:b w:val="0"/>
                <w:i w:val="0"/>
                <w:sz w:val="22"/>
              </w:rPr>
              <w:t xml:space="preserve"> (salted hash); store NIC-to-pseudonym mapping under threshold escrow off-chain; write vehicleHash + pseudonym on-chain</w:t>
            </w:r>
          </w:p>
        </w:tc>
        <w:tc>
          <w:tcPr>
            <w:tcW w:type="dxa" w:w="1980"/>
          </w:tcPr>
          <w:p>
            <w:pPr>
              <w:spacing w:after="40"/>
            </w:pPr>
            <w:r/>
            <w:r>
              <w:rPr>
                <w:rFonts w:ascii="Times New Roman" w:hAnsi="Times New Roman"/>
                <w:b w:val="0"/>
                <w:i w:val="0"/>
                <w:sz w:val="22"/>
              </w:rPr>
              <w:t>On-chain registration event; CR issued; owner identity private</w:t>
            </w:r>
          </w:p>
        </w:tc>
      </w:tr>
      <w:tr>
        <w:tc>
          <w:tcPr>
            <w:tcW w:type="dxa" w:w="1980"/>
          </w:tcPr>
          <w:p>
            <w:pPr>
              <w:spacing w:after="40"/>
            </w:pPr>
            <w:r/>
            <w:r>
              <w:rPr>
                <w:rFonts w:ascii="Times New Roman" w:hAnsi="Times New Roman"/>
                <w:b w:val="0"/>
                <w:i w:val="0"/>
                <w:sz w:val="22"/>
              </w:rPr>
              <w:t>Insurance</w:t>
            </w:r>
          </w:p>
        </w:tc>
        <w:tc>
          <w:tcPr>
            <w:tcW w:type="dxa" w:w="1980"/>
          </w:tcPr>
          <w:p>
            <w:pPr>
              <w:spacing w:after="40"/>
            </w:pPr>
            <w:r/>
            <w:r>
              <w:rPr>
                <w:rFonts w:ascii="Times New Roman" w:hAnsi="Times New Roman"/>
                <w:b w:val="0"/>
                <w:i w:val="0"/>
                <w:sz w:val="22"/>
              </w:rPr>
              <w:t>Insurer submits policy reference for the pseudonymous vehicle</w:t>
            </w:r>
          </w:p>
        </w:tc>
        <w:tc>
          <w:tcPr>
            <w:tcW w:type="dxa" w:w="1980"/>
          </w:tcPr>
          <w:p>
            <w:pPr>
              <w:spacing w:after="40"/>
            </w:pPr>
            <w:r/>
            <w:r>
              <w:rPr>
                <w:rFonts w:ascii="Times New Roman" w:hAnsi="Times New Roman"/>
                <w:b w:val="0"/>
                <w:i w:val="0"/>
                <w:sz w:val="22"/>
              </w:rPr>
              <w:t>Hash policy reference on-chain; document off-chain</w:t>
            </w:r>
          </w:p>
        </w:tc>
        <w:tc>
          <w:tcPr>
            <w:tcW w:type="dxa" w:w="1980"/>
          </w:tcPr>
          <w:p>
            <w:pPr>
              <w:spacing w:after="40"/>
            </w:pPr>
            <w:r/>
            <w:r>
              <w:rPr>
                <w:rFonts w:ascii="Times New Roman" w:hAnsi="Times New Roman"/>
                <w:b w:val="0"/>
                <w:i w:val="0"/>
                <w:sz w:val="22"/>
              </w:rPr>
              <w:t>Insurance status flag on the vehicle history</w:t>
            </w:r>
          </w:p>
        </w:tc>
      </w:tr>
      <w:tr>
        <w:tc>
          <w:tcPr>
            <w:tcW w:type="dxa" w:w="1980"/>
          </w:tcPr>
          <w:p>
            <w:pPr>
              <w:spacing w:after="40"/>
            </w:pPr>
            <w:r/>
            <w:r>
              <w:rPr>
                <w:rFonts w:ascii="Times New Roman" w:hAnsi="Times New Roman"/>
                <w:b w:val="0"/>
                <w:i w:val="0"/>
                <w:sz w:val="22"/>
              </w:rPr>
              <w:t>Emission test</w:t>
            </w:r>
          </w:p>
        </w:tc>
        <w:tc>
          <w:tcPr>
            <w:tcW w:type="dxa" w:w="1980"/>
          </w:tcPr>
          <w:p>
            <w:pPr>
              <w:spacing w:after="40"/>
            </w:pPr>
            <w:r/>
            <w:r>
              <w:rPr>
                <w:rFonts w:ascii="Times New Roman" w:hAnsi="Times New Roman"/>
                <w:b w:val="0"/>
                <w:i w:val="0"/>
                <w:sz w:val="22"/>
              </w:rPr>
              <w:t>Emission centre submits VET result</w:t>
            </w:r>
          </w:p>
        </w:tc>
        <w:tc>
          <w:tcPr>
            <w:tcW w:type="dxa" w:w="1980"/>
          </w:tcPr>
          <w:p>
            <w:pPr>
              <w:spacing w:after="40"/>
            </w:pPr>
            <w:r/>
            <w:r>
              <w:rPr>
                <w:rFonts w:ascii="Times New Roman" w:hAnsi="Times New Roman"/>
                <w:b w:val="0"/>
                <w:i w:val="0"/>
                <w:sz w:val="22"/>
              </w:rPr>
              <w:t>Numeric value / flag on-chain; report off-chain</w:t>
            </w:r>
          </w:p>
        </w:tc>
        <w:tc>
          <w:tcPr>
            <w:tcW w:type="dxa" w:w="1980"/>
          </w:tcPr>
          <w:p>
            <w:pPr>
              <w:spacing w:after="40"/>
            </w:pPr>
            <w:r/>
            <w:r>
              <w:rPr>
                <w:rFonts w:ascii="Times New Roman" w:hAnsi="Times New Roman"/>
                <w:b w:val="0"/>
                <w:i w:val="0"/>
                <w:sz w:val="22"/>
              </w:rPr>
              <w:t>Emission status on the history</w:t>
            </w:r>
          </w:p>
        </w:tc>
      </w:tr>
      <w:tr>
        <w:tc>
          <w:tcPr>
            <w:tcW w:type="dxa" w:w="1980"/>
          </w:tcPr>
          <w:p>
            <w:pPr>
              <w:spacing w:after="40"/>
            </w:pPr>
            <w:r/>
            <w:r>
              <w:rPr>
                <w:rFonts w:ascii="Times New Roman" w:hAnsi="Times New Roman"/>
                <w:b w:val="0"/>
                <w:i w:val="0"/>
                <w:sz w:val="22"/>
              </w:rPr>
              <w:t>Mileage (odometer 62,400 km)</w:t>
            </w:r>
          </w:p>
        </w:tc>
        <w:tc>
          <w:tcPr>
            <w:tcW w:type="dxa" w:w="1980"/>
          </w:tcPr>
          <w:p>
            <w:pPr>
              <w:spacing w:after="40"/>
            </w:pPr>
            <w:r/>
            <w:r>
              <w:rPr>
                <w:rFonts w:ascii="Times New Roman" w:hAnsi="Times New Roman"/>
                <w:b w:val="0"/>
                <w:i w:val="0"/>
                <w:sz w:val="22"/>
              </w:rPr>
              <w:t>Inspection/emission centre submits reading</w:t>
            </w:r>
          </w:p>
        </w:tc>
        <w:tc>
          <w:tcPr>
            <w:tcW w:type="dxa" w:w="1980"/>
          </w:tcPr>
          <w:p>
            <w:pPr>
              <w:spacing w:after="40"/>
            </w:pPr>
            <w:r/>
            <w:r>
              <w:rPr>
                <w:rFonts w:ascii="Times New Roman" w:hAnsi="Times New Roman"/>
                <w:b/>
                <w:i w:val="0"/>
                <w:sz w:val="22"/>
              </w:rPr>
              <w:t>Algorithm 4</w:t>
            </w:r>
            <w:r>
              <w:rPr>
                <w:rFonts w:ascii="Times New Roman" w:hAnsi="Times New Roman"/>
                <w:b w:val="0"/>
                <w:i w:val="0"/>
                <w:sz w:val="22"/>
              </w:rPr>
              <w:t xml:space="preserve"> checks monotonicity against prior readings</w:t>
            </w:r>
          </w:p>
        </w:tc>
        <w:tc>
          <w:tcPr>
            <w:tcW w:type="dxa" w:w="1980"/>
          </w:tcPr>
          <w:p>
            <w:pPr>
              <w:spacing w:after="40"/>
            </w:pPr>
            <w:r/>
            <w:r>
              <w:rPr>
                <w:rFonts w:ascii="Times New Roman" w:hAnsi="Times New Roman"/>
                <w:b w:val="0"/>
                <w:i w:val="0"/>
                <w:sz w:val="22"/>
              </w:rPr>
              <w:t>Reading accepted; mileage progression updated</w:t>
            </w:r>
          </w:p>
        </w:tc>
      </w:tr>
      <w:tr>
        <w:tc>
          <w:tcPr>
            <w:tcW w:type="dxa" w:w="1980"/>
          </w:tcPr>
          <w:p>
            <w:pPr>
              <w:spacing w:after="40"/>
            </w:pPr>
            <w:r/>
            <w:r>
              <w:rPr>
                <w:rFonts w:ascii="Times New Roman" w:hAnsi="Times New Roman"/>
                <w:b w:val="0"/>
                <w:i w:val="0"/>
                <w:sz w:val="22"/>
              </w:rPr>
              <w:t>Ownership transfer (odometer now 78,900 km)</w:t>
            </w:r>
          </w:p>
        </w:tc>
        <w:tc>
          <w:tcPr>
            <w:tcW w:type="dxa" w:w="1980"/>
          </w:tcPr>
          <w:p>
            <w:pPr>
              <w:spacing w:after="40"/>
            </w:pPr>
            <w:r/>
            <w:r>
              <w:rPr>
                <w:rFonts w:ascii="Times New Roman" w:hAnsi="Times New Roman"/>
                <w:b w:val="0"/>
                <w:i w:val="0"/>
                <w:sz w:val="22"/>
              </w:rPr>
              <w:t>DMT submits transfer request (fromPseudonym to new pseudonym)</w:t>
            </w:r>
          </w:p>
        </w:tc>
        <w:tc>
          <w:tcPr>
            <w:tcW w:type="dxa" w:w="1980"/>
          </w:tcPr>
          <w:p>
            <w:pPr>
              <w:spacing w:after="40"/>
            </w:pPr>
            <w:r/>
            <w:r>
              <w:rPr>
                <w:rFonts w:ascii="Times New Roman" w:hAnsi="Times New Roman"/>
                <w:b/>
                <w:i w:val="0"/>
                <w:sz w:val="22"/>
              </w:rPr>
              <w:t>Algorithm 2</w:t>
            </w:r>
            <w:r>
              <w:rPr>
                <w:rFonts w:ascii="Times New Roman" w:hAnsi="Times New Roman"/>
                <w:b w:val="0"/>
                <w:i w:val="0"/>
                <w:sz w:val="22"/>
              </w:rPr>
              <w:t xml:space="preserve"> theft check; ownership verified; new pseudonym minted</w:t>
            </w:r>
          </w:p>
        </w:tc>
        <w:tc>
          <w:tcPr>
            <w:tcW w:type="dxa" w:w="1980"/>
          </w:tcPr>
          <w:p>
            <w:pPr>
              <w:spacing w:after="40"/>
            </w:pPr>
            <w:r/>
            <w:r>
              <w:rPr>
                <w:rFonts w:ascii="Times New Roman" w:hAnsi="Times New Roman"/>
                <w:b w:val="0"/>
                <w:i w:val="0"/>
                <w:sz w:val="22"/>
              </w:rPr>
              <w:t>Transfer logged; buyer sees full pseudonymised history</w:t>
            </w:r>
          </w:p>
        </w:tc>
      </w:tr>
      <w:tr>
        <w:tc>
          <w:tcPr>
            <w:tcW w:type="dxa" w:w="1980"/>
          </w:tcPr>
          <w:p>
            <w:pPr>
              <w:spacing w:after="40"/>
            </w:pPr>
            <w:r/>
            <w:r>
              <w:rPr>
                <w:rFonts w:ascii="Times New Roman" w:hAnsi="Times New Roman"/>
                <w:b w:val="0"/>
                <w:i w:val="0"/>
                <w:sz w:val="22"/>
              </w:rPr>
              <w:t>Fraud attempt (odometer entered as 61,000 km)</w:t>
            </w:r>
          </w:p>
        </w:tc>
        <w:tc>
          <w:tcPr>
            <w:tcW w:type="dxa" w:w="1980"/>
          </w:tcPr>
          <w:p>
            <w:pPr>
              <w:spacing w:after="40"/>
            </w:pPr>
            <w:r/>
            <w:r>
              <w:rPr>
                <w:rFonts w:ascii="Times New Roman" w:hAnsi="Times New Roman"/>
                <w:b w:val="0"/>
                <w:i w:val="0"/>
                <w:sz w:val="22"/>
              </w:rPr>
              <w:t>A later reading below 62,400 km</w:t>
            </w:r>
          </w:p>
        </w:tc>
        <w:tc>
          <w:tcPr>
            <w:tcW w:type="dxa" w:w="1980"/>
          </w:tcPr>
          <w:p>
            <w:pPr>
              <w:spacing w:after="40"/>
            </w:pPr>
            <w:r/>
            <w:r>
              <w:rPr>
                <w:rFonts w:ascii="Times New Roman" w:hAnsi="Times New Roman"/>
                <w:b/>
                <w:i w:val="0"/>
                <w:sz w:val="22"/>
              </w:rPr>
              <w:t>Algorithm 4</w:t>
            </w:r>
            <w:r>
              <w:rPr>
                <w:rFonts w:ascii="Times New Roman" w:hAnsi="Times New Roman"/>
                <w:b w:val="0"/>
                <w:i w:val="0"/>
                <w:sz w:val="22"/>
              </w:rPr>
              <w:t xml:space="preserve"> detects a decrease</w:t>
            </w:r>
          </w:p>
        </w:tc>
        <w:tc>
          <w:tcPr>
            <w:tcW w:type="dxa" w:w="1980"/>
          </w:tcPr>
          <w:p>
            <w:pPr>
              <w:spacing w:after="40"/>
            </w:pPr>
            <w:r/>
            <w:r>
              <w:rPr>
                <w:rFonts w:ascii="Times New Roman" w:hAnsi="Times New Roman"/>
                <w:b/>
                <w:i w:val="0"/>
                <w:sz w:val="22"/>
              </w:rPr>
              <w:t>FRAUD ALERT</w:t>
            </w:r>
            <w:r>
              <w:rPr>
                <w:rFonts w:ascii="Times New Roman" w:hAnsi="Times New Roman"/>
                <w:b w:val="0"/>
                <w:i w:val="0"/>
                <w:sz w:val="22"/>
              </w:rPr>
              <w:t xml:space="preserve"> — odometer rollback; event flagged</w:t>
            </w:r>
          </w:p>
        </w:tc>
      </w:tr>
      <w:tr>
        <w:tc>
          <w:tcPr>
            <w:tcW w:type="dxa" w:w="1980"/>
          </w:tcPr>
          <w:p>
            <w:pPr>
              <w:spacing w:after="40"/>
            </w:pPr>
            <w:r/>
            <w:r>
              <w:rPr>
                <w:rFonts w:ascii="Times New Roman" w:hAnsi="Times New Roman"/>
                <w:b w:val="0"/>
                <w:i w:val="0"/>
                <w:sz w:val="22"/>
              </w:rPr>
              <w:t>Theft during a pending transfer</w:t>
            </w:r>
          </w:p>
        </w:tc>
        <w:tc>
          <w:tcPr>
            <w:tcW w:type="dxa" w:w="1980"/>
          </w:tcPr>
          <w:p>
            <w:pPr>
              <w:spacing w:after="40"/>
            </w:pPr>
            <w:r/>
            <w:r>
              <w:rPr>
                <w:rFonts w:ascii="Times New Roman" w:hAnsi="Times New Roman"/>
                <w:b w:val="0"/>
                <w:i w:val="0"/>
                <w:sz w:val="22"/>
              </w:rPr>
              <w:t>Police flag the vehicle stolen</w:t>
            </w:r>
          </w:p>
        </w:tc>
        <w:tc>
          <w:tcPr>
            <w:tcW w:type="dxa" w:w="1980"/>
          </w:tcPr>
          <w:p>
            <w:pPr>
              <w:spacing w:after="40"/>
            </w:pPr>
            <w:r/>
            <w:r>
              <w:rPr>
                <w:rFonts w:ascii="Times New Roman" w:hAnsi="Times New Roman"/>
                <w:b/>
                <w:i w:val="0"/>
                <w:sz w:val="22"/>
              </w:rPr>
              <w:t>Algorithm 2</w:t>
            </w:r>
            <w:r>
              <w:rPr>
                <w:rFonts w:ascii="Times New Roman" w:hAnsi="Times New Roman"/>
                <w:b w:val="0"/>
                <w:i w:val="0"/>
                <w:sz w:val="22"/>
              </w:rPr>
              <w:t xml:space="preserve"> blocks the transfer and triggers a reveal request</w:t>
            </w:r>
          </w:p>
        </w:tc>
        <w:tc>
          <w:tcPr>
            <w:tcW w:type="dxa" w:w="1980"/>
          </w:tcPr>
          <w:p>
            <w:pPr>
              <w:spacing w:after="40"/>
            </w:pPr>
            <w:r/>
            <w:r>
              <w:rPr>
                <w:rFonts w:ascii="Times New Roman" w:hAnsi="Times New Roman"/>
                <w:b w:val="0"/>
                <w:i w:val="0"/>
                <w:sz w:val="22"/>
              </w:rPr>
              <w:t>Transfer blocked; conditional identity reveal initiated</w:t>
            </w:r>
          </w:p>
        </w:tc>
      </w:tr>
    </w:tbl>
    <w:p/>
    <w:p>
      <w:pPr>
        <w:jc w:val="both"/>
      </w:pPr>
      <w:r>
        <w:rPr>
          <w:rFonts w:ascii="Times New Roman" w:hAnsi="Times New Roman"/>
          <w:b w:val="0"/>
          <w:i w:val="0"/>
          <w:sz w:val="24"/>
        </w:rPr>
        <w:t xml:space="preserve">The </w:t>
      </w:r>
      <w:r>
        <w:rPr>
          <w:rFonts w:ascii="Times New Roman" w:hAnsi="Times New Roman"/>
          <w:b/>
          <w:i w:val="0"/>
          <w:sz w:val="24"/>
        </w:rPr>
        <w:t>outputs</w:t>
      </w:r>
      <w:r>
        <w:rPr>
          <w:rFonts w:ascii="Times New Roman" w:hAnsi="Times New Roman"/>
          <w:b w:val="0"/>
          <w:i w:val="0"/>
          <w:sz w:val="24"/>
        </w:rPr>
        <w:t xml:space="preserve"> a prospective buyer sees are the pseudonymised vehicle history, mileage progression, accident and claim counts, theft status, and any fraud alerts — without exposing the owner's identity. The owner's real identity is released only through the governed multi-party reveal (Algorithm 3). Figure 4.8 shows the input-process-output flow.</w:t>
      </w:r>
    </w:p>
    <w:p>
      <w:pPr>
        <w:pStyle w:val="Heading2"/>
      </w:pPr>
      <w:r>
        <w:t>4.10 Feasibility Analysis</w:t>
      </w:r>
    </w:p>
    <w:p>
      <w:pPr>
        <w:jc w:val="both"/>
      </w:pPr>
      <w:r>
        <w:rPr>
          <w:rFonts w:ascii="Times New Roman" w:hAnsi="Times New Roman"/>
          <w:b w:val="0"/>
          <w:i w:val="0"/>
          <w:sz w:val="24"/>
        </w:rPr>
        <w:t>A supervisor review asked for an assessment of the feasibility of deploying this application. The honest conclusion is that the binding constraints are organisational, legal and fiscal — not technical — and that a proof-of-concept (the scope of this thesis) is clearly feasible, while a national production rollout depends on factors this thesis cannot itself supply.</w:t>
      </w:r>
    </w:p>
    <w:p>
      <w:pPr>
        <w:jc w:val="both"/>
      </w:pPr>
      <w:r>
        <w:rPr>
          <w:rFonts w:ascii="Times New Roman" w:hAnsi="Times New Roman"/>
          <w:b/>
          <w:i w:val="0"/>
          <w:sz w:val="24"/>
        </w:rPr>
        <w:t>Technical feasibility — strong.</w:t>
      </w:r>
      <w:r>
        <w:rPr>
          <w:rFonts w:ascii="Times New Roman" w:hAnsi="Times New Roman"/>
          <w:b w:val="0"/>
          <w:i w:val="0"/>
          <w:sz w:val="24"/>
        </w:rPr>
        <w:t xml:space="preserve"> Sri Lanka has approximately 8.53 million registered vehicles, with new registrations peaking near 49,000 per month after the 2025 import-ban lift, plus about six million annual revenue-licence transactions (Daily FT, 2025; Sunday Times, 2026). Even at peak this is only a few sustained transactions per second, far below Hyperledger Fabric's benchmarked throughput of around 3,000 TPS on modest hardware (Hyperledger Foundation, 2023) and up to roughly 20,000 TPS in research configurations (Gorenflo et al., 2019). Throughput and scale are therefore not a risk.</w:t>
      </w:r>
    </w:p>
    <w:p>
      <w:pPr>
        <w:jc w:val="both"/>
      </w:pPr>
      <w:r>
        <w:rPr>
          <w:rFonts w:ascii="Times New Roman" w:hAnsi="Times New Roman"/>
          <w:b/>
          <w:i w:val="0"/>
          <w:sz w:val="24"/>
        </w:rPr>
        <w:t>Organisational / governance feasibility — the hardest constraint.</w:t>
      </w:r>
      <w:r>
        <w:rPr>
          <w:rFonts w:ascii="Times New Roman" w:hAnsi="Times New Roman"/>
          <w:b w:val="0"/>
          <w:i w:val="0"/>
          <w:sz w:val="24"/>
        </w:rPr>
        <w:t xml:space="preserve"> Sri Lanka has no precedent for a binding five-party data consortium; documented inter-agency sharing is bilateral (for example, the FIU–DMT memorandum of understanding). A consortium requires each member to cede control over records it currently owns. The mitigating evidence is that the eRL system already runs real-time multi-party integration across the DMT, insurers and emission centres (ICTA, 2019), so the gap is binding governance and adding Police and Customs as write-peers, not basic interoperability. The October 2025 Lanka Government Cloud outage, which simultaneously disabled the eRL, police-clearance and civil-registry services, is both a warning on operational maturity and an argument for a distributed ledger over a single central system (EconomyNext, 2025).</w:t>
      </w:r>
    </w:p>
    <w:p>
      <w:pPr>
        <w:jc w:val="both"/>
      </w:pPr>
      <w:r>
        <w:rPr>
          <w:rFonts w:ascii="Times New Roman" w:hAnsi="Times New Roman"/>
          <w:b/>
          <w:i w:val="0"/>
          <w:sz w:val="24"/>
        </w:rPr>
        <w:t>Legal feasibility — a real but unsettled basis.</w:t>
      </w:r>
      <w:r>
        <w:rPr>
          <w:rFonts w:ascii="Times New Roman" w:hAnsi="Times New Roman"/>
          <w:b w:val="0"/>
          <w:i w:val="0"/>
          <w:sz w:val="24"/>
        </w:rPr>
        <w:t xml:space="preserve"> The PDPA No. 9 of 2022 (amended by Act No. 22 of 2025) permits processing necessary for a public-interest task or the exercise of statutory powers, but this is a permission rather than a grant: each agency must already hold statutory authority to share personal data, or cross-agency flows risk being ultra vires; the substantive obligations are not yet in force, awaiting a ministerial commencement order expected in 2026 (DLA Piper, 2025). The system must therefore be designed to be PDPA-ready against a moving target — which the hybrid on-chain-hash / off-chain-PII architecture is well positioned to satisfy.</w:t>
      </w:r>
    </w:p>
    <w:p>
      <w:pPr>
        <w:jc w:val="both"/>
      </w:pPr>
      <w:r>
        <w:rPr>
          <w:rFonts w:ascii="Times New Roman" w:hAnsi="Times New Roman"/>
          <w:b/>
          <w:i w:val="0"/>
          <w:sz w:val="24"/>
        </w:rPr>
        <w:t>Economic feasibility.</w:t>
      </w:r>
      <w:r>
        <w:rPr>
          <w:rFonts w:ascii="Times New Roman" w:hAnsi="Times New Roman"/>
          <w:b w:val="0"/>
          <w:i w:val="0"/>
          <w:sz w:val="24"/>
        </w:rPr>
        <w:t xml:space="preserve"> The documented Rs. 1.2 billion fraud loss (Parliament of Sri Lanka, 2025) provides a concrete benefit baseline; comparable government registries have reported large savings (Sweden's land registry was estimated to save about EUR 100 million a year) (Quartz, 2017). A Sri Lanka-specific cost model was not available, so the economic case is comparative rather than costed, and the Rs. 1.2 billion figure is a government-revenue loss rather than a measure of consumer used-vehicle harm.</w:t>
      </w:r>
    </w:p>
    <w:p>
      <w:pPr>
        <w:jc w:val="both"/>
      </w:pPr>
      <w:r>
        <w:rPr>
          <w:rFonts w:ascii="Times New Roman" w:hAnsi="Times New Roman"/>
          <w:b/>
          <w:i w:val="0"/>
          <w:sz w:val="24"/>
        </w:rPr>
        <w:t>Precedents — read critically.</w:t>
      </w:r>
      <w:r>
        <w:rPr>
          <w:rFonts w:ascii="Times New Roman" w:hAnsi="Times New Roman"/>
          <w:b w:val="0"/>
          <w:i w:val="0"/>
          <w:sz w:val="24"/>
        </w:rPr>
        <w:t xml:space="preserve"> The most directly analogous design is the Dubai RTA vehicle-lifecycle blockchain announced in 2018 with exactly this stakeholder set, but there is no public evidence it reached production, so it is cited as an announced design analogue only (Arabian Business, 2018). Sweden's land registry is the key cautionary tale — a technical success that stalled because property transfers still required a paper signature, a legal rather than technical failure (Quartz, 2017). Georgia's land-title registry did reach real scale but is a single-agency system, so it validates the ledger concept but not the harder five-party governance model (Exonum, n.d.).</w:t>
      </w:r>
    </w:p>
    <w:p>
      <w:pPr>
        <w:jc w:val="both"/>
      </w:pPr>
      <w:r>
        <w:rPr>
          <w:rFonts w:ascii="Times New Roman" w:hAnsi="Times New Roman"/>
          <w:b/>
          <w:i w:val="0"/>
          <w:sz w:val="24"/>
        </w:rPr>
        <w:t>Verdict — proof-of-concept versus production.</w:t>
      </w:r>
      <w:r>
        <w:rPr>
          <w:rFonts w:ascii="Times New Roman" w:hAnsi="Times New Roman"/>
          <w:b w:val="0"/>
          <w:i w:val="0"/>
          <w:sz w:val="24"/>
        </w:rPr>
        <w:t xml:space="preserve"> The thesis-scope proof-of-concept is feasible and defensible: it can be built on a self-hosted Fabric network with simulated organisation peers, synthetic lifecycle data, and a measured privacy-versus-detection trade-off, which sidesteps every institutional, legal and funding blocker (no real personal data, no live agency nodes, no procurement). A production rollout is gated on a multilateral governance charter, per-agency statutory sharing authority, sustained funding under fiscal austerity, and operational maturity, which are recommended as future work rather than claimed as deliverables.</w:t>
      </w:r>
    </w:p>
    <w:p>
      <w:pPr>
        <w:jc w:val="both"/>
      </w:pPr>
      <w:r>
        <w:rPr>
          <w:rFonts w:ascii="Times New Roman" w:hAnsi="Times New Roman"/>
          <w:b/>
          <w:i w:val="0"/>
          <w:sz w:val="24"/>
        </w:rPr>
        <w:t>Table 4.10 — Feasibility summary</w:t>
      </w:r>
    </w:p>
    <w:tbl>
      <w:tblPr>
        <w:tblStyle w:val="TableGrid"/>
        <w:tblW w:type="auto" w:w="0"/>
        <w:jc w:val="center"/>
        <w:tblLook w:firstColumn="1" w:firstRow="1" w:lastColumn="0" w:lastRow="0" w:noHBand="0" w:noVBand="1" w:val="04A0"/>
      </w:tblPr>
      <w:tblGrid>
        <w:gridCol w:w="2640"/>
        <w:gridCol w:w="2640"/>
        <w:gridCol w:w="2640"/>
      </w:tblGrid>
      <w:tr>
        <w:tc>
          <w:tcPr>
            <w:tcW w:type="dxa" w:w="2640"/>
            <w:shd w:val="clear" w:fill="D9E2F3"/>
          </w:tcPr>
          <w:p>
            <w:pPr>
              <w:spacing w:after="40"/>
            </w:pPr>
            <w:r/>
            <w:r>
              <w:rPr>
                <w:rFonts w:ascii="Times New Roman" w:hAnsi="Times New Roman"/>
                <w:b/>
                <w:i w:val="0"/>
                <w:sz w:val="22"/>
              </w:rPr>
              <w:t>Dimension</w:t>
            </w:r>
          </w:p>
        </w:tc>
        <w:tc>
          <w:tcPr>
            <w:tcW w:type="dxa" w:w="2640"/>
            <w:shd w:val="clear" w:fill="D9E2F3"/>
          </w:tcPr>
          <w:p>
            <w:pPr>
              <w:spacing w:after="40"/>
            </w:pPr>
            <w:r/>
            <w:r>
              <w:rPr>
                <w:rFonts w:ascii="Times New Roman" w:hAnsi="Times New Roman"/>
                <w:b/>
                <w:i w:val="0"/>
                <w:sz w:val="22"/>
              </w:rPr>
              <w:t>Verdict</w:t>
            </w:r>
          </w:p>
        </w:tc>
        <w:tc>
          <w:tcPr>
            <w:tcW w:type="dxa" w:w="2640"/>
            <w:shd w:val="clear" w:fill="D9E2F3"/>
          </w:tcPr>
          <w:p>
            <w:pPr>
              <w:spacing w:after="40"/>
            </w:pPr>
            <w:r/>
            <w:r>
              <w:rPr>
                <w:rFonts w:ascii="Times New Roman" w:hAnsi="Times New Roman"/>
                <w:b/>
                <w:i w:val="0"/>
                <w:sz w:val="22"/>
              </w:rPr>
              <w:t>Basis</w:t>
            </w:r>
          </w:p>
        </w:tc>
      </w:tr>
      <w:tr>
        <w:tc>
          <w:tcPr>
            <w:tcW w:type="dxa" w:w="2640"/>
          </w:tcPr>
          <w:p>
            <w:pPr>
              <w:spacing w:after="40"/>
            </w:pPr>
            <w:r/>
            <w:r>
              <w:rPr>
                <w:rFonts w:ascii="Times New Roman" w:hAnsi="Times New Roman"/>
                <w:b w:val="0"/>
                <w:i w:val="0"/>
                <w:sz w:val="22"/>
              </w:rPr>
              <w:t>Technical</w:t>
            </w:r>
          </w:p>
        </w:tc>
        <w:tc>
          <w:tcPr>
            <w:tcW w:type="dxa" w:w="2640"/>
          </w:tcPr>
          <w:p>
            <w:pPr>
              <w:spacing w:after="40"/>
            </w:pPr>
            <w:r/>
            <w:r>
              <w:rPr>
                <w:rFonts w:ascii="Times New Roman" w:hAnsi="Times New Roman"/>
                <w:b w:val="0"/>
                <w:i w:val="0"/>
                <w:sz w:val="22"/>
              </w:rPr>
              <w:t>Feasible (over-provisioned)</w:t>
            </w:r>
          </w:p>
        </w:tc>
        <w:tc>
          <w:tcPr>
            <w:tcW w:type="dxa" w:w="2640"/>
          </w:tcPr>
          <w:p>
            <w:pPr>
              <w:spacing w:after="40"/>
            </w:pPr>
            <w:r/>
            <w:r>
              <w:rPr>
                <w:rFonts w:ascii="Times New Roman" w:hAnsi="Times New Roman"/>
                <w:b w:val="0"/>
                <w:i w:val="0"/>
                <w:sz w:val="22"/>
              </w:rPr>
              <w:t>Few TPS load vs ~3,000–20,000 TPS Fabric capacity</w:t>
            </w:r>
          </w:p>
        </w:tc>
      </w:tr>
      <w:tr>
        <w:tc>
          <w:tcPr>
            <w:tcW w:type="dxa" w:w="2640"/>
          </w:tcPr>
          <w:p>
            <w:pPr>
              <w:spacing w:after="40"/>
            </w:pPr>
            <w:r/>
            <w:r>
              <w:rPr>
                <w:rFonts w:ascii="Times New Roman" w:hAnsi="Times New Roman"/>
                <w:b w:val="0"/>
                <w:i w:val="0"/>
                <w:sz w:val="22"/>
              </w:rPr>
              <w:t>Organisational</w:t>
            </w:r>
          </w:p>
        </w:tc>
        <w:tc>
          <w:tcPr>
            <w:tcW w:type="dxa" w:w="2640"/>
          </w:tcPr>
          <w:p>
            <w:pPr>
              <w:spacing w:after="40"/>
            </w:pPr>
            <w:r/>
            <w:r>
              <w:rPr>
                <w:rFonts w:ascii="Times New Roman" w:hAnsi="Times New Roman"/>
                <w:b w:val="0"/>
                <w:i w:val="0"/>
                <w:sz w:val="22"/>
              </w:rPr>
              <w:t>Hardest blocker (N/A for PoC)</w:t>
            </w:r>
          </w:p>
        </w:tc>
        <w:tc>
          <w:tcPr>
            <w:tcW w:type="dxa" w:w="2640"/>
          </w:tcPr>
          <w:p>
            <w:pPr>
              <w:spacing w:after="40"/>
            </w:pPr>
            <w:r/>
            <w:r>
              <w:rPr>
                <w:rFonts w:ascii="Times New Roman" w:hAnsi="Times New Roman"/>
                <w:b w:val="0"/>
                <w:i w:val="0"/>
                <w:sz w:val="22"/>
              </w:rPr>
              <w:t>No five-party precedent; eRL proves interoperability</w:t>
            </w:r>
          </w:p>
        </w:tc>
      </w:tr>
      <w:tr>
        <w:tc>
          <w:tcPr>
            <w:tcW w:type="dxa" w:w="2640"/>
          </w:tcPr>
          <w:p>
            <w:pPr>
              <w:spacing w:after="40"/>
            </w:pPr>
            <w:r/>
            <w:r>
              <w:rPr>
                <w:rFonts w:ascii="Times New Roman" w:hAnsi="Times New Roman"/>
                <w:b w:val="0"/>
                <w:i w:val="0"/>
                <w:sz w:val="22"/>
              </w:rPr>
              <w:t>Legal</w:t>
            </w:r>
          </w:p>
        </w:tc>
        <w:tc>
          <w:tcPr>
            <w:tcW w:type="dxa" w:w="2640"/>
          </w:tcPr>
          <w:p>
            <w:pPr>
              <w:spacing w:after="40"/>
            </w:pPr>
            <w:r/>
            <w:r>
              <w:rPr>
                <w:rFonts w:ascii="Times New Roman" w:hAnsi="Times New Roman"/>
                <w:b w:val="0"/>
                <w:i w:val="0"/>
                <w:sz w:val="22"/>
              </w:rPr>
              <w:t>Conditional; design PDPA-ready</w:t>
            </w:r>
          </w:p>
        </w:tc>
        <w:tc>
          <w:tcPr>
            <w:tcW w:type="dxa" w:w="2640"/>
          </w:tcPr>
          <w:p>
            <w:pPr>
              <w:spacing w:after="40"/>
            </w:pPr>
            <w:r/>
            <w:r>
              <w:rPr>
                <w:rFonts w:ascii="Times New Roman" w:hAnsi="Times New Roman"/>
                <w:b w:val="0"/>
                <w:i w:val="0"/>
                <w:sz w:val="22"/>
              </w:rPr>
              <w:t>PDPA permits but does not grant sharing authority</w:t>
            </w:r>
          </w:p>
        </w:tc>
      </w:tr>
      <w:tr>
        <w:tc>
          <w:tcPr>
            <w:tcW w:type="dxa" w:w="2640"/>
          </w:tcPr>
          <w:p>
            <w:pPr>
              <w:spacing w:after="40"/>
            </w:pPr>
            <w:r/>
            <w:r>
              <w:rPr>
                <w:rFonts w:ascii="Times New Roman" w:hAnsi="Times New Roman"/>
                <w:b w:val="0"/>
                <w:i w:val="0"/>
                <w:sz w:val="22"/>
              </w:rPr>
              <w:t>Economic</w:t>
            </w:r>
          </w:p>
        </w:tc>
        <w:tc>
          <w:tcPr>
            <w:tcW w:type="dxa" w:w="2640"/>
          </w:tcPr>
          <w:p>
            <w:pPr>
              <w:spacing w:after="40"/>
            </w:pPr>
            <w:r/>
            <w:r>
              <w:rPr>
                <w:rFonts w:ascii="Times New Roman" w:hAnsi="Times New Roman"/>
                <w:b w:val="0"/>
                <w:i w:val="0"/>
                <w:sz w:val="22"/>
              </w:rPr>
              <w:t>Plausible net benefit</w:t>
            </w:r>
          </w:p>
        </w:tc>
        <w:tc>
          <w:tcPr>
            <w:tcW w:type="dxa" w:w="2640"/>
          </w:tcPr>
          <w:p>
            <w:pPr>
              <w:spacing w:after="40"/>
            </w:pPr>
            <w:r/>
            <w:r>
              <w:rPr>
                <w:rFonts w:ascii="Times New Roman" w:hAnsi="Times New Roman"/>
                <w:b w:val="0"/>
                <w:i w:val="0"/>
                <w:sz w:val="22"/>
              </w:rPr>
              <w:t>Rs. 1.2 bn loss baseline; no local cost model</w:t>
            </w:r>
          </w:p>
        </w:tc>
      </w:tr>
      <w:tr>
        <w:tc>
          <w:tcPr>
            <w:tcW w:type="dxa" w:w="2640"/>
          </w:tcPr>
          <w:p>
            <w:pPr>
              <w:spacing w:after="40"/>
            </w:pPr>
            <w:r/>
            <w:r>
              <w:rPr>
                <w:rFonts w:ascii="Times New Roman" w:hAnsi="Times New Roman"/>
                <w:b w:val="0"/>
                <w:i w:val="0"/>
                <w:sz w:val="22"/>
              </w:rPr>
              <w:t>Proof-of-concept</w:t>
            </w:r>
          </w:p>
        </w:tc>
        <w:tc>
          <w:tcPr>
            <w:tcW w:type="dxa" w:w="2640"/>
          </w:tcPr>
          <w:p>
            <w:pPr>
              <w:spacing w:after="40"/>
            </w:pPr>
            <w:r/>
            <w:r>
              <w:rPr>
                <w:rFonts w:ascii="Times New Roman" w:hAnsi="Times New Roman"/>
                <w:b w:val="0"/>
                <w:i w:val="0"/>
                <w:sz w:val="22"/>
              </w:rPr>
              <w:t>Clearly feasible</w:t>
            </w:r>
          </w:p>
        </w:tc>
        <w:tc>
          <w:tcPr>
            <w:tcW w:type="dxa" w:w="2640"/>
          </w:tcPr>
          <w:p>
            <w:pPr>
              <w:spacing w:after="40"/>
            </w:pPr>
            <w:r/>
            <w:r>
              <w:rPr>
                <w:rFonts w:ascii="Times New Roman" w:hAnsi="Times New Roman"/>
                <w:b w:val="0"/>
                <w:i w:val="0"/>
                <w:sz w:val="22"/>
              </w:rPr>
              <w:t>Synthetic data, simulated peers, self-hosted Fabric</w:t>
            </w:r>
          </w:p>
        </w:tc>
      </w:tr>
      <w:tr>
        <w:tc>
          <w:tcPr>
            <w:tcW w:type="dxa" w:w="2640"/>
          </w:tcPr>
          <w:p>
            <w:pPr>
              <w:spacing w:after="40"/>
            </w:pPr>
            <w:r/>
            <w:r>
              <w:rPr>
                <w:rFonts w:ascii="Times New Roman" w:hAnsi="Times New Roman"/>
                <w:b w:val="0"/>
                <w:i w:val="0"/>
                <w:sz w:val="22"/>
              </w:rPr>
              <w:t>Production rollout</w:t>
            </w:r>
          </w:p>
        </w:tc>
        <w:tc>
          <w:tcPr>
            <w:tcW w:type="dxa" w:w="2640"/>
          </w:tcPr>
          <w:p>
            <w:pPr>
              <w:spacing w:after="40"/>
            </w:pPr>
            <w:r/>
            <w:r>
              <w:rPr>
                <w:rFonts w:ascii="Times New Roman" w:hAnsi="Times New Roman"/>
                <w:b w:val="0"/>
                <w:i w:val="0"/>
                <w:sz w:val="22"/>
              </w:rPr>
              <w:t>Gated (future work)</w:t>
            </w:r>
          </w:p>
        </w:tc>
        <w:tc>
          <w:tcPr>
            <w:tcW w:type="dxa" w:w="2640"/>
          </w:tcPr>
          <w:p>
            <w:pPr>
              <w:spacing w:after="40"/>
            </w:pPr>
            <w:r/>
            <w:r>
              <w:rPr>
                <w:rFonts w:ascii="Times New Roman" w:hAnsi="Times New Roman"/>
                <w:b w:val="0"/>
                <w:i w:val="0"/>
                <w:sz w:val="22"/>
              </w:rPr>
              <w:t>Governance charter + statutory authority required</w:t>
            </w:r>
          </w:p>
        </w:tc>
      </w:tr>
    </w:tbl>
    <w:p/>
    <w:p>
      <w:pPr>
        <w:pStyle w:val="Heading2"/>
      </w:pPr>
      <w:r>
        <w:t>4.11 Fraud-Detection Capability Boundary</w:t>
      </w:r>
    </w:p>
    <w:p>
      <w:pPr>
        <w:jc w:val="both"/>
      </w:pPr>
      <w:r>
        <w:rPr>
          <w:rFonts w:ascii="Times New Roman" w:hAnsi="Times New Roman"/>
          <w:b w:val="0"/>
          <w:i w:val="0"/>
          <w:sz w:val="24"/>
        </w:rPr>
        <w:t>Following supervisor feedback asking which categories of real-world vehicle fraud the proposed system can and cannot identify — in particular whether it can detect a fraudulently swapped engine — a dedicated fraud-capability analysis was carried out and is maintained as a companion document (</w:t>
      </w:r>
      <w:r>
        <w:rPr>
          <w:rFonts w:ascii="Times New Roman" w:hAnsi="Times New Roman"/>
          <w:b w:val="0"/>
          <w:i w:val="0"/>
          <w:sz w:val="24"/>
        </w:rPr>
        <w:t>FRAUD_CAPABILITY_ANALYSIS.md</w:t>
      </w:r>
      <w:r>
        <w:rPr>
          <w:rFonts w:ascii="Times New Roman" w:hAnsi="Times New Roman"/>
          <w:b w:val="0"/>
          <w:i w:val="0"/>
          <w:sz w:val="24"/>
        </w:rPr>
        <w:t>). Forty-eight fraud subtypes across ten families (odometer fraud, vehicle-identity fraud, stolen-vehicle resale, insurance fraud, document and insider fraud, import/customs fraud, ownership-pattern fraud, leasing/encumbrance fraud, damage-history concealment, and emission-certificate fraud) were assessed against the implemented design, each grounded in at least one real, cited case — including the COPA engine/chassis-number insertion fraud (Parliament of Sri Lanka, 2025) and the CIABOC uncleared-vehicle registrations (CIABOC, 2024). Every verdict was then subjected to an adversarial validation loop (three rounds of independent domain, technical, and consistency review; 86 confirmed corrections applied, 11 challenges refuted).</w:t>
      </w:r>
    </w:p>
    <w:p>
      <w:pPr>
        <w:jc w:val="both"/>
      </w:pPr>
      <w:r>
        <w:rPr>
          <w:rFonts w:ascii="Times New Roman" w:hAnsi="Times New Roman"/>
          <w:b w:val="0"/>
          <w:i w:val="0"/>
          <w:sz w:val="24"/>
        </w:rPr>
        <w:t xml:space="preserve">The validated result is deliberately conservative. Of the 48 subtypes, the implemented rules deterministically </w:t>
      </w:r>
      <w:r>
        <w:rPr>
          <w:rFonts w:ascii="Times New Roman" w:hAnsi="Times New Roman"/>
          <w:b/>
          <w:i w:val="0"/>
          <w:sz w:val="24"/>
        </w:rPr>
        <w:t>detect 2</w:t>
      </w:r>
      <w:r>
        <w:rPr>
          <w:rFonts w:ascii="Times New Roman" w:hAnsi="Times New Roman"/>
          <w:b w:val="0"/>
          <w:i w:val="0"/>
          <w:sz w:val="24"/>
        </w:rPr>
        <w:t xml:space="preserve"> (odometer rollback below a recorded reading, and official-channel transfer of a theft-flagged vehicle), </w:t>
      </w:r>
      <w:r>
        <w:rPr>
          <w:rFonts w:ascii="Times New Roman" w:hAnsi="Times New Roman"/>
          <w:b/>
          <w:i w:val="0"/>
          <w:sz w:val="24"/>
        </w:rPr>
        <w:t>partially address 23</w:t>
      </w:r>
      <w:r>
        <w:rPr>
          <w:rFonts w:ascii="Times New Roman" w:hAnsi="Times New Roman"/>
          <w:b w:val="0"/>
          <w:i w:val="0"/>
          <w:sz w:val="24"/>
        </w:rPr>
        <w:t xml:space="preserve"> (detection after the fact, coverage of some variants only, or attribution of the fraudulent write rather than prevention), and </w:t>
      </w:r>
      <w:r>
        <w:rPr>
          <w:rFonts w:ascii="Times New Roman" w:hAnsi="Times New Roman"/>
          <w:b/>
          <w:i w:val="0"/>
          <w:sz w:val="24"/>
        </w:rPr>
        <w:t>cannot address 23</w:t>
      </w:r>
      <w:r>
        <w:rPr>
          <w:rFonts w:ascii="Times New Roman" w:hAnsi="Times New Roman"/>
          <w:b w:val="0"/>
          <w:i w:val="0"/>
          <w:sz w:val="24"/>
        </w:rPr>
        <w:t xml:space="preserve">. Every "cannot" verdict reduces to one of four structural causes, which are presented as principled boundaries of any pure registry rather than design defects: (i) </w:t>
      </w:r>
      <w:r>
        <w:rPr>
          <w:rFonts w:ascii="Times New Roman" w:hAnsi="Times New Roman"/>
          <w:b w:val="0"/>
          <w:i/>
          <w:sz w:val="24"/>
        </w:rPr>
        <w:t>absence of data</w:t>
      </w:r>
      <w:r>
        <w:rPr>
          <w:rFonts w:ascii="Times New Roman" w:hAnsi="Times New Roman"/>
          <w:b w:val="0"/>
          <w:i w:val="0"/>
          <w:sz w:val="24"/>
        </w:rPr>
        <w:t xml:space="preserve"> — the fraud generates no transaction from any authorised member (the oracle problem; e.g., an undeclared engine swap or an off-record cash repair); (ii) </w:t>
      </w:r>
      <w:r>
        <w:rPr>
          <w:rFonts w:ascii="Times New Roman" w:hAnsi="Times New Roman"/>
          <w:b w:val="0"/>
          <w:i/>
          <w:sz w:val="24"/>
        </w:rPr>
        <w:t>corrupt trusted source</w:t>
      </w:r>
      <w:r>
        <w:rPr>
          <w:rFonts w:ascii="Times New Roman" w:hAnsi="Times New Roman"/>
          <w:b w:val="0"/>
          <w:i w:val="0"/>
          <w:sz w:val="24"/>
        </w:rPr>
        <w:t xml:space="preserve"> — the record is authentic but its content is false (e.g., a bribed emission pass), where the ledger's contribution is a signed, permanent, attributable record; (iii) </w:t>
      </w:r>
      <w:r>
        <w:rPr>
          <w:rFonts w:ascii="Times New Roman" w:hAnsi="Times New Roman"/>
          <w:b w:val="0"/>
          <w:i/>
          <w:sz w:val="24"/>
        </w:rPr>
        <w:t>calibrated fraud within plausible bounds</w:t>
      </w:r>
      <w:r>
        <w:rPr>
          <w:rFonts w:ascii="Times New Roman" w:hAnsi="Times New Roman"/>
          <w:b w:val="0"/>
          <w:i w:val="0"/>
          <w:sz w:val="24"/>
        </w:rPr>
        <w:t xml:space="preserve"> — e.g., an odometer rolled back to just above the last recorded reading, which is arithmetically indistinguishable from honest data and can only be bounded, not detected; and (iv) </w:t>
      </w:r>
      <w:r>
        <w:rPr>
          <w:rFonts w:ascii="Times New Roman" w:hAnsi="Times New Roman"/>
          <w:b w:val="0"/>
          <w:i/>
          <w:sz w:val="24"/>
        </w:rPr>
        <w:t>privacy-by-design linkage limits</w:t>
      </w:r>
      <w:r>
        <w:rPr>
          <w:rFonts w:ascii="Times New Roman" w:hAnsi="Times New Roman"/>
          <w:b w:val="0"/>
          <w:i w:val="0"/>
          <w:sz w:val="24"/>
        </w:rPr>
        <w:t xml:space="preserve"> — cross-vehicle serial fraud is undetectable because per-vehicle pseudonyms are deliberately unlinkable, which is precisely the privacy-versus-detection trade-off this thesis measures.</w:t>
      </w:r>
    </w:p>
    <w:p>
      <w:pPr>
        <w:jc w:val="both"/>
      </w:pPr>
      <w:r>
        <w:rPr>
          <w:rFonts w:ascii="Times New Roman" w:hAnsi="Times New Roman"/>
          <w:b w:val="0"/>
          <w:i w:val="0"/>
          <w:sz w:val="24"/>
        </w:rPr>
        <w:t xml:space="preserve">On the specific supervisor question, a fraudulent engine swap is not detectable by the design as specified: the engine number enters the system once, inside the salted vehicleHash at first registration, and no rule re-reads it — an undeclared swap generates no on-chain event at all. The analysis distinguishes three variants: an undeclared swap (undetectable; the proposed countermeasure is engine re-attestation at physical touchpoints, with coverage honestly bounded by the emission-test exemptions below); a declared swap re-papered with a smuggled or stolen engine (unrecordable as specified, since no engine-amendment transaction exists; addressed by a tiered </w:t>
      </w:r>
      <w:r>
        <w:rPr>
          <w:rFonts w:ascii="Times New Roman" w:hAnsi="Times New Roman"/>
          <w:b w:val="0"/>
          <w:i w:val="0"/>
          <w:sz w:val="24"/>
        </w:rPr>
        <w:t>EngineAmendment</w:t>
      </w:r>
      <w:r>
        <w:rPr>
          <w:rFonts w:ascii="Times New Roman" w:hAnsi="Times New Roman"/>
          <w:b w:val="0"/>
          <w:i w:val="0"/>
          <w:sz w:val="24"/>
        </w:rPr>
        <w:t xml:space="preserve"> design); and the COPA-style insider insertion of smuggled-vehicle identifiers into existing registrations, where the design genuinely improves on the status quo — silent record editing is structurally impossible on an append-only ledger, and the insider is forced into an MSP-signed, permanently attributable transaction — although prevention (rather than attribution) additionally requires a Customs-prerequisite registration rule.</w:t>
      </w:r>
    </w:p>
    <w:p>
      <w:pPr>
        <w:pStyle w:val="Heading3"/>
      </w:pPr>
      <w:r>
        <w:t>4.11.1 Capability in context: what is caught, what is not, and the comparison that matters</w:t>
      </w:r>
    </w:p>
    <w:p>
      <w:pPr>
        <w:jc w:val="both"/>
      </w:pPr>
      <w:r>
        <w:rPr>
          <w:rFonts w:ascii="Times New Roman" w:hAnsi="Times New Roman"/>
          <w:b w:val="0"/>
          <w:i w:val="0"/>
          <w:sz w:val="24"/>
        </w:rPr>
        <w:t xml:space="preserve">The raw scorecard counts fraud </w:t>
      </w:r>
      <w:r>
        <w:rPr>
          <w:rFonts w:ascii="Times New Roman" w:hAnsi="Times New Roman"/>
          <w:b w:val="0"/>
          <w:i/>
          <w:sz w:val="24"/>
        </w:rPr>
        <w:t>categories</w:t>
      </w:r>
      <w:r>
        <w:rPr>
          <w:rFonts w:ascii="Times New Roman" w:hAnsi="Times New Roman"/>
          <w:b w:val="0"/>
          <w:i w:val="0"/>
          <w:sz w:val="24"/>
        </w:rPr>
        <w:t xml:space="preserve">, not fraud </w:t>
      </w:r>
      <w:r>
        <w:rPr>
          <w:rFonts w:ascii="Times New Roman" w:hAnsi="Times New Roman"/>
          <w:b w:val="0"/>
          <w:i/>
          <w:sz w:val="24"/>
        </w:rPr>
        <w:t>volume</w:t>
      </w:r>
      <w:r>
        <w:rPr>
          <w:rFonts w:ascii="Times New Roman" w:hAnsi="Times New Roman"/>
          <w:b w:val="0"/>
          <w:i w:val="0"/>
          <w:sz w:val="24"/>
        </w:rPr>
        <w:t>: the 48 subtypes were enumerated adversarially to be exhaustive, and the list deliberately includes frauds no system anywhere catches. The system's coverage is concentrated where the documented losses are. Table 4.11 summarises what the system catches and what each capability replaces in the current process.</w:t>
      </w:r>
    </w:p>
    <w:p>
      <w:pPr>
        <w:jc w:val="both"/>
      </w:pPr>
      <w:r>
        <w:rPr>
          <w:rFonts w:ascii="Times New Roman" w:hAnsi="Times New Roman"/>
          <w:b/>
          <w:i w:val="0"/>
          <w:sz w:val="24"/>
        </w:rPr>
        <w:t>Table 4.11 — Principal capabilities against the current Sri Lankan process</w:t>
      </w:r>
    </w:p>
    <w:tbl>
      <w:tblPr>
        <w:tblStyle w:val="TableGrid"/>
        <w:tblW w:type="auto" w:w="0"/>
        <w:jc w:val="center"/>
        <w:tblLook w:firstColumn="1" w:firstRow="1" w:lastColumn="0" w:lastRow="0" w:noHBand="0" w:noVBand="1" w:val="04A0"/>
      </w:tblPr>
      <w:tblGrid>
        <w:gridCol w:w="2640"/>
        <w:gridCol w:w="2640"/>
        <w:gridCol w:w="2640"/>
      </w:tblGrid>
      <w:tr>
        <w:tc>
          <w:tcPr>
            <w:tcW w:type="dxa" w:w="2640"/>
            <w:shd w:val="clear" w:fill="D9E2F3"/>
          </w:tcPr>
          <w:p>
            <w:pPr>
              <w:spacing w:after="40"/>
            </w:pPr>
            <w:r/>
            <w:r>
              <w:rPr>
                <w:rFonts w:ascii="Times New Roman" w:hAnsi="Times New Roman"/>
                <w:b/>
                <w:i w:val="0"/>
                <w:sz w:val="22"/>
              </w:rPr>
              <w:t>Fraud addressed</w:t>
            </w:r>
          </w:p>
        </w:tc>
        <w:tc>
          <w:tcPr>
            <w:tcW w:type="dxa" w:w="2640"/>
            <w:shd w:val="clear" w:fill="D9E2F3"/>
          </w:tcPr>
          <w:p>
            <w:pPr>
              <w:spacing w:after="40"/>
            </w:pPr>
            <w:r/>
            <w:r>
              <w:rPr>
                <w:rFonts w:ascii="Times New Roman" w:hAnsi="Times New Roman"/>
                <w:b/>
                <w:i w:val="0"/>
                <w:sz w:val="22"/>
              </w:rPr>
              <w:t>Mechanism</w:t>
            </w:r>
          </w:p>
        </w:tc>
        <w:tc>
          <w:tcPr>
            <w:tcW w:type="dxa" w:w="2640"/>
            <w:shd w:val="clear" w:fill="D9E2F3"/>
          </w:tcPr>
          <w:p>
            <w:pPr>
              <w:spacing w:after="40"/>
            </w:pPr>
            <w:r/>
            <w:r>
              <w:rPr>
                <w:rFonts w:ascii="Times New Roman" w:hAnsi="Times New Roman"/>
                <w:b/>
                <w:i w:val="0"/>
                <w:sz w:val="22"/>
              </w:rPr>
              <w:t>Current process</w:t>
            </w:r>
          </w:p>
        </w:tc>
      </w:tr>
      <w:tr>
        <w:tc>
          <w:tcPr>
            <w:tcW w:type="dxa" w:w="2640"/>
          </w:tcPr>
          <w:p>
            <w:pPr>
              <w:spacing w:after="40"/>
            </w:pPr>
            <w:r/>
            <w:r>
              <w:rPr>
                <w:rFonts w:ascii="Times New Roman" w:hAnsi="Times New Roman"/>
                <w:b w:val="0"/>
                <w:i w:val="0"/>
                <w:sz w:val="22"/>
              </w:rPr>
              <w:t>Odometer rollback below a recorded reading</w:t>
            </w:r>
          </w:p>
        </w:tc>
        <w:tc>
          <w:tcPr>
            <w:tcW w:type="dxa" w:w="2640"/>
          </w:tcPr>
          <w:p>
            <w:pPr>
              <w:spacing w:after="40"/>
            </w:pPr>
            <w:r/>
            <w:r>
              <w:rPr>
                <w:rFonts w:ascii="Times New Roman" w:hAnsi="Times New Roman"/>
                <w:b w:val="0"/>
                <w:i w:val="0"/>
                <w:sz w:val="22"/>
              </w:rPr>
              <w:t>Algorithm 4(a), deterministic; history buyer-visible pre-purchase</w:t>
            </w:r>
          </w:p>
        </w:tc>
        <w:tc>
          <w:tcPr>
            <w:tcW w:type="dxa" w:w="2640"/>
          </w:tcPr>
          <w:p>
            <w:pPr>
              <w:spacing w:after="40"/>
            </w:pPr>
            <w:r/>
            <w:r>
              <w:rPr>
                <w:rFonts w:ascii="Times New Roman" w:hAnsi="Times New Roman"/>
                <w:b w:val="0"/>
                <w:i w:val="0"/>
                <w:sz w:val="22"/>
              </w:rPr>
              <w:t>No mileage history exists at all</w:t>
            </w:r>
          </w:p>
        </w:tc>
      </w:tr>
      <w:tr>
        <w:tc>
          <w:tcPr>
            <w:tcW w:type="dxa" w:w="2640"/>
          </w:tcPr>
          <w:p>
            <w:pPr>
              <w:spacing w:after="40"/>
            </w:pPr>
            <w:r/>
            <w:r>
              <w:rPr>
                <w:rFonts w:ascii="Times New Roman" w:hAnsi="Times New Roman"/>
                <w:b w:val="0"/>
                <w:i w:val="0"/>
                <w:sz w:val="22"/>
              </w:rPr>
              <w:t>Sale of a theft-flagged vehicle via DMT</w:t>
            </w:r>
          </w:p>
        </w:tc>
        <w:tc>
          <w:tcPr>
            <w:tcW w:type="dxa" w:w="2640"/>
          </w:tcPr>
          <w:p>
            <w:pPr>
              <w:spacing w:after="40"/>
            </w:pPr>
            <w:r/>
            <w:r>
              <w:rPr>
                <w:rFonts w:ascii="Times New Roman" w:hAnsi="Times New Roman"/>
                <w:b w:val="0"/>
                <w:i w:val="0"/>
                <w:sz w:val="22"/>
              </w:rPr>
              <w:t>Algorithm 2 blocks the transfer at commit time</w:t>
            </w:r>
          </w:p>
        </w:tc>
        <w:tc>
          <w:tcPr>
            <w:tcW w:type="dxa" w:w="2640"/>
          </w:tcPr>
          <w:p>
            <w:pPr>
              <w:spacing w:after="40"/>
            </w:pPr>
            <w:r/>
            <w:r>
              <w:rPr>
                <w:rFonts w:ascii="Times New Roman" w:hAnsi="Times New Roman"/>
                <w:b w:val="0"/>
                <w:i w:val="0"/>
                <w:sz w:val="22"/>
              </w:rPr>
              <w:t>Manual paper police-complaint check</w:t>
            </w:r>
          </w:p>
        </w:tc>
      </w:tr>
      <w:tr>
        <w:tc>
          <w:tcPr>
            <w:tcW w:type="dxa" w:w="2640"/>
          </w:tcPr>
          <w:p>
            <w:pPr>
              <w:spacing w:after="40"/>
            </w:pPr>
            <w:r/>
            <w:r>
              <w:rPr>
                <w:rFonts w:ascii="Times New Roman" w:hAnsi="Times New Roman"/>
                <w:b w:val="0"/>
                <w:i w:val="0"/>
                <w:sz w:val="22"/>
              </w:rPr>
              <w:t>Insider tampering with registrations (the COPA mechanism)</w:t>
            </w:r>
          </w:p>
        </w:tc>
        <w:tc>
          <w:tcPr>
            <w:tcW w:type="dxa" w:w="2640"/>
          </w:tcPr>
          <w:p>
            <w:pPr>
              <w:spacing w:after="40"/>
            </w:pPr>
            <w:r/>
            <w:r>
              <w:rPr>
                <w:rFonts w:ascii="Times New Roman" w:hAnsi="Times New Roman"/>
                <w:b w:val="0"/>
                <w:i w:val="0"/>
                <w:sz w:val="22"/>
              </w:rPr>
              <w:t>Silent editing structurally impossible; every write MSP-signed and permanently attributable</w:t>
            </w:r>
          </w:p>
        </w:tc>
        <w:tc>
          <w:tcPr>
            <w:tcW w:type="dxa" w:w="2640"/>
          </w:tcPr>
          <w:p>
            <w:pPr>
              <w:spacing w:after="40"/>
            </w:pPr>
            <w:r/>
            <w:r>
              <w:rPr>
                <w:rFonts w:ascii="Times New Roman" w:hAnsi="Times New Roman"/>
                <w:b w:val="0"/>
                <w:i w:val="0"/>
                <w:sz w:val="22"/>
              </w:rPr>
              <w:t>Mutable DMT database; Rs. 1.2 bn documented loss</w:t>
            </w:r>
          </w:p>
        </w:tc>
      </w:tr>
      <w:tr>
        <w:tc>
          <w:tcPr>
            <w:tcW w:type="dxa" w:w="2640"/>
          </w:tcPr>
          <w:p>
            <w:pPr>
              <w:spacing w:after="40"/>
            </w:pPr>
            <w:r/>
            <w:r>
              <w:rPr>
                <w:rFonts w:ascii="Times New Roman" w:hAnsi="Times New Roman"/>
                <w:b w:val="0"/>
                <w:i w:val="0"/>
                <w:sz w:val="22"/>
              </w:rPr>
              <w:t>Ghost insurance claims</w:t>
            </w:r>
          </w:p>
        </w:tc>
        <w:tc>
          <w:tcPr>
            <w:tcW w:type="dxa" w:w="2640"/>
          </w:tcPr>
          <w:p>
            <w:pPr>
              <w:spacing w:after="40"/>
            </w:pPr>
            <w:r/>
            <w:r>
              <w:rPr>
                <w:rFonts w:ascii="Times New Roman" w:hAnsi="Times New Roman"/>
                <w:b w:val="0"/>
                <w:i w:val="0"/>
                <w:sz w:val="22"/>
              </w:rPr>
              <w:t>Two-tier Algorithm 5(a): no police report and no assessor attestation raises an alert</w:t>
            </w:r>
          </w:p>
        </w:tc>
        <w:tc>
          <w:tcPr>
            <w:tcW w:type="dxa" w:w="2640"/>
          </w:tcPr>
          <w:p>
            <w:pPr>
              <w:spacing w:after="40"/>
            </w:pPr>
            <w:r/>
            <w:r>
              <w:rPr>
                <w:rFonts w:ascii="Times New Roman" w:hAnsi="Times New Roman"/>
                <w:b w:val="0"/>
                <w:i w:val="0"/>
                <w:sz w:val="22"/>
              </w:rPr>
              <w:t>Manual, bilateral police-extract verification</w:t>
            </w:r>
          </w:p>
        </w:tc>
      </w:tr>
      <w:tr>
        <w:tc>
          <w:tcPr>
            <w:tcW w:type="dxa" w:w="2640"/>
          </w:tcPr>
          <w:p>
            <w:pPr>
              <w:spacing w:after="40"/>
            </w:pPr>
            <w:r/>
            <w:r>
              <w:rPr>
                <w:rFonts w:ascii="Times New Roman" w:hAnsi="Times New Roman"/>
                <w:b w:val="0"/>
                <w:i w:val="0"/>
                <w:sz w:val="22"/>
              </w:rPr>
              <w:t>Cross-insurer duplicate claims</w:t>
            </w:r>
          </w:p>
        </w:tc>
        <w:tc>
          <w:tcPr>
            <w:tcW w:type="dxa" w:w="2640"/>
          </w:tcPr>
          <w:p>
            <w:pPr>
              <w:spacing w:after="40"/>
            </w:pPr>
            <w:r/>
            <w:r>
              <w:rPr>
                <w:rFonts w:ascii="Times New Roman" w:hAnsi="Times New Roman"/>
                <w:b w:val="0"/>
                <w:i w:val="0"/>
                <w:sz w:val="22"/>
              </w:rPr>
              <w:t>Algorithm 5(c) on shared anchors; same-vehicle window warning otherwise</w:t>
            </w:r>
          </w:p>
        </w:tc>
        <w:tc>
          <w:tcPr>
            <w:tcW w:type="dxa" w:w="2640"/>
          </w:tcPr>
          <w:p>
            <w:pPr>
              <w:spacing w:after="40"/>
            </w:pPr>
            <w:r/>
            <w:r>
              <w:rPr>
                <w:rFonts w:ascii="Times New Roman" w:hAnsi="Times New Roman"/>
                <w:b w:val="0"/>
                <w:i w:val="0"/>
                <w:sz w:val="22"/>
              </w:rPr>
              <w:t>Insurers share no claims data</w:t>
            </w:r>
          </w:p>
        </w:tc>
      </w:tr>
      <w:tr>
        <w:tc>
          <w:tcPr>
            <w:tcW w:type="dxa" w:w="2640"/>
          </w:tcPr>
          <w:p>
            <w:pPr>
              <w:spacing w:after="40"/>
            </w:pPr>
            <w:r/>
            <w:r>
              <w:rPr>
                <w:rFonts w:ascii="Times New Roman" w:hAnsi="Times New Roman"/>
                <w:b w:val="0"/>
                <w:i w:val="0"/>
                <w:sz w:val="22"/>
              </w:rPr>
              <w:t>Double-selling on a duplicate CR</w:t>
            </w:r>
          </w:p>
        </w:tc>
        <w:tc>
          <w:tcPr>
            <w:tcW w:type="dxa" w:w="2640"/>
          </w:tcPr>
          <w:p>
            <w:pPr>
              <w:spacing w:after="40"/>
            </w:pPr>
            <w:r/>
            <w:r>
              <w:rPr>
                <w:rFonts w:ascii="Times New Roman" w:hAnsi="Times New Roman"/>
                <w:b w:val="0"/>
                <w:i w:val="0"/>
                <w:sz w:val="22"/>
              </w:rPr>
              <w:t>Second transfer against the on-chain identity aborts</w:t>
            </w:r>
          </w:p>
        </w:tc>
        <w:tc>
          <w:tcPr>
            <w:tcW w:type="dxa" w:w="2640"/>
          </w:tcPr>
          <w:p>
            <w:pPr>
              <w:spacing w:after="40"/>
            </w:pPr>
            <w:r/>
            <w:r>
              <w:rPr>
                <w:rFonts w:ascii="Times New Roman" w:hAnsi="Times New Roman"/>
                <w:b w:val="0"/>
                <w:i w:val="0"/>
                <w:sz w:val="22"/>
              </w:rPr>
              <w:t>Paper CR is authoritative; duplicates succeed</w:t>
            </w:r>
          </w:p>
        </w:tc>
      </w:tr>
      <w:tr>
        <w:tc>
          <w:tcPr>
            <w:tcW w:type="dxa" w:w="2640"/>
          </w:tcPr>
          <w:p>
            <w:pPr>
              <w:spacing w:after="40"/>
            </w:pPr>
            <w:r/>
            <w:r>
              <w:rPr>
                <w:rFonts w:ascii="Times New Roman" w:hAnsi="Times New Roman"/>
                <w:b w:val="0"/>
                <w:i w:val="0"/>
                <w:sz w:val="22"/>
              </w:rPr>
              <w:t>Concealed accident / write-off history</w:t>
            </w:r>
          </w:p>
        </w:tc>
        <w:tc>
          <w:tcPr>
            <w:tcW w:type="dxa" w:w="2640"/>
          </w:tcPr>
          <w:p>
            <w:pPr>
              <w:spacing w:after="40"/>
            </w:pPr>
            <w:r/>
            <w:r>
              <w:rPr>
                <w:rFonts w:ascii="Times New Roman" w:hAnsi="Times New Roman"/>
                <w:b w:val="0"/>
                <w:i w:val="0"/>
                <w:sz w:val="22"/>
              </w:rPr>
              <w:t>Reports, claims and salvage brands permanent and buyer-visible</w:t>
            </w:r>
          </w:p>
        </w:tc>
        <w:tc>
          <w:tcPr>
            <w:tcW w:type="dxa" w:w="2640"/>
          </w:tcPr>
          <w:p>
            <w:pPr>
              <w:spacing w:after="40"/>
            </w:pPr>
            <w:r/>
            <w:r>
              <w:rPr>
                <w:rFonts w:ascii="Times New Roman" w:hAnsi="Times New Roman"/>
                <w:b w:val="0"/>
                <w:i w:val="0"/>
                <w:sz w:val="22"/>
              </w:rPr>
              <w:t>Concealment is the default</w:t>
            </w:r>
          </w:p>
        </w:tc>
      </w:tr>
    </w:tbl>
    <w:p/>
    <w:p>
      <w:pPr>
        <w:jc w:val="both"/>
      </w:pPr>
      <w:r>
        <w:rPr>
          <w:rFonts w:ascii="Times New Roman" w:hAnsi="Times New Roman"/>
          <w:b w:val="0"/>
          <w:i w:val="0"/>
          <w:sz w:val="24"/>
        </w:rPr>
        <w:t>Scored against the same 48 subtypes, the current Sri Lankan process addresses essentially none (the mutable DMT record being itself the documented vulnerability), the US NMVTIS production system addresses three families (theft, total-loss, odometer, over fully identified owners), and Belgium's Car-Pass addresses one (odometer). The proposed design is the broadest scorer on its own adversarially constructed list while being the only one of the four that keeps owner identities pseudonymous — which frames the residual gaps correctly: of the 23 undetectable subtypes, fourteen produce no data any registry could evaluate, six are genuine records with false content, one is calibrated to remain inside plausible bounds, and two are undetectable precisely because of the privacy property whose cost this thesis measures. The value claim is therefore the movement from the status quo — a mileage history, a blocked stolen transfer, an attributable registry, cross-insurer visibility, and unconcealable accident history, each a first for Sri Lanka — delivered under pseudonymity, with the detection cost of that pseudonymity quantified in Chapter 6.</w:t>
      </w:r>
    </w:p>
    <w:p>
      <w:pPr>
        <w:pStyle w:val="Heading3"/>
      </w:pPr>
      <w:r>
        <w:t>4.11.2 Design refinements carried forward</w:t>
      </w:r>
    </w:p>
    <w:p>
      <w:pPr>
        <w:jc w:val="both"/>
      </w:pPr>
      <w:r>
        <w:rPr>
          <w:rFonts w:ascii="Times New Roman" w:hAnsi="Times New Roman"/>
          <w:b w:val="0"/>
          <w:i w:val="0"/>
          <w:sz w:val="24"/>
        </w:rPr>
        <w:t xml:space="preserve">The audit also surfaced design refinements that are carried into the implementation phase. The most consequential is a </w:t>
      </w:r>
      <w:r>
        <w:rPr>
          <w:rFonts w:ascii="Times New Roman" w:hAnsi="Times New Roman"/>
          <w:b/>
          <w:i w:val="0"/>
          <w:sz w:val="24"/>
        </w:rPr>
        <w:t>deterministic identity index</w:t>
      </w:r>
      <w:r>
        <w:rPr>
          <w:rFonts w:ascii="Times New Roman" w:hAnsi="Times New Roman"/>
          <w:b w:val="0"/>
          <w:i w:val="0"/>
          <w:sz w:val="24"/>
        </w:rPr>
        <w:t xml:space="preserve">: the per-vehicle </w:t>
      </w:r>
      <w:r>
        <w:rPr>
          <w:rFonts w:ascii="Times New Roman" w:hAnsi="Times New Roman"/>
          <w:b w:val="0"/>
          <w:i/>
          <w:sz w:val="24"/>
        </w:rPr>
        <w:t>salted</w:t>
      </w:r>
      <w:r>
        <w:rPr>
          <w:rFonts w:ascii="Times New Roman" w:hAnsi="Times New Roman"/>
          <w:b w:val="0"/>
          <w:i w:val="0"/>
          <w:sz w:val="24"/>
        </w:rPr>
        <w:t xml:space="preserve"> vehicleHash cannot support uniqueness checks or cross-organisation matching (a fresh salt yields a different hash for the same chassis), so the design adds keyed deterministic commitments — idx_chassis = HMAC(k_c, chassis number) and idx_engine = HMAC(k_c, make + engine serial), with k_c held by the writing members — as the matching key for all duplicate-registration, retired-identity, and Customs-prerequisite rules, at a stated privacy cost (key custodians can dictionary-attack identifiers). Further refinements include the two-tier evidence revision of Algorithm 5 (§4.5); nine candidate rule additions (Customs-or-assembler prerequisite registration, engine re-attestation, tiered engine amendment, duplicate-identity rejection, retired-identity alerts, write-off transfer gating, pre-purchase disclosure via a consortium query portal, an encumbrance flag, and a clearance-to-transfer window alert); a hard-cutoff genesis-migration design for the ~8.5 million pre-system vehicles (legacy records are labelled, closed to post-cutoff insertion, and upgradeable only against Customs archives); and an engine provenance-tier scheme (Customs-verified / donor-linked / declared-only) that avoids any attempt at parts-supply-chain tracking. Three Sri-Lankan workflow realities materially bound the rules and are recorded as evaluation constraints: the emission-test touchpoint exists only from a vehicle's second year and excludes electric, hybrid, LPG, and pre-1976 vehicles; private sales complete on the MTA-6/MTA-8 forms days or weeks before the DMT records the transfer, so buyer protection must operate at pre-purchase query time; and Fabric transaction timestamps are client-set, so before/after fraud logic must rely on block commit order. These constraints will be reflected in the synthetic evaluation dataset and in the false-positive-rate reporting of Chapter 6.</w:t>
      </w:r>
    </w:p>
    <w:p>
      <w:r>
        <w:br w:type="page"/>
      </w:r>
    </w:p>
    <w:p>
      <w:pPr>
        <w:pStyle w:val="Heading1"/>
      </w:pPr>
      <w:r>
        <w:t>Chapter 05: Implementation (In Progress)</w:t>
      </w:r>
    </w:p>
    <w:p>
      <w:pPr>
        <w:jc w:val="both"/>
      </w:pPr>
      <w:r>
        <w:rPr>
          <w:rFonts w:ascii="Times New Roman" w:hAnsi="Times New Roman"/>
          <w:b w:val="0"/>
          <w:i w:val="0"/>
          <w:sz w:val="24"/>
        </w:rPr>
        <w:t>Implementation of the Hyperledger Fabric prototype is underway. The work completed and the work remaining in this phase are summarised below.</w:t>
      </w:r>
    </w:p>
    <w:p>
      <w:pPr>
        <w:pStyle w:val="Heading2"/>
      </w:pPr>
      <w:r>
        <w:t>Completed so far</w:t>
      </w:r>
    </w:p>
    <w:p>
      <w:pPr>
        <w:pStyle w:val="ListBullet"/>
      </w:pPr>
      <w:r>
        <w:rPr>
          <w:rFonts w:ascii="Times New Roman" w:hAnsi="Times New Roman"/>
          <w:b w:val="0"/>
          <w:i w:val="0"/>
          <w:sz w:val="24"/>
        </w:rPr>
        <w:t>Development environment configured (Fabric test network, peers, orderer, and the chaincode toolchain).</w:t>
      </w:r>
    </w:p>
    <w:p>
      <w:pPr>
        <w:pStyle w:val="ListBullet"/>
      </w:pPr>
      <w:r>
        <w:rPr>
          <w:rFonts w:ascii="Times New Roman" w:hAnsi="Times New Roman"/>
          <w:b w:val="0"/>
          <w:i w:val="0"/>
          <w:sz w:val="24"/>
        </w:rPr>
        <w:t>Membership and organisation structure defined for the consortium members (DMT, Police, insurers, emission centres, Customs).</w:t>
      </w:r>
    </w:p>
    <w:p>
      <w:pPr>
        <w:pStyle w:val="ListBullet"/>
      </w:pPr>
      <w:r>
        <w:rPr>
          <w:rFonts w:ascii="Times New Roman" w:hAnsi="Times New Roman"/>
          <w:b w:val="0"/>
          <w:i w:val="0"/>
          <w:sz w:val="24"/>
        </w:rPr>
        <w:t>Initial chaincode drafted for vehicle registration and pseudonym registration.</w:t>
      </w:r>
    </w:p>
    <w:p>
      <w:pPr>
        <w:pStyle w:val="ListBullet"/>
      </w:pPr>
      <w:r>
        <w:rPr>
          <w:rFonts w:ascii="Times New Roman" w:hAnsi="Times New Roman"/>
          <w:b w:val="0"/>
          <w:i w:val="0"/>
          <w:sz w:val="24"/>
        </w:rPr>
        <w:t>Role-based access control scaffolding using the Membership Service Provider (MSP).</w:t>
      </w:r>
    </w:p>
    <w:p>
      <w:pPr>
        <w:pStyle w:val="ListBullet"/>
      </w:pPr>
      <w:r>
        <w:rPr>
          <w:rFonts w:ascii="Times New Roman" w:hAnsi="Times New Roman"/>
          <w:b w:val="0"/>
          <w:i w:val="0"/>
          <w:sz w:val="24"/>
        </w:rPr>
        <w:t>Off-chain PostgreSQL schema drafted for PII and salt storage.</w:t>
      </w:r>
    </w:p>
    <w:p>
      <w:pPr>
        <w:pStyle w:val="Heading2"/>
      </w:pPr>
      <w:r>
        <w:t>In progress / remaining</w:t>
      </w:r>
    </w:p>
    <w:p>
      <w:pPr>
        <w:pStyle w:val="ListBullet"/>
      </w:pPr>
      <w:r>
        <w:rPr>
          <w:rFonts w:ascii="Times New Roman" w:hAnsi="Times New Roman"/>
          <w:b w:val="0"/>
          <w:i w:val="0"/>
          <w:sz w:val="24"/>
        </w:rPr>
        <w:t>Ownership-transfer and lifecycle-event chaincode.</w:t>
      </w:r>
    </w:p>
    <w:p>
      <w:pPr>
        <w:pStyle w:val="ListBullet"/>
      </w:pPr>
      <w:r>
        <w:rPr>
          <w:rFonts w:ascii="Times New Roman" w:hAnsi="Times New Roman"/>
          <w:b w:val="0"/>
          <w:i w:val="0"/>
          <w:sz w:val="24"/>
        </w:rPr>
        <w:t>Conditional identity-reveal (dual-signature) protocol.</w:t>
      </w:r>
    </w:p>
    <w:p>
      <w:pPr>
        <w:pStyle w:val="ListBullet"/>
      </w:pPr>
      <w:r>
        <w:rPr>
          <w:rFonts w:ascii="Times New Roman" w:hAnsi="Times New Roman"/>
          <w:b w:val="0"/>
          <w:i w:val="0"/>
          <w:sz w:val="24"/>
        </w:rPr>
        <w:t>Fraud-detection algorithms (odometer, accident–insurance, theft) as chaincode/services.</w:t>
      </w:r>
    </w:p>
    <w:p>
      <w:pPr>
        <w:pStyle w:val="ListBullet"/>
      </w:pPr>
      <w:r>
        <w:rPr>
          <w:rFonts w:ascii="Times New Roman" w:hAnsi="Times New Roman"/>
          <w:b w:val="0"/>
          <w:i w:val="0"/>
          <w:sz w:val="24"/>
        </w:rPr>
        <w:t>Next.js role-specific front-end views.</w:t>
      </w:r>
    </w:p>
    <w:p>
      <w:pPr>
        <w:pStyle w:val="ListBullet"/>
      </w:pPr>
      <w:r>
        <w:rPr>
          <w:rFonts w:ascii="Times New Roman" w:hAnsi="Times New Roman"/>
          <w:b w:val="0"/>
          <w:i w:val="0"/>
          <w:sz w:val="24"/>
        </w:rPr>
        <w:t>Integration of on-chain hash anchoring with the off-chain database.</w:t>
      </w:r>
    </w:p>
    <w:p>
      <w:r>
        <w:br w:type="page"/>
      </w:r>
    </w:p>
    <w:p>
      <w:pPr>
        <w:pStyle w:val="Heading1"/>
      </w:pPr>
      <w:r>
        <w:t>Chapter 06: Evaluation Plan</w:t>
      </w:r>
    </w:p>
    <w:p>
      <w:pPr>
        <w:jc w:val="both"/>
      </w:pPr>
      <w:r>
        <w:rPr>
          <w:rFonts w:ascii="Times New Roman" w:hAnsi="Times New Roman"/>
          <w:b w:val="0"/>
          <w:i w:val="0"/>
          <w:sz w:val="24"/>
        </w:rPr>
        <w:t>Evaluation has not yet started; it will be carried out once the prototype is functional. The planned evaluation, with its targets, is shown below.</w:t>
      </w:r>
    </w:p>
    <w:tbl>
      <w:tblPr>
        <w:tblStyle w:val="TableGrid"/>
        <w:tblW w:type="auto" w:w="0"/>
        <w:jc w:val="center"/>
        <w:tblLook w:firstColumn="1" w:firstRow="1" w:lastColumn="0" w:lastRow="0" w:noHBand="0" w:noVBand="1" w:val="04A0"/>
      </w:tblPr>
      <w:tblGrid>
        <w:gridCol w:w="2640"/>
        <w:gridCol w:w="2640"/>
        <w:gridCol w:w="2640"/>
      </w:tblGrid>
      <w:tr>
        <w:tc>
          <w:tcPr>
            <w:tcW w:type="dxa" w:w="2640"/>
            <w:shd w:val="clear" w:fill="D9E2F3"/>
          </w:tcPr>
          <w:p>
            <w:pPr>
              <w:spacing w:after="40"/>
            </w:pPr>
            <w:r/>
            <w:r>
              <w:rPr>
                <w:rFonts w:ascii="Times New Roman" w:hAnsi="Times New Roman"/>
                <w:b/>
                <w:i w:val="0"/>
                <w:sz w:val="22"/>
              </w:rPr>
              <w:t>Category</w:t>
            </w:r>
          </w:p>
        </w:tc>
        <w:tc>
          <w:tcPr>
            <w:tcW w:type="dxa" w:w="2640"/>
            <w:shd w:val="clear" w:fill="D9E2F3"/>
          </w:tcPr>
          <w:p>
            <w:pPr>
              <w:spacing w:after="40"/>
            </w:pPr>
            <w:r/>
            <w:r>
              <w:rPr>
                <w:rFonts w:ascii="Times New Roman" w:hAnsi="Times New Roman"/>
                <w:b/>
                <w:i w:val="0"/>
                <w:sz w:val="22"/>
              </w:rPr>
              <w:t>Method</w:t>
            </w:r>
          </w:p>
        </w:tc>
        <w:tc>
          <w:tcPr>
            <w:tcW w:type="dxa" w:w="2640"/>
            <w:shd w:val="clear" w:fill="D9E2F3"/>
          </w:tcPr>
          <w:p>
            <w:pPr>
              <w:spacing w:after="40"/>
            </w:pPr>
            <w:r/>
            <w:r>
              <w:rPr>
                <w:rFonts w:ascii="Times New Roman" w:hAnsi="Times New Roman"/>
                <w:b/>
                <w:i w:val="0"/>
                <w:sz w:val="22"/>
              </w:rPr>
              <w:t>Target / Reported measure</w:t>
            </w:r>
          </w:p>
        </w:tc>
      </w:tr>
      <w:tr>
        <w:tc>
          <w:tcPr>
            <w:tcW w:type="dxa" w:w="2640"/>
          </w:tcPr>
          <w:p>
            <w:pPr>
              <w:spacing w:after="40"/>
            </w:pPr>
            <w:r/>
            <w:r>
              <w:rPr>
                <w:rFonts w:ascii="Times New Roman" w:hAnsi="Times New Roman"/>
                <w:b w:val="0"/>
                <w:i w:val="0"/>
                <w:sz w:val="22"/>
              </w:rPr>
              <w:t>Privacy</w:t>
            </w:r>
          </w:p>
        </w:tc>
        <w:tc>
          <w:tcPr>
            <w:tcW w:type="dxa" w:w="2640"/>
          </w:tcPr>
          <w:p>
            <w:pPr>
              <w:spacing w:after="40"/>
            </w:pPr>
            <w:r/>
            <w:r>
              <w:rPr>
                <w:rFonts w:ascii="Times New Roman" w:hAnsi="Times New Roman"/>
                <w:b w:val="0"/>
                <w:i w:val="0"/>
                <w:sz w:val="22"/>
              </w:rPr>
              <w:t>Simulated linkability / adversary attacks (on-chain observer, honest-but-curious node, compromised off-chain store)</w:t>
            </w:r>
          </w:p>
        </w:tc>
        <w:tc>
          <w:tcPr>
            <w:tcW w:type="dxa" w:w="2640"/>
          </w:tcPr>
          <w:p>
            <w:pPr>
              <w:spacing w:after="40"/>
            </w:pPr>
            <w:r/>
            <w:r>
              <w:rPr>
                <w:rFonts w:ascii="Times New Roman" w:hAnsi="Times New Roman"/>
                <w:b w:val="0"/>
                <w:i w:val="0"/>
                <w:sz w:val="22"/>
              </w:rPr>
              <w:t>Low re-identification advantage; k-anonymity-style linking bound; auditable multi-party reveal trail</w:t>
            </w:r>
          </w:p>
        </w:tc>
      </w:tr>
      <w:tr>
        <w:tc>
          <w:tcPr>
            <w:tcW w:type="dxa" w:w="2640"/>
          </w:tcPr>
          <w:p>
            <w:pPr>
              <w:spacing w:after="40"/>
            </w:pPr>
            <w:r/>
            <w:r>
              <w:rPr>
                <w:rFonts w:ascii="Times New Roman" w:hAnsi="Times New Roman"/>
                <w:b w:val="0"/>
                <w:i w:val="0"/>
                <w:sz w:val="22"/>
              </w:rPr>
              <w:t>Fraud detection (correctness)</w:t>
            </w:r>
          </w:p>
        </w:tc>
        <w:tc>
          <w:tcPr>
            <w:tcW w:type="dxa" w:w="2640"/>
          </w:tcPr>
          <w:p>
            <w:pPr>
              <w:spacing w:after="40"/>
            </w:pPr>
            <w:r/>
            <w:r>
              <w:rPr>
                <w:rFonts w:ascii="Times New Roman" w:hAnsi="Times New Roman"/>
                <w:b w:val="0"/>
                <w:i w:val="0"/>
                <w:sz w:val="22"/>
              </w:rPr>
              <w:t>Synthetic dataset (~1,020 labelled cases), reported as a correctness check of the rules</w:t>
            </w:r>
          </w:p>
        </w:tc>
        <w:tc>
          <w:tcPr>
            <w:tcW w:type="dxa" w:w="2640"/>
          </w:tcPr>
          <w:p>
            <w:pPr>
              <w:spacing w:after="40"/>
            </w:pPr>
            <w:r/>
            <w:r>
              <w:rPr>
                <w:rFonts w:ascii="Times New Roman" w:hAnsi="Times New Roman"/>
                <w:b w:val="0"/>
                <w:i w:val="0"/>
                <w:sz w:val="22"/>
              </w:rPr>
              <w:t>Precision/PPV, recall, F-beta, AUC-PR at a realistic (&lt; 1%) base rate; expected false positives per million events</w:t>
            </w:r>
          </w:p>
        </w:tc>
      </w:tr>
      <w:tr>
        <w:tc>
          <w:tcPr>
            <w:tcW w:type="dxa" w:w="2640"/>
          </w:tcPr>
          <w:p>
            <w:pPr>
              <w:spacing w:after="40"/>
            </w:pPr>
            <w:r/>
            <w:r>
              <w:rPr>
                <w:rFonts w:ascii="Times New Roman" w:hAnsi="Times New Roman"/>
                <w:b w:val="0"/>
                <w:i w:val="0"/>
                <w:sz w:val="22"/>
              </w:rPr>
              <w:t>Privacy-vs-detection trade-off</w:t>
            </w:r>
          </w:p>
        </w:tc>
        <w:tc>
          <w:tcPr>
            <w:tcW w:type="dxa" w:w="2640"/>
          </w:tcPr>
          <w:p>
            <w:pPr>
              <w:spacing w:after="40"/>
            </w:pPr>
            <w:r/>
            <w:r>
              <w:rPr>
                <w:rFonts w:ascii="Times New Roman" w:hAnsi="Times New Roman"/>
                <w:b w:val="0"/>
                <w:i w:val="0"/>
                <w:sz w:val="22"/>
              </w:rPr>
              <w:t>Vary detection sensitivity against linkability conceded</w:t>
            </w:r>
          </w:p>
        </w:tc>
        <w:tc>
          <w:tcPr>
            <w:tcW w:type="dxa" w:w="2640"/>
          </w:tcPr>
          <w:p>
            <w:pPr>
              <w:spacing w:after="40"/>
            </w:pPr>
            <w:r/>
            <w:r>
              <w:rPr>
                <w:rFonts w:ascii="Times New Roman" w:hAnsi="Times New Roman"/>
                <w:b w:val="0"/>
                <w:i w:val="0"/>
                <w:sz w:val="22"/>
              </w:rPr>
              <w:t>Trade-off curve and the point at which detection forces de-pseudonymisation (headline finding)</w:t>
            </w:r>
          </w:p>
        </w:tc>
      </w:tr>
      <w:tr>
        <w:tc>
          <w:tcPr>
            <w:tcW w:type="dxa" w:w="2640"/>
          </w:tcPr>
          <w:p>
            <w:pPr>
              <w:spacing w:after="40"/>
            </w:pPr>
            <w:r/>
            <w:r>
              <w:rPr>
                <w:rFonts w:ascii="Times New Roman" w:hAnsi="Times New Roman"/>
                <w:b w:val="0"/>
                <w:i w:val="0"/>
                <w:sz w:val="22"/>
              </w:rPr>
              <w:t>Reveal surface (policy-coupled reveal)</w:t>
            </w:r>
          </w:p>
        </w:tc>
        <w:tc>
          <w:tcPr>
            <w:tcW w:type="dxa" w:w="2640"/>
          </w:tcPr>
          <w:p>
            <w:pPr>
              <w:spacing w:after="40"/>
            </w:pPr>
            <w:r/>
            <w:r>
              <w:rPr>
                <w:rFonts w:ascii="Times New Roman" w:hAnsi="Times New Roman"/>
                <w:b w:val="0"/>
                <w:i w:val="0"/>
                <w:sz w:val="22"/>
              </w:rPr>
              <w:t>Measure the fraction of pseudonyms for which a valid, machine-checkable reveal condition currently exists (§4.5, Algorithm 3, step 3)</w:t>
            </w:r>
          </w:p>
        </w:tc>
        <w:tc>
          <w:tcPr>
            <w:tcW w:type="dxa" w:w="2640"/>
          </w:tcPr>
          <w:p>
            <w:pPr>
              <w:spacing w:after="40"/>
            </w:pPr>
            <w:r/>
            <w:r>
              <w:rPr>
                <w:rFonts w:ascii="Times New Roman" w:hAnsi="Times New Roman"/>
                <w:b w:val="0"/>
                <w:i w:val="0"/>
                <w:sz w:val="22"/>
              </w:rPr>
              <w:t>Reveal-surface metric contrasted against the 100% baseline of schemes without a policy-coupled trigger</w:t>
            </w:r>
          </w:p>
        </w:tc>
      </w:tr>
      <w:tr>
        <w:tc>
          <w:tcPr>
            <w:tcW w:type="dxa" w:w="2640"/>
          </w:tcPr>
          <w:p>
            <w:pPr>
              <w:spacing w:after="40"/>
            </w:pPr>
            <w:r/>
            <w:r>
              <w:rPr>
                <w:rFonts w:ascii="Times New Roman" w:hAnsi="Times New Roman"/>
                <w:b w:val="0"/>
                <w:i w:val="0"/>
                <w:sz w:val="22"/>
              </w:rPr>
              <w:t>Performance</w:t>
            </w:r>
          </w:p>
        </w:tc>
        <w:tc>
          <w:tcPr>
            <w:tcW w:type="dxa" w:w="2640"/>
          </w:tcPr>
          <w:p>
            <w:pPr>
              <w:spacing w:after="40"/>
            </w:pPr>
            <w:r/>
            <w:r>
              <w:rPr>
                <w:rFonts w:ascii="Times New Roman" w:hAnsi="Times New Roman"/>
                <w:b w:val="0"/>
                <w:i w:val="0"/>
                <w:sz w:val="22"/>
              </w:rPr>
              <w:t>Hyperledger Caliper load testing under a defined workload</w:t>
            </w:r>
          </w:p>
        </w:tc>
        <w:tc>
          <w:tcPr>
            <w:tcW w:type="dxa" w:w="2640"/>
          </w:tcPr>
          <w:p>
            <w:pPr>
              <w:spacing w:after="40"/>
            </w:pPr>
            <w:r/>
            <w:r>
              <w:rPr>
                <w:rFonts w:ascii="Times New Roman" w:hAnsi="Times New Roman"/>
                <w:b w:val="0"/>
                <w:i w:val="0"/>
                <w:sz w:val="22"/>
              </w:rPr>
              <w:t>p50/p95/p99 latency; sustained throughput (feasibility target &gt; 100 TPS, &lt; 3 s)</w:t>
            </w:r>
          </w:p>
        </w:tc>
      </w:tr>
      <w:tr>
        <w:tc>
          <w:tcPr>
            <w:tcW w:type="dxa" w:w="2640"/>
          </w:tcPr>
          <w:p>
            <w:pPr>
              <w:spacing w:after="40"/>
            </w:pPr>
            <w:r/>
            <w:r>
              <w:rPr>
                <w:rFonts w:ascii="Times New Roman" w:hAnsi="Times New Roman"/>
                <w:b w:val="0"/>
                <w:i w:val="0"/>
                <w:sz w:val="22"/>
              </w:rPr>
              <w:t>PDPA compliance</w:t>
            </w:r>
          </w:p>
        </w:tc>
        <w:tc>
          <w:tcPr>
            <w:tcW w:type="dxa" w:w="2640"/>
          </w:tcPr>
          <w:p>
            <w:pPr>
              <w:spacing w:after="40"/>
            </w:pPr>
            <w:r/>
            <w:r>
              <w:rPr>
                <w:rFonts w:ascii="Times New Roman" w:hAnsi="Times New Roman"/>
                <w:b w:val="0"/>
                <w:i w:val="0"/>
                <w:sz w:val="22"/>
              </w:rPr>
              <w:t>Requirement-by-requirement mapping vs PDPA (2022, as amended by Act No. 22 of 2025), incl. erasure (s.16), rectification (s.15), retention (s.9), and joint-controllership when the mapping key is threshold-split between DMT and Police (see §6.2)</w:t>
            </w:r>
          </w:p>
        </w:tc>
        <w:tc>
          <w:tcPr>
            <w:tcW w:type="dxa" w:w="2640"/>
          </w:tcPr>
          <w:p>
            <w:pPr>
              <w:spacing w:after="40"/>
            </w:pPr>
            <w:r/>
            <w:r>
              <w:rPr>
                <w:rFonts w:ascii="Times New Roman" w:hAnsi="Times New Roman"/>
                <w:b w:val="0"/>
                <w:i w:val="0"/>
                <w:sz w:val="22"/>
              </w:rPr>
              <w:t>Documented compliance and residual-risk analysis</w:t>
            </w:r>
          </w:p>
        </w:tc>
      </w:tr>
    </w:tbl>
    <w:p/>
    <w:p>
      <w:pPr>
        <w:pStyle w:val="Heading2"/>
      </w:pPr>
      <w:r>
        <w:t>6.1 Privacy-versus-detection trade-off — detailed method</w:t>
      </w:r>
    </w:p>
    <w:p>
      <w:pPr>
        <w:jc w:val="both"/>
      </w:pPr>
      <w:r>
        <w:rPr>
          <w:rFonts w:ascii="Times New Roman" w:hAnsi="Times New Roman"/>
          <w:b w:val="0"/>
          <w:i w:val="0"/>
          <w:sz w:val="24"/>
        </w:rPr>
        <w:t>The headline evaluation holds the fraud-detection rule engine and the synthetic dataset fixed, and sweeps a single variable: the granularity at which the owner's pseudonym links their events. Four settings are tested — (1) one pseudonym per owner across every vehicle and event (least private, most linkable); (2) one pseudonym per vehicle, this thesis's actual design; (3) one pseudonym per event within a vehicle; (4) per-event with the vehicle link itself hidden (most private, least linkable). At each setting, two measurements are taken:</w:t>
      </w:r>
    </w:p>
    <w:p>
      <w:pPr>
        <w:pStyle w:val="ListBullet"/>
      </w:pPr>
      <w:r>
        <w:rPr>
          <w:rFonts w:ascii="Times New Roman" w:hAnsi="Times New Roman"/>
          <w:b/>
          <w:i w:val="0"/>
          <w:sz w:val="24"/>
        </w:rPr>
        <w:t>Detection axis, per rule family, not as one aggregate score.</w:t>
      </w:r>
      <w:r>
        <w:rPr>
          <w:rFonts w:ascii="Times New Roman" w:hAnsi="Times New Roman"/>
          <w:b w:val="0"/>
          <w:i w:val="0"/>
          <w:sz w:val="24"/>
        </w:rPr>
        <w:t xml:space="preserve"> Precision, recall,</w:t>
      </w:r>
    </w:p>
    <w:p>
      <w:pPr>
        <w:jc w:val="both"/>
      </w:pPr>
      <w:r>
        <w:rPr>
          <w:rFonts w:ascii="Times New Roman" w:hAnsi="Times New Roman"/>
          <w:b w:val="0"/>
          <w:i w:val="0"/>
          <w:sz w:val="24"/>
        </w:rPr>
        <w:t xml:space="preserve">and F1 are recorded separately for the odometer, theft-transfer, and accident–insurance rule families (Algorithms 2, 4 and 5) against the labelled synthetic dataset, so that </w:t>
      </w:r>
      <w:r>
        <w:rPr>
          <w:rFonts w:ascii="Times New Roman" w:hAnsi="Times New Roman"/>
          <w:b w:val="0"/>
          <w:i/>
          <w:sz w:val="24"/>
        </w:rPr>
        <w:t>which</w:t>
      </w:r>
      <w:r>
        <w:rPr>
          <w:rFonts w:ascii="Times New Roman" w:hAnsi="Times New Roman"/>
          <w:b w:val="0"/>
          <w:i w:val="0"/>
          <w:sz w:val="24"/>
        </w:rPr>
        <w:t xml:space="preserve"> rule fails first as linkage is reduced is visible, rather than only an overall accuracy figure.</w:t>
      </w:r>
    </w:p>
    <w:p>
      <w:pPr>
        <w:pStyle w:val="ListBullet"/>
      </w:pPr>
      <w:r>
        <w:rPr>
          <w:rFonts w:ascii="Times New Roman" w:hAnsi="Times New Roman"/>
          <w:b/>
          <w:i w:val="0"/>
          <w:sz w:val="24"/>
        </w:rPr>
        <w:t>Privacy axis, under two explicit adversary models.</w:t>
      </w:r>
      <w:r>
        <w:rPr>
          <w:rFonts w:ascii="Times New Roman" w:hAnsi="Times New Roman"/>
          <w:b w:val="0"/>
          <w:i w:val="0"/>
          <w:sz w:val="24"/>
        </w:rPr>
        <w:t xml:space="preserve"> (i) An honest-but-curious</w:t>
      </w:r>
    </w:p>
    <w:p>
      <w:pPr>
        <w:jc w:val="both"/>
      </w:pPr>
      <w:r>
        <w:rPr>
          <w:rFonts w:ascii="Times New Roman" w:hAnsi="Times New Roman"/>
          <w:b w:val="0"/>
          <w:i w:val="0"/>
          <w:sz w:val="24"/>
        </w:rPr>
        <w:t>consortium insider with full ledger visibility, and (ii) an external analyst with only a leaked ledger plus public auxiliary data (e.g., vehicle-sale listings that disclose plates or mileage). For each, linkage-attack precision/recall over same-owner event pairs and anonymity-set size per pseudonym are measured.</w:t>
      </w:r>
    </w:p>
    <w:p>
      <w:pPr>
        <w:jc w:val="both"/>
      </w:pPr>
      <w:r>
        <w:rPr>
          <w:rFonts w:ascii="Times New Roman" w:hAnsi="Times New Roman"/>
          <w:b w:val="0"/>
          <w:i w:val="0"/>
          <w:sz w:val="24"/>
        </w:rPr>
        <w:t xml:space="preserve">The resulting curve is checked against the analytical prediction of §4.5 (the minimum-linkability lattice): if the measured breakpoints coincide with the predicted tiers, this supports the step-function characterisation of the trade-off rather than a smooth decline. As a robustness check, the fraud base rate and rule thresholds are varied across a small grid to confirm the breakpoint </w:t>
      </w:r>
      <w:r>
        <w:rPr>
          <w:rFonts w:ascii="Times New Roman" w:hAnsi="Times New Roman"/>
          <w:b w:val="0"/>
          <w:i/>
          <w:sz w:val="24"/>
        </w:rPr>
        <w:t>locations</w:t>
      </w:r>
      <w:r>
        <w:rPr>
          <w:rFonts w:ascii="Times New Roman" w:hAnsi="Times New Roman"/>
          <w:b w:val="0"/>
          <w:i w:val="0"/>
          <w:sz w:val="24"/>
        </w:rPr>
        <w:t xml:space="preserve"> are stable while only the curve heights shift.</w:t>
      </w:r>
    </w:p>
    <w:p>
      <w:pPr>
        <w:pStyle w:val="Heading2"/>
      </w:pPr>
      <w:r>
        <w:t>6.2 PDPA legal-technical mapping — scope for the final report</w:t>
      </w:r>
    </w:p>
    <w:p>
      <w:pPr>
        <w:jc w:val="both"/>
      </w:pPr>
      <w:r>
        <w:rPr>
          <w:rFonts w:ascii="Times New Roman" w:hAnsi="Times New Roman"/>
          <w:b w:val="0"/>
          <w:i w:val="0"/>
          <w:sz w:val="24"/>
        </w:rPr>
        <w:t>The PDPA compliance row above is deepened, for the final thesis, into a section-level mapping of the amended Act (No. 22 of 2025) against the architecture, covering: whether the salted-hash pseudonym constitutes "personal data" under the PDPA definition; the collision between the s.16 right to erasure (which applies only in three enumerated circumstances, not as an absolute right) and the DMT's statutory record-retention duties under the Motor Traffic Act; and — a question not resolved in any located prior work — who bears controller obligations, and whose statutory response clock runs, for a data-subject request when the pseudonym-to-identity mapping key is threshold-split between DMT and Police (cf. Baskaran et al., 2023, for the analogous Malaysian mapping, and EDPB Guidelines 02/2025 for the general consortium-controllership position).</w:t>
      </w:r>
    </w:p>
    <w:p>
      <w:r>
        <w:br w:type="page"/>
      </w:r>
    </w:p>
    <w:p>
      <w:pPr>
        <w:pStyle w:val="Heading1"/>
      </w:pPr>
      <w:r>
        <w:t>Chapter 07: Project Progress and Management</w:t>
      </w:r>
    </w:p>
    <w:p>
      <w:pPr>
        <w:pStyle w:val="Heading2"/>
      </w:pPr>
      <w:r>
        <w:t>Progress against objectives</w:t>
      </w:r>
    </w:p>
    <w:tbl>
      <w:tblPr>
        <w:tblStyle w:val="TableGrid"/>
        <w:tblW w:type="auto" w:w="0"/>
        <w:jc w:val="center"/>
        <w:tblLook w:firstColumn="1" w:firstRow="1" w:lastColumn="0" w:lastRow="0" w:noHBand="0" w:noVBand="1" w:val="04A0"/>
      </w:tblPr>
      <w:tblGrid>
        <w:gridCol w:w="1980"/>
        <w:gridCol w:w="1980"/>
        <w:gridCol w:w="1980"/>
        <w:gridCol w:w="1980"/>
      </w:tblGrid>
      <w:tr>
        <w:tc>
          <w:tcPr>
            <w:tcW w:type="dxa" w:w="1980"/>
            <w:shd w:val="clear" w:fill="D9E2F3"/>
          </w:tcPr>
          <w:p>
            <w:pPr>
              <w:spacing w:after="40"/>
            </w:pPr>
            <w:r/>
            <w:r>
              <w:rPr>
                <w:rFonts w:ascii="Times New Roman" w:hAnsi="Times New Roman"/>
                <w:b/>
                <w:i w:val="0"/>
                <w:sz w:val="22"/>
              </w:rPr>
              <w:t>#</w:t>
            </w:r>
          </w:p>
        </w:tc>
        <w:tc>
          <w:tcPr>
            <w:tcW w:type="dxa" w:w="1980"/>
            <w:shd w:val="clear" w:fill="D9E2F3"/>
          </w:tcPr>
          <w:p>
            <w:pPr>
              <w:spacing w:after="40"/>
            </w:pPr>
            <w:r/>
            <w:r>
              <w:rPr>
                <w:rFonts w:ascii="Times New Roman" w:hAnsi="Times New Roman"/>
                <w:b/>
                <w:i w:val="0"/>
                <w:sz w:val="22"/>
              </w:rPr>
              <w:t>Objective</w:t>
            </w:r>
          </w:p>
        </w:tc>
        <w:tc>
          <w:tcPr>
            <w:tcW w:type="dxa" w:w="1980"/>
            <w:shd w:val="clear" w:fill="D9E2F3"/>
          </w:tcPr>
          <w:p>
            <w:pPr>
              <w:spacing w:after="40"/>
            </w:pPr>
            <w:r/>
            <w:r>
              <w:rPr>
                <w:rFonts w:ascii="Times New Roman" w:hAnsi="Times New Roman"/>
                <w:b/>
                <w:i w:val="0"/>
                <w:sz w:val="22"/>
              </w:rPr>
              <w:t>Phase</w:t>
            </w:r>
          </w:p>
        </w:tc>
        <w:tc>
          <w:tcPr>
            <w:tcW w:type="dxa" w:w="1980"/>
            <w:shd w:val="clear" w:fill="D9E2F3"/>
          </w:tcPr>
          <w:p>
            <w:pPr>
              <w:spacing w:after="40"/>
            </w:pPr>
            <w:r/>
            <w:r>
              <w:rPr>
                <w:rFonts w:ascii="Times New Roman" w:hAnsi="Times New Roman"/>
                <w:b/>
                <w:i w:val="0"/>
                <w:sz w:val="22"/>
              </w:rPr>
              <w:t>Status</w:t>
            </w:r>
          </w:p>
        </w:tc>
      </w:tr>
      <w:tr>
        <w:tc>
          <w:tcPr>
            <w:tcW w:type="dxa" w:w="1980"/>
          </w:tcPr>
          <w:p>
            <w:pPr>
              <w:spacing w:after="40"/>
            </w:pPr>
            <w:r/>
            <w:r>
              <w:rPr>
                <w:rFonts w:ascii="Times New Roman" w:hAnsi="Times New Roman"/>
                <w:b w:val="0"/>
                <w:i w:val="0"/>
                <w:sz w:val="22"/>
              </w:rPr>
              <w:t>SO1</w:t>
            </w:r>
          </w:p>
        </w:tc>
        <w:tc>
          <w:tcPr>
            <w:tcW w:type="dxa" w:w="1980"/>
          </w:tcPr>
          <w:p>
            <w:pPr>
              <w:spacing w:after="40"/>
            </w:pPr>
            <w:r/>
            <w:r>
              <w:rPr>
                <w:rFonts w:ascii="Times New Roman" w:hAnsi="Times New Roman"/>
                <w:b w:val="0"/>
                <w:i w:val="0"/>
                <w:sz w:val="22"/>
              </w:rPr>
              <w:t>Stakeholder analysis of current DMT system</w:t>
            </w:r>
          </w:p>
        </w:tc>
        <w:tc>
          <w:tcPr>
            <w:tcW w:type="dxa" w:w="1980"/>
          </w:tcPr>
          <w:p>
            <w:pPr>
              <w:spacing w:after="40"/>
            </w:pPr>
            <w:r/>
            <w:r>
              <w:rPr>
                <w:rFonts w:ascii="Times New Roman" w:hAnsi="Times New Roman"/>
                <w:b w:val="0"/>
                <w:i w:val="0"/>
                <w:sz w:val="22"/>
              </w:rPr>
              <w:t>Analysis</w:t>
            </w:r>
          </w:p>
        </w:tc>
        <w:tc>
          <w:tcPr>
            <w:tcW w:type="dxa" w:w="1980"/>
          </w:tcPr>
          <w:p>
            <w:pPr>
              <w:spacing w:after="40"/>
            </w:pPr>
            <w:r/>
            <w:r>
              <w:rPr>
                <w:rFonts w:ascii="Times New Roman" w:hAnsi="Times New Roman"/>
                <w:b w:val="0"/>
                <w:i w:val="0"/>
                <w:sz w:val="22"/>
              </w:rPr>
              <w:t>Completed</w:t>
            </w:r>
          </w:p>
        </w:tc>
      </w:tr>
      <w:tr>
        <w:tc>
          <w:tcPr>
            <w:tcW w:type="dxa" w:w="1980"/>
          </w:tcPr>
          <w:p>
            <w:pPr>
              <w:spacing w:after="40"/>
            </w:pPr>
            <w:r/>
            <w:r>
              <w:rPr>
                <w:rFonts w:ascii="Times New Roman" w:hAnsi="Times New Roman"/>
                <w:b w:val="0"/>
                <w:i w:val="0"/>
                <w:sz w:val="22"/>
              </w:rPr>
              <w:t>SO2</w:t>
            </w:r>
          </w:p>
        </w:tc>
        <w:tc>
          <w:tcPr>
            <w:tcW w:type="dxa" w:w="1980"/>
          </w:tcPr>
          <w:p>
            <w:pPr>
              <w:spacing w:after="40"/>
            </w:pPr>
            <w:r/>
            <w:r>
              <w:rPr>
                <w:rFonts w:ascii="Times New Roman" w:hAnsi="Times New Roman"/>
                <w:b w:val="0"/>
                <w:i w:val="0"/>
                <w:sz w:val="22"/>
              </w:rPr>
              <w:t>Conditional pseudonym model</w:t>
            </w:r>
          </w:p>
        </w:tc>
        <w:tc>
          <w:tcPr>
            <w:tcW w:type="dxa" w:w="1980"/>
          </w:tcPr>
          <w:p>
            <w:pPr>
              <w:spacing w:after="40"/>
            </w:pPr>
            <w:r/>
            <w:r>
              <w:rPr>
                <w:rFonts w:ascii="Times New Roman" w:hAnsi="Times New Roman"/>
                <w:b w:val="0"/>
                <w:i w:val="0"/>
                <w:sz w:val="22"/>
              </w:rPr>
              <w:t>Design</w:t>
            </w:r>
          </w:p>
        </w:tc>
        <w:tc>
          <w:tcPr>
            <w:tcW w:type="dxa" w:w="1980"/>
          </w:tcPr>
          <w:p>
            <w:pPr>
              <w:spacing w:after="40"/>
            </w:pPr>
            <w:r/>
            <w:r>
              <w:rPr>
                <w:rFonts w:ascii="Times New Roman" w:hAnsi="Times New Roman"/>
                <w:b w:val="0"/>
                <w:i w:val="0"/>
                <w:sz w:val="22"/>
              </w:rPr>
              <w:t>Completed</w:t>
            </w:r>
          </w:p>
        </w:tc>
      </w:tr>
      <w:tr>
        <w:tc>
          <w:tcPr>
            <w:tcW w:type="dxa" w:w="1980"/>
          </w:tcPr>
          <w:p>
            <w:pPr>
              <w:spacing w:after="40"/>
            </w:pPr>
            <w:r/>
            <w:r>
              <w:rPr>
                <w:rFonts w:ascii="Times New Roman" w:hAnsi="Times New Roman"/>
                <w:b w:val="0"/>
                <w:i w:val="0"/>
                <w:sz w:val="22"/>
              </w:rPr>
              <w:t>SO3</w:t>
            </w:r>
          </w:p>
        </w:tc>
        <w:tc>
          <w:tcPr>
            <w:tcW w:type="dxa" w:w="1980"/>
          </w:tcPr>
          <w:p>
            <w:pPr>
              <w:spacing w:after="40"/>
            </w:pPr>
            <w:r/>
            <w:r>
              <w:rPr>
                <w:rFonts w:ascii="Times New Roman" w:hAnsi="Times New Roman"/>
                <w:b w:val="0"/>
                <w:i w:val="0"/>
                <w:sz w:val="22"/>
              </w:rPr>
              <w:t>Rule-based fraud-detection algorithms</w:t>
            </w:r>
          </w:p>
        </w:tc>
        <w:tc>
          <w:tcPr>
            <w:tcW w:type="dxa" w:w="1980"/>
          </w:tcPr>
          <w:p>
            <w:pPr>
              <w:spacing w:after="40"/>
            </w:pPr>
            <w:r/>
            <w:r>
              <w:rPr>
                <w:rFonts w:ascii="Times New Roman" w:hAnsi="Times New Roman"/>
                <w:b w:val="0"/>
                <w:i w:val="0"/>
                <w:sz w:val="22"/>
              </w:rPr>
              <w:t>Design</w:t>
            </w:r>
          </w:p>
        </w:tc>
        <w:tc>
          <w:tcPr>
            <w:tcW w:type="dxa" w:w="1980"/>
          </w:tcPr>
          <w:p>
            <w:pPr>
              <w:spacing w:after="40"/>
            </w:pPr>
            <w:r/>
            <w:r>
              <w:rPr>
                <w:rFonts w:ascii="Times New Roman" w:hAnsi="Times New Roman"/>
                <w:b w:val="0"/>
                <w:i w:val="0"/>
                <w:sz w:val="22"/>
              </w:rPr>
              <w:t>Completed</w:t>
            </w:r>
          </w:p>
        </w:tc>
      </w:tr>
      <w:tr>
        <w:tc>
          <w:tcPr>
            <w:tcW w:type="dxa" w:w="1980"/>
          </w:tcPr>
          <w:p>
            <w:pPr>
              <w:spacing w:after="40"/>
            </w:pPr>
            <w:r/>
            <w:r>
              <w:rPr>
                <w:rFonts w:ascii="Times New Roman" w:hAnsi="Times New Roman"/>
                <w:b w:val="0"/>
                <w:i w:val="0"/>
                <w:sz w:val="22"/>
              </w:rPr>
              <w:t>SO4</w:t>
            </w:r>
          </w:p>
        </w:tc>
        <w:tc>
          <w:tcPr>
            <w:tcW w:type="dxa" w:w="1980"/>
          </w:tcPr>
          <w:p>
            <w:pPr>
              <w:spacing w:after="40"/>
            </w:pPr>
            <w:r/>
            <w:r>
              <w:rPr>
                <w:rFonts w:ascii="Times New Roman" w:hAnsi="Times New Roman"/>
                <w:b w:val="0"/>
                <w:i w:val="0"/>
                <w:sz w:val="22"/>
              </w:rPr>
              <w:t>Hybrid on-chain/off-chain architecture</w:t>
            </w:r>
          </w:p>
        </w:tc>
        <w:tc>
          <w:tcPr>
            <w:tcW w:type="dxa" w:w="1980"/>
          </w:tcPr>
          <w:p>
            <w:pPr>
              <w:spacing w:after="40"/>
            </w:pPr>
            <w:r/>
            <w:r>
              <w:rPr>
                <w:rFonts w:ascii="Times New Roman" w:hAnsi="Times New Roman"/>
                <w:b w:val="0"/>
                <w:i w:val="0"/>
                <w:sz w:val="22"/>
              </w:rPr>
              <w:t>Design</w:t>
            </w:r>
          </w:p>
        </w:tc>
        <w:tc>
          <w:tcPr>
            <w:tcW w:type="dxa" w:w="1980"/>
          </w:tcPr>
          <w:p>
            <w:pPr>
              <w:spacing w:after="40"/>
            </w:pPr>
            <w:r/>
            <w:r>
              <w:rPr>
                <w:rFonts w:ascii="Times New Roman" w:hAnsi="Times New Roman"/>
                <w:b w:val="0"/>
                <w:i w:val="0"/>
                <w:sz w:val="22"/>
              </w:rPr>
              <w:t>Completed</w:t>
            </w:r>
          </w:p>
        </w:tc>
      </w:tr>
      <w:tr>
        <w:tc>
          <w:tcPr>
            <w:tcW w:type="dxa" w:w="1980"/>
          </w:tcPr>
          <w:p>
            <w:pPr>
              <w:spacing w:after="40"/>
            </w:pPr>
            <w:r/>
            <w:r>
              <w:rPr>
                <w:rFonts w:ascii="Times New Roman" w:hAnsi="Times New Roman"/>
                <w:b w:val="0"/>
                <w:i w:val="0"/>
                <w:sz w:val="22"/>
              </w:rPr>
              <w:t>SO5</w:t>
            </w:r>
          </w:p>
        </w:tc>
        <w:tc>
          <w:tcPr>
            <w:tcW w:type="dxa" w:w="1980"/>
          </w:tcPr>
          <w:p>
            <w:pPr>
              <w:spacing w:after="40"/>
            </w:pPr>
            <w:r/>
            <w:r>
              <w:rPr>
                <w:rFonts w:ascii="Times New Roman" w:hAnsi="Times New Roman"/>
                <w:b w:val="0"/>
                <w:i w:val="0"/>
                <w:sz w:val="22"/>
              </w:rPr>
              <w:t>Smart contracts with RBAC on Fabric</w:t>
            </w:r>
          </w:p>
        </w:tc>
        <w:tc>
          <w:tcPr>
            <w:tcW w:type="dxa" w:w="1980"/>
          </w:tcPr>
          <w:p>
            <w:pPr>
              <w:spacing w:after="40"/>
            </w:pPr>
            <w:r/>
            <w:r>
              <w:rPr>
                <w:rFonts w:ascii="Times New Roman" w:hAnsi="Times New Roman"/>
                <w:b w:val="0"/>
                <w:i w:val="0"/>
                <w:sz w:val="22"/>
              </w:rPr>
              <w:t>Implementation</w:t>
            </w:r>
          </w:p>
        </w:tc>
        <w:tc>
          <w:tcPr>
            <w:tcW w:type="dxa" w:w="1980"/>
          </w:tcPr>
          <w:p>
            <w:pPr>
              <w:spacing w:after="40"/>
            </w:pPr>
            <w:r/>
            <w:r>
              <w:rPr>
                <w:rFonts w:ascii="Times New Roman" w:hAnsi="Times New Roman"/>
                <w:b w:val="0"/>
                <w:i w:val="0"/>
                <w:sz w:val="22"/>
              </w:rPr>
              <w:t>In progress</w:t>
            </w:r>
          </w:p>
        </w:tc>
      </w:tr>
      <w:tr>
        <w:tc>
          <w:tcPr>
            <w:tcW w:type="dxa" w:w="1980"/>
          </w:tcPr>
          <w:p>
            <w:pPr>
              <w:spacing w:after="40"/>
            </w:pPr>
            <w:r/>
            <w:r>
              <w:rPr>
                <w:rFonts w:ascii="Times New Roman" w:hAnsi="Times New Roman"/>
                <w:b w:val="0"/>
                <w:i w:val="0"/>
                <w:sz w:val="22"/>
              </w:rPr>
              <w:t>SO6</w:t>
            </w:r>
          </w:p>
        </w:tc>
        <w:tc>
          <w:tcPr>
            <w:tcW w:type="dxa" w:w="1980"/>
          </w:tcPr>
          <w:p>
            <w:pPr>
              <w:spacing w:after="40"/>
            </w:pPr>
            <w:r/>
            <w:r>
              <w:rPr>
                <w:rFonts w:ascii="Times New Roman" w:hAnsi="Times New Roman"/>
                <w:b w:val="0"/>
                <w:i w:val="0"/>
                <w:sz w:val="22"/>
              </w:rPr>
              <w:t>Privacy / accuracy / performance evaluation</w:t>
            </w:r>
          </w:p>
        </w:tc>
        <w:tc>
          <w:tcPr>
            <w:tcW w:type="dxa" w:w="1980"/>
          </w:tcPr>
          <w:p>
            <w:pPr>
              <w:spacing w:after="40"/>
            </w:pPr>
            <w:r/>
            <w:r>
              <w:rPr>
                <w:rFonts w:ascii="Times New Roman" w:hAnsi="Times New Roman"/>
                <w:b w:val="0"/>
                <w:i w:val="0"/>
                <w:sz w:val="22"/>
              </w:rPr>
              <w:t>Evaluation</w:t>
            </w:r>
          </w:p>
        </w:tc>
        <w:tc>
          <w:tcPr>
            <w:tcW w:type="dxa" w:w="1980"/>
          </w:tcPr>
          <w:p>
            <w:pPr>
              <w:spacing w:after="40"/>
            </w:pPr>
            <w:r/>
            <w:r>
              <w:rPr>
                <w:rFonts w:ascii="Times New Roman" w:hAnsi="Times New Roman"/>
                <w:b w:val="0"/>
                <w:i w:val="0"/>
                <w:sz w:val="22"/>
              </w:rPr>
              <w:t>Not started</w:t>
            </w:r>
          </w:p>
        </w:tc>
      </w:tr>
    </w:tbl>
    <w:p/>
    <w:p>
      <w:pPr>
        <w:pStyle w:val="Heading2"/>
      </w:pPr>
      <w:r>
        <w:t>Progress against plan</w:t>
      </w:r>
    </w:p>
    <w:tbl>
      <w:tblPr>
        <w:tblStyle w:val="TableGrid"/>
        <w:tblW w:type="auto" w:w="0"/>
        <w:jc w:val="center"/>
        <w:tblLook w:firstColumn="1" w:firstRow="1" w:lastColumn="0" w:lastRow="0" w:noHBand="0" w:noVBand="1" w:val="04A0"/>
      </w:tblPr>
      <w:tblGrid>
        <w:gridCol w:w="2640"/>
        <w:gridCol w:w="2640"/>
        <w:gridCol w:w="2640"/>
      </w:tblGrid>
      <w:tr>
        <w:tc>
          <w:tcPr>
            <w:tcW w:type="dxa" w:w="2640"/>
            <w:shd w:val="clear" w:fill="D9E2F3"/>
          </w:tcPr>
          <w:p>
            <w:pPr>
              <w:spacing w:after="40"/>
            </w:pPr>
            <w:r/>
            <w:r>
              <w:rPr>
                <w:rFonts w:ascii="Times New Roman" w:hAnsi="Times New Roman"/>
                <w:b/>
                <w:i w:val="0"/>
                <w:sz w:val="22"/>
              </w:rPr>
              <w:t>Phase</w:t>
            </w:r>
          </w:p>
        </w:tc>
        <w:tc>
          <w:tcPr>
            <w:tcW w:type="dxa" w:w="2640"/>
            <w:shd w:val="clear" w:fill="D9E2F3"/>
          </w:tcPr>
          <w:p>
            <w:pPr>
              <w:spacing w:after="40"/>
            </w:pPr>
            <w:r/>
            <w:r>
              <w:rPr>
                <w:rFonts w:ascii="Times New Roman" w:hAnsi="Times New Roman"/>
                <w:b/>
                <w:i w:val="0"/>
                <w:sz w:val="22"/>
              </w:rPr>
              <w:t>Output</w:t>
            </w:r>
          </w:p>
        </w:tc>
        <w:tc>
          <w:tcPr>
            <w:tcW w:type="dxa" w:w="2640"/>
            <w:shd w:val="clear" w:fill="D9E2F3"/>
          </w:tcPr>
          <w:p>
            <w:pPr>
              <w:spacing w:after="40"/>
            </w:pPr>
            <w:r/>
            <w:r>
              <w:rPr>
                <w:rFonts w:ascii="Times New Roman" w:hAnsi="Times New Roman"/>
                <w:b/>
                <w:i w:val="0"/>
                <w:sz w:val="22"/>
              </w:rPr>
              <w:t>Completion</w:t>
            </w:r>
          </w:p>
        </w:tc>
      </w:tr>
      <w:tr>
        <w:tc>
          <w:tcPr>
            <w:tcW w:type="dxa" w:w="2640"/>
          </w:tcPr>
          <w:p>
            <w:pPr>
              <w:spacing w:after="40"/>
            </w:pPr>
            <w:r/>
            <w:r>
              <w:rPr>
                <w:rFonts w:ascii="Times New Roman" w:hAnsi="Times New Roman"/>
                <w:b w:val="0"/>
                <w:i w:val="0"/>
                <w:sz w:val="22"/>
              </w:rPr>
              <w:t>Proposal</w:t>
            </w:r>
          </w:p>
        </w:tc>
        <w:tc>
          <w:tcPr>
            <w:tcW w:type="dxa" w:w="2640"/>
          </w:tcPr>
          <w:p>
            <w:pPr>
              <w:spacing w:after="40"/>
            </w:pPr>
            <w:r/>
            <w:r>
              <w:rPr>
                <w:rFonts w:ascii="Times New Roman" w:hAnsi="Times New Roman"/>
                <w:b w:val="0"/>
                <w:i w:val="0"/>
                <w:sz w:val="22"/>
              </w:rPr>
              <w:t>Approved research proposal</w:t>
            </w:r>
          </w:p>
        </w:tc>
        <w:tc>
          <w:tcPr>
            <w:tcW w:type="dxa" w:w="2640"/>
          </w:tcPr>
          <w:p>
            <w:pPr>
              <w:spacing w:after="40"/>
            </w:pPr>
            <w:r/>
            <w:r>
              <w:rPr>
                <w:rFonts w:ascii="Times New Roman" w:hAnsi="Times New Roman"/>
                <w:b w:val="0"/>
                <w:i w:val="0"/>
                <w:sz w:val="22"/>
              </w:rPr>
              <w:t>100%</w:t>
            </w:r>
          </w:p>
        </w:tc>
      </w:tr>
      <w:tr>
        <w:tc>
          <w:tcPr>
            <w:tcW w:type="dxa" w:w="2640"/>
          </w:tcPr>
          <w:p>
            <w:pPr>
              <w:spacing w:after="40"/>
            </w:pPr>
            <w:r/>
            <w:r>
              <w:rPr>
                <w:rFonts w:ascii="Times New Roman" w:hAnsi="Times New Roman"/>
                <w:b w:val="0"/>
                <w:i w:val="0"/>
                <w:sz w:val="22"/>
              </w:rPr>
              <w:t>Literature review</w:t>
            </w:r>
          </w:p>
        </w:tc>
        <w:tc>
          <w:tcPr>
            <w:tcW w:type="dxa" w:w="2640"/>
          </w:tcPr>
          <w:p>
            <w:pPr>
              <w:spacing w:after="40"/>
            </w:pPr>
            <w:r/>
            <w:r>
              <w:rPr>
                <w:rFonts w:ascii="Times New Roman" w:hAnsi="Times New Roman"/>
                <w:b w:val="0"/>
                <w:i w:val="0"/>
                <w:sz w:val="22"/>
              </w:rPr>
              <w:t>Comparative review and confirmed gaps</w:t>
            </w:r>
          </w:p>
        </w:tc>
        <w:tc>
          <w:tcPr>
            <w:tcW w:type="dxa" w:w="2640"/>
          </w:tcPr>
          <w:p>
            <w:pPr>
              <w:spacing w:after="40"/>
            </w:pPr>
            <w:r/>
            <w:r>
              <w:rPr>
                <w:rFonts w:ascii="Times New Roman" w:hAnsi="Times New Roman"/>
                <w:b w:val="0"/>
                <w:i w:val="0"/>
                <w:sz w:val="22"/>
              </w:rPr>
              <w:t>100%</w:t>
            </w:r>
          </w:p>
        </w:tc>
      </w:tr>
      <w:tr>
        <w:tc>
          <w:tcPr>
            <w:tcW w:type="dxa" w:w="2640"/>
          </w:tcPr>
          <w:p>
            <w:pPr>
              <w:spacing w:after="40"/>
            </w:pPr>
            <w:r/>
            <w:r>
              <w:rPr>
                <w:rFonts w:ascii="Times New Roman" w:hAnsi="Times New Roman"/>
                <w:b w:val="0"/>
                <w:i w:val="0"/>
                <w:sz w:val="22"/>
              </w:rPr>
              <w:t>Requirement and stakeholder analysis</w:t>
            </w:r>
          </w:p>
        </w:tc>
        <w:tc>
          <w:tcPr>
            <w:tcW w:type="dxa" w:w="2640"/>
          </w:tcPr>
          <w:p>
            <w:pPr>
              <w:spacing w:after="40"/>
            </w:pPr>
            <w:r/>
            <w:r>
              <w:rPr>
                <w:rFonts w:ascii="Times New Roman" w:hAnsi="Times New Roman"/>
                <w:b w:val="0"/>
                <w:i w:val="0"/>
                <w:sz w:val="22"/>
              </w:rPr>
              <w:t>Stakeholder analysis (SO1)</w:t>
            </w:r>
          </w:p>
        </w:tc>
        <w:tc>
          <w:tcPr>
            <w:tcW w:type="dxa" w:w="2640"/>
          </w:tcPr>
          <w:p>
            <w:pPr>
              <w:spacing w:after="40"/>
            </w:pPr>
            <w:r/>
            <w:r>
              <w:rPr>
                <w:rFonts w:ascii="Times New Roman" w:hAnsi="Times New Roman"/>
                <w:b w:val="0"/>
                <w:i w:val="0"/>
                <w:sz w:val="22"/>
              </w:rPr>
              <w:t>100%</w:t>
            </w:r>
          </w:p>
        </w:tc>
      </w:tr>
      <w:tr>
        <w:tc>
          <w:tcPr>
            <w:tcW w:type="dxa" w:w="2640"/>
          </w:tcPr>
          <w:p>
            <w:pPr>
              <w:spacing w:after="40"/>
            </w:pPr>
            <w:r/>
            <w:r>
              <w:rPr>
                <w:rFonts w:ascii="Times New Roman" w:hAnsi="Times New Roman"/>
                <w:b w:val="0"/>
                <w:i w:val="0"/>
                <w:sz w:val="22"/>
              </w:rPr>
              <w:t>System design</w:t>
            </w:r>
          </w:p>
        </w:tc>
        <w:tc>
          <w:tcPr>
            <w:tcW w:type="dxa" w:w="2640"/>
          </w:tcPr>
          <w:p>
            <w:pPr>
              <w:spacing w:after="40"/>
            </w:pPr>
            <w:r/>
            <w:r>
              <w:rPr>
                <w:rFonts w:ascii="Times New Roman" w:hAnsi="Times New Roman"/>
                <w:b w:val="0"/>
                <w:i w:val="0"/>
                <w:sz w:val="22"/>
              </w:rPr>
              <w:t>Architecture, algorithms, platform selection (SO2–SO4)</w:t>
            </w:r>
          </w:p>
        </w:tc>
        <w:tc>
          <w:tcPr>
            <w:tcW w:type="dxa" w:w="2640"/>
          </w:tcPr>
          <w:p>
            <w:pPr>
              <w:spacing w:after="40"/>
            </w:pPr>
            <w:r/>
            <w:r>
              <w:rPr>
                <w:rFonts w:ascii="Times New Roman" w:hAnsi="Times New Roman"/>
                <w:b w:val="0"/>
                <w:i w:val="0"/>
                <w:sz w:val="22"/>
              </w:rPr>
              <w:t>95%</w:t>
            </w:r>
          </w:p>
        </w:tc>
      </w:tr>
      <w:tr>
        <w:tc>
          <w:tcPr>
            <w:tcW w:type="dxa" w:w="2640"/>
          </w:tcPr>
          <w:p>
            <w:pPr>
              <w:spacing w:after="40"/>
            </w:pPr>
            <w:r/>
            <w:r>
              <w:rPr>
                <w:rFonts w:ascii="Times New Roman" w:hAnsi="Times New Roman"/>
                <w:b w:val="0"/>
                <w:i w:val="0"/>
                <w:sz w:val="22"/>
              </w:rPr>
              <w:t>Implementation</w:t>
            </w:r>
          </w:p>
        </w:tc>
        <w:tc>
          <w:tcPr>
            <w:tcW w:type="dxa" w:w="2640"/>
          </w:tcPr>
          <w:p>
            <w:pPr>
              <w:spacing w:after="40"/>
            </w:pPr>
            <w:r/>
            <w:r>
              <w:rPr>
                <w:rFonts w:ascii="Times New Roman" w:hAnsi="Times New Roman"/>
                <w:b w:val="0"/>
                <w:i w:val="0"/>
                <w:sz w:val="22"/>
              </w:rPr>
              <w:t>Smart contracts on Fabric (SO5)</w:t>
            </w:r>
          </w:p>
        </w:tc>
        <w:tc>
          <w:tcPr>
            <w:tcW w:type="dxa" w:w="2640"/>
          </w:tcPr>
          <w:p>
            <w:pPr>
              <w:spacing w:after="40"/>
            </w:pPr>
            <w:r/>
            <w:r>
              <w:rPr>
                <w:rFonts w:ascii="Times New Roman" w:hAnsi="Times New Roman"/>
                <w:b w:val="0"/>
                <w:i w:val="0"/>
                <w:sz w:val="22"/>
              </w:rPr>
              <w:t>25%</w:t>
            </w:r>
          </w:p>
        </w:tc>
      </w:tr>
      <w:tr>
        <w:tc>
          <w:tcPr>
            <w:tcW w:type="dxa" w:w="2640"/>
          </w:tcPr>
          <w:p>
            <w:pPr>
              <w:spacing w:after="40"/>
            </w:pPr>
            <w:r/>
            <w:r>
              <w:rPr>
                <w:rFonts w:ascii="Times New Roman" w:hAnsi="Times New Roman"/>
                <w:b w:val="0"/>
                <w:i w:val="0"/>
                <w:sz w:val="22"/>
              </w:rPr>
              <w:t>Evaluation</w:t>
            </w:r>
          </w:p>
        </w:tc>
        <w:tc>
          <w:tcPr>
            <w:tcW w:type="dxa" w:w="2640"/>
          </w:tcPr>
          <w:p>
            <w:pPr>
              <w:spacing w:after="40"/>
            </w:pPr>
            <w:r/>
            <w:r>
              <w:rPr>
                <w:rFonts w:ascii="Times New Roman" w:hAnsi="Times New Roman"/>
                <w:b w:val="0"/>
                <w:i w:val="0"/>
                <w:sz w:val="22"/>
              </w:rPr>
              <w:t>Privacy / accuracy / performance (SO6)</w:t>
            </w:r>
          </w:p>
        </w:tc>
        <w:tc>
          <w:tcPr>
            <w:tcW w:type="dxa" w:w="2640"/>
          </w:tcPr>
          <w:p>
            <w:pPr>
              <w:spacing w:after="40"/>
            </w:pPr>
            <w:r/>
            <w:r>
              <w:rPr>
                <w:rFonts w:ascii="Times New Roman" w:hAnsi="Times New Roman"/>
                <w:b w:val="0"/>
                <w:i w:val="0"/>
                <w:sz w:val="22"/>
              </w:rPr>
              <w:t>0%</w:t>
            </w:r>
          </w:p>
        </w:tc>
      </w:tr>
      <w:tr>
        <w:tc>
          <w:tcPr>
            <w:tcW w:type="dxa" w:w="2640"/>
          </w:tcPr>
          <w:p>
            <w:pPr>
              <w:spacing w:after="40"/>
            </w:pPr>
            <w:r/>
            <w:r>
              <w:rPr>
                <w:rFonts w:ascii="Times New Roman" w:hAnsi="Times New Roman"/>
                <w:b w:val="0"/>
                <w:i w:val="0"/>
                <w:sz w:val="22"/>
              </w:rPr>
              <w:t>Documentation</w:t>
            </w:r>
          </w:p>
        </w:tc>
        <w:tc>
          <w:tcPr>
            <w:tcW w:type="dxa" w:w="2640"/>
          </w:tcPr>
          <w:p>
            <w:pPr>
              <w:spacing w:after="40"/>
            </w:pPr>
            <w:r/>
            <w:r>
              <w:rPr>
                <w:rFonts w:ascii="Times New Roman" w:hAnsi="Times New Roman"/>
                <w:b w:val="0"/>
                <w:i w:val="0"/>
                <w:sz w:val="22"/>
              </w:rPr>
              <w:t>Final thesis write-up</w:t>
            </w:r>
          </w:p>
        </w:tc>
        <w:tc>
          <w:tcPr>
            <w:tcW w:type="dxa" w:w="2640"/>
          </w:tcPr>
          <w:p>
            <w:pPr>
              <w:spacing w:after="40"/>
            </w:pPr>
            <w:r/>
            <w:r>
              <w:rPr>
                <w:rFonts w:ascii="Times New Roman" w:hAnsi="Times New Roman"/>
                <w:b w:val="0"/>
                <w:i w:val="0"/>
                <w:sz w:val="22"/>
              </w:rPr>
              <w:t>30%</w:t>
            </w:r>
          </w:p>
        </w:tc>
      </w:tr>
    </w:tbl>
    <w:p/>
    <w:p>
      <w:pPr>
        <w:pStyle w:val="Heading2"/>
      </w:pPr>
      <w:r>
        <w:t>Supervisor engagement</w:t>
      </w:r>
    </w:p>
    <w:p>
      <w:pPr>
        <w:jc w:val="both"/>
      </w:pPr>
      <w:r>
        <w:rPr>
          <w:rFonts w:ascii="Times New Roman" w:hAnsi="Times New Roman"/>
          <w:b w:val="0"/>
          <w:i w:val="0"/>
          <w:sz w:val="24"/>
        </w:rPr>
        <w:t>Progress is reviewed regularly with the project supervisor, Mr. Thisara Weerasinghe, and recorded in the Supervisor Log Sheet (see Appendix A). Guidance so far has focused on tightening the research scope, validating the literature gap, evaluating the choice of blockchain platform, and confirming the system design before implementation.</w:t>
      </w:r>
    </w:p>
    <w:p>
      <w:pPr>
        <w:pStyle w:val="Heading2"/>
      </w:pPr>
      <w:r>
        <w:t>Risks and mitigation</w:t>
      </w:r>
    </w:p>
    <w:tbl>
      <w:tblPr>
        <w:tblStyle w:val="TableGrid"/>
        <w:tblW w:type="auto" w:w="0"/>
        <w:jc w:val="center"/>
        <w:tblLook w:firstColumn="1" w:firstRow="1" w:lastColumn="0" w:lastRow="0" w:noHBand="0" w:noVBand="1" w:val="04A0"/>
      </w:tblPr>
      <w:tblGrid>
        <w:gridCol w:w="3960"/>
        <w:gridCol w:w="3960"/>
      </w:tblGrid>
      <w:tr>
        <w:tc>
          <w:tcPr>
            <w:tcW w:type="dxa" w:w="3960"/>
            <w:shd w:val="clear" w:fill="D9E2F3"/>
          </w:tcPr>
          <w:p>
            <w:pPr>
              <w:spacing w:after="40"/>
            </w:pPr>
            <w:r/>
            <w:r>
              <w:rPr>
                <w:rFonts w:ascii="Times New Roman" w:hAnsi="Times New Roman"/>
                <w:b/>
                <w:i w:val="0"/>
                <w:sz w:val="22"/>
              </w:rPr>
              <w:t>Risk</w:t>
            </w:r>
          </w:p>
        </w:tc>
        <w:tc>
          <w:tcPr>
            <w:tcW w:type="dxa" w:w="3960"/>
            <w:shd w:val="clear" w:fill="D9E2F3"/>
          </w:tcPr>
          <w:p>
            <w:pPr>
              <w:spacing w:after="40"/>
            </w:pPr>
            <w:r/>
            <w:r>
              <w:rPr>
                <w:rFonts w:ascii="Times New Roman" w:hAnsi="Times New Roman"/>
                <w:b/>
                <w:i w:val="0"/>
                <w:sz w:val="22"/>
              </w:rPr>
              <w:t>Mitigation</w:t>
            </w:r>
          </w:p>
        </w:tc>
      </w:tr>
      <w:tr>
        <w:tc>
          <w:tcPr>
            <w:tcW w:type="dxa" w:w="3960"/>
          </w:tcPr>
          <w:p>
            <w:pPr>
              <w:spacing w:after="40"/>
            </w:pPr>
            <w:r/>
            <w:r>
              <w:rPr>
                <w:rFonts w:ascii="Times New Roman" w:hAnsi="Times New Roman"/>
                <w:b w:val="0"/>
                <w:i w:val="0"/>
                <w:sz w:val="22"/>
              </w:rPr>
              <w:t>Learning curve of Hyperledger Fabric chaincode</w:t>
            </w:r>
          </w:p>
        </w:tc>
        <w:tc>
          <w:tcPr>
            <w:tcW w:type="dxa" w:w="3960"/>
          </w:tcPr>
          <w:p>
            <w:pPr>
              <w:spacing w:after="40"/>
            </w:pPr>
            <w:r/>
            <w:r>
              <w:rPr>
                <w:rFonts w:ascii="Times New Roman" w:hAnsi="Times New Roman"/>
                <w:b w:val="0"/>
                <w:i w:val="0"/>
                <w:sz w:val="22"/>
              </w:rPr>
              <w:t>Building incrementally from official Fabric samples</w:t>
            </w:r>
          </w:p>
        </w:tc>
      </w:tr>
      <w:tr>
        <w:tc>
          <w:tcPr>
            <w:tcW w:type="dxa" w:w="3960"/>
          </w:tcPr>
          <w:p>
            <w:pPr>
              <w:spacing w:after="40"/>
            </w:pPr>
            <w:r/>
            <w:r>
              <w:rPr>
                <w:rFonts w:ascii="Times New Roman" w:hAnsi="Times New Roman"/>
                <w:b w:val="0"/>
                <w:i w:val="0"/>
                <w:sz w:val="22"/>
              </w:rPr>
              <w:t>Generating realistic fraud test data</w:t>
            </w:r>
          </w:p>
        </w:tc>
        <w:tc>
          <w:tcPr>
            <w:tcW w:type="dxa" w:w="3960"/>
          </w:tcPr>
          <w:p>
            <w:pPr>
              <w:spacing w:after="40"/>
            </w:pPr>
            <w:r/>
            <w:r>
              <w:rPr>
                <w:rFonts w:ascii="Times New Roman" w:hAnsi="Times New Roman"/>
                <w:b w:val="0"/>
                <w:i w:val="0"/>
                <w:sz w:val="22"/>
              </w:rPr>
              <w:t>Designing a synthetic dataset (~1,020 cases) covering normal and fraudulent patterns</w:t>
            </w:r>
          </w:p>
        </w:tc>
      </w:tr>
      <w:tr>
        <w:tc>
          <w:tcPr>
            <w:tcW w:type="dxa" w:w="3960"/>
          </w:tcPr>
          <w:p>
            <w:pPr>
              <w:spacing w:after="40"/>
            </w:pPr>
            <w:r/>
            <w:r>
              <w:rPr>
                <w:rFonts w:ascii="Times New Roman" w:hAnsi="Times New Roman"/>
                <w:b w:val="0"/>
                <w:i w:val="0"/>
                <w:sz w:val="22"/>
              </w:rPr>
              <w:t>Reconciling PDPA with on-chain immutability</w:t>
            </w:r>
          </w:p>
        </w:tc>
        <w:tc>
          <w:tcPr>
            <w:tcW w:type="dxa" w:w="3960"/>
          </w:tcPr>
          <w:p>
            <w:pPr>
              <w:spacing w:after="40"/>
            </w:pPr>
            <w:r/>
            <w:r>
              <w:rPr>
                <w:rFonts w:ascii="Times New Roman" w:hAnsi="Times New Roman"/>
                <w:b w:val="0"/>
                <w:i w:val="0"/>
                <w:sz w:val="22"/>
              </w:rPr>
              <w:t>Keeping all PII off-chain; only hashes and flags on-chain</w:t>
            </w:r>
          </w:p>
        </w:tc>
      </w:tr>
    </w:tbl>
    <w:p/>
    <w:p>
      <w:r>
        <w:br w:type="page"/>
      </w:r>
    </w:p>
    <w:p>
      <w:pPr>
        <w:pStyle w:val="Heading1"/>
      </w:pPr>
      <w:r>
        <w:t>Chapter 08: Preliminary Conclusion and Future Work</w:t>
      </w:r>
    </w:p>
    <w:p>
      <w:pPr>
        <w:jc w:val="both"/>
      </w:pPr>
      <w:r>
        <w:rPr>
          <w:rFonts w:ascii="Times New Roman" w:hAnsi="Times New Roman"/>
          <w:b w:val="0"/>
          <w:i w:val="0"/>
          <w:sz w:val="24"/>
        </w:rPr>
        <w:t>This interim report has presented the completed introduction, literature review, research methodology, and full system design for a privacy-conscious, blockchain-based vehicle ownership and lifecycle registry for Sri Lanka. A dedicated adversarial novelty audit against 107 prior works (</w:t>
      </w:r>
      <w:r>
        <w:rPr>
          <w:rFonts w:ascii="Times New Roman" w:hAnsi="Times New Roman"/>
          <w:b w:val="0"/>
          <w:i w:val="0"/>
          <w:sz w:val="24"/>
        </w:rPr>
        <w:t>NOVELTY_AUDIT.md</w:t>
      </w:r>
      <w:r>
        <w:rPr>
          <w:rFonts w:ascii="Times New Roman" w:hAnsi="Times New Roman"/>
          <w:b w:val="0"/>
          <w:i w:val="0"/>
          <w:sz w:val="24"/>
        </w:rPr>
        <w:t>) confirmed that no individual mechanism in this design is new — conditional pseudonymity, quorum-governed reveal, deterministic cross-event fraud rules, full-lifecycle coverage, and multi-agency governance are each established elsewhere — but that the specific combination of a persistent, policy-coupled, agency-quorum-revealable owner pseudonym inside an authoritative ownership registry, with deterministic cross-event fraud rules and a measured privacy-versus-detection trade-off, reconciled with Sri Lanka's PDPA, has not been located. The intended contribution is therefore this applied integration, an analytical minimum-linkability characterisation of which fraud rules fail first as pseudonym linkage is reduced, and an empirical measurement of the resulting trade-off. The design phase has produced the conditional pseudonym model with a policy-coupled reveal mechanism, the fraud-detection algorithms, the hybrid on-chain/off-chain architecture, and a justified selection of a permissioned consortium blockchain over a public blockchain. The next phase also carries forward a section-level reconciliation of the design against Sri Lanka's amended PDPA (Act No. 22 of 2025) as a standalone contribution, since it is jurisdictionally the most defensible and least resource-intensive result available.</w:t>
      </w:r>
    </w:p>
    <w:p>
      <w:pPr>
        <w:jc w:val="both"/>
      </w:pPr>
      <w:r>
        <w:rPr>
          <w:rFonts w:ascii="Times New Roman" w:hAnsi="Times New Roman"/>
          <w:b w:val="0"/>
          <w:i w:val="0"/>
          <w:sz w:val="24"/>
        </w:rPr>
        <w:t xml:space="preserve">A supervisor-requested fraud-capability audit (July 2026, </w:t>
      </w:r>
      <w:r>
        <w:rPr>
          <w:rFonts w:ascii="Times New Roman" w:hAnsi="Times New Roman"/>
          <w:b w:val="0"/>
          <w:i w:val="0"/>
          <w:sz w:val="24"/>
        </w:rPr>
        <w:t>FRAUD_CAPABILITY_ANALYSIS.md</w:t>
      </w:r>
      <w:r>
        <w:rPr>
          <w:rFonts w:ascii="Times New Roman" w:hAnsi="Times New Roman"/>
          <w:b w:val="0"/>
          <w:i w:val="0"/>
          <w:sz w:val="24"/>
        </w:rPr>
        <w:t>; summarised in §4.11) subsequently characterised the detection boundary of the designed rules across 48 real-world fraud subtypes, subjected every verdict to an adversarial validation loop, and yielded concrete design refinements — a deterministic identity index, a two-tier evidence revision of Algorithm 5, and nine candidate rule additions — that are carried into the implementation phase alongside the workflow constraints (emission-test coverage gaps, MTA-6/MTA-8 sale timing, client-set transaction timestamps) that the evaluation must respect.</w:t>
      </w:r>
    </w:p>
    <w:p>
      <w:pPr>
        <w:pStyle w:val="Heading2"/>
      </w:pPr>
      <w:r>
        <w:t>8.1 Proposed Sharpening of the Research Framing for the Final Thesis</w:t>
      </w:r>
    </w:p>
    <w:p>
      <w:pPr>
        <w:jc w:val="both"/>
      </w:pPr>
      <w:r>
        <w:rPr>
          <w:rFonts w:ascii="Times New Roman" w:hAnsi="Times New Roman"/>
          <w:b w:val="0"/>
          <w:i w:val="0"/>
          <w:sz w:val="24"/>
        </w:rPr>
        <w:t>The capability boundary reported in §4.11 has a consequence for how the research itself is framed, and this section records the direction proposed for the final thesis. It is presented as a proposal for supervisory approval rather than as a completed change: the aim, research questions, and objectives stated in Chapter 1 remain those of the approved proposal for the purposes of this interim submission.</w:t>
      </w:r>
    </w:p>
    <w:p>
      <w:pPr>
        <w:jc w:val="both"/>
      </w:pPr>
      <w:r>
        <w:rPr>
          <w:rFonts w:ascii="Times New Roman" w:hAnsi="Times New Roman"/>
          <w:b w:val="0"/>
          <w:i w:val="0"/>
          <w:sz w:val="24"/>
        </w:rPr>
        <w:t xml:space="preserve">The observation driving the proposal is that two of the four structural causes of non-detection are not engineering defects. Cause (i), the absence of any submitted record, is a property of every registry irrespective of technology; and cause (iv) is a direct consequence of this design's own privacy decision — per-vehicle pseudonyms make any fraud that repeats across a person's vehicles invisible by construction. The second of these is the more interesting, because it means the detection boundary is not a fixed property of the artefact but a </w:t>
      </w:r>
      <w:r>
        <w:rPr>
          <w:rFonts w:ascii="Times New Roman" w:hAnsi="Times New Roman"/>
          <w:b w:val="0"/>
          <w:i/>
          <w:sz w:val="24"/>
        </w:rPr>
        <w:t>function of the pseudonym linkage the artefact permits</w:t>
      </w:r>
      <w:r>
        <w:rPr>
          <w:rFonts w:ascii="Times New Roman" w:hAnsi="Times New Roman"/>
          <w:b w:val="0"/>
          <w:i w:val="0"/>
          <w:sz w:val="24"/>
        </w:rPr>
        <w:t>.</w:t>
      </w:r>
    </w:p>
    <w:p>
      <w:pPr>
        <w:jc w:val="both"/>
      </w:pPr>
      <w:r>
        <w:rPr>
          <w:rFonts w:ascii="Times New Roman" w:hAnsi="Times New Roman"/>
          <w:b w:val="0"/>
          <w:i w:val="0"/>
          <w:sz w:val="24"/>
        </w:rPr>
        <w:t>The proposal is therefore to promote linkage granularity from an implicit design choice to an explicit, versioned, machine-enforced parameter of the registry, and to make the characterisation of the resulting frontier the headline contribution:</w:t>
      </w:r>
    </w:p>
    <w:p>
      <w:pPr>
        <w:pStyle w:val="ListBullet"/>
      </w:pPr>
      <w:r>
        <w:rPr>
          <w:rFonts w:ascii="Times New Roman" w:hAnsi="Times New Roman"/>
          <w:b/>
          <w:i w:val="0"/>
          <w:sz w:val="24"/>
        </w:rPr>
        <w:t>Scoped identifiers.</w:t>
      </w:r>
      <w:r>
        <w:rPr>
          <w:rFonts w:ascii="Times New Roman" w:hAnsi="Times New Roman"/>
          <w:b w:val="0"/>
          <w:i w:val="0"/>
          <w:sz w:val="24"/>
        </w:rPr>
        <w:t xml:space="preserve"> Replace the salted-hash pseudonym of Algorithm 1 with keyed pseudo-random-function identifiers — asset handles for the vehicle and per-vehicle owner pseudonyms — retaining the deterministic identity index of §4.11.2 and removing the per-record salt store, whose compromise would otherwise expose the mapping and whose enumerable input space is analysed as a reported result.</w:t>
      </w:r>
    </w:p>
    <w:p>
      <w:pPr>
        <w:pStyle w:val="ListBullet"/>
      </w:pPr>
      <w:r>
        <w:rPr>
          <w:rFonts w:ascii="Times New Roman" w:hAnsi="Times New Roman"/>
          <w:b/>
          <w:i w:val="0"/>
          <w:sz w:val="24"/>
        </w:rPr>
        <w:t>Linkage profiles.</w:t>
      </w:r>
      <w:r>
        <w:rPr>
          <w:rFonts w:ascii="Times New Roman" w:hAnsi="Times New Roman"/>
          <w:b w:val="0"/>
          <w:i w:val="0"/>
          <w:sz w:val="24"/>
        </w:rPr>
        <w:t xml:space="preserve"> A versioned on-chain configuration defining which linkage scopes are available (owner-scope; per-vehicle; per-event; per-event with the vehicle link hidden; and per-vehicle plus governed escalation). Each fraud rule declares the minimum scope it requires, and the chaincode compares that requirement against the active profile before evaluating. The profile is a consortium governance parameter, not a per-owner preference — were owners able to select their own level, a fraudulent seller would select maximum privacy, and the act of selecting privacy would itself become an adverse signal, so the option would afford no privacy to anyone.</w:t>
      </w:r>
    </w:p>
    <w:p>
      <w:pPr>
        <w:pStyle w:val="ListBullet"/>
      </w:pPr>
      <w:r>
        <w:rPr>
          <w:rFonts w:ascii="Times New Roman" w:hAnsi="Times New Roman"/>
          <w:b/>
          <w:i w:val="0"/>
          <w:sz w:val="24"/>
        </w:rPr>
        <w:t>Declared suppression.</w:t>
      </w:r>
      <w:r>
        <w:rPr>
          <w:rFonts w:ascii="Times New Roman" w:hAnsi="Times New Roman"/>
          <w:b w:val="0"/>
          <w:i w:val="0"/>
          <w:sz w:val="24"/>
        </w:rPr>
        <w:t xml:space="preserve"> Where a rule cannot be decided under the active profile, or where an antecedent event is absent or self-declared only, the chaincode emits a machine-generated notice that is surfaced to the prospective buyer as a </w:t>
      </w:r>
      <w:r>
        <w:rPr>
          <w:rFonts w:ascii="Times New Roman" w:hAnsi="Times New Roman"/>
          <w:b w:val="0"/>
          <w:i/>
          <w:sz w:val="24"/>
        </w:rPr>
        <w:t>checks not performed</w:t>
      </w:r>
      <w:r>
        <w:rPr>
          <w:rFonts w:ascii="Times New Roman" w:hAnsi="Times New Roman"/>
          <w:b w:val="0"/>
          <w:i w:val="0"/>
          <w:sz w:val="24"/>
        </w:rPr>
        <w:t xml:space="preserve"> list, rather than returning a history whose omissions are invisible. The 23 non-detected subtypes of §4.11 thereby become a system output rather than a limitation recorded only in prose.</w:t>
      </w:r>
    </w:p>
    <w:p>
      <w:pPr>
        <w:pStyle w:val="ListBullet"/>
      </w:pPr>
      <w:r>
        <w:rPr>
          <w:rFonts w:ascii="Times New Roman" w:hAnsi="Times New Roman"/>
          <w:b/>
          <w:i w:val="0"/>
          <w:sz w:val="24"/>
        </w:rPr>
        <w:t>Governed owner-scope escalation.</w:t>
      </w:r>
      <w:r>
        <w:rPr>
          <w:rFonts w:ascii="Times New Roman" w:hAnsi="Times New Roman"/>
          <w:b w:val="0"/>
          <w:i w:val="0"/>
          <w:sz w:val="24"/>
        </w:rPr>
        <w:t xml:space="preserve"> Owner-level linkage becomes reachable only through a request that requires a live, evidence-graded fraud flag on the vehicle, an enumerated statutory ground, and the joint action of the DMT and Police, with the number of vehicles disclosed recorded on-chain — so that the privacy cost of recovering owner-level detection is measured rather than asserted.</w:t>
      </w:r>
    </w:p>
    <w:p>
      <w:pPr>
        <w:pStyle w:val="ListBullet"/>
      </w:pPr>
      <w:r>
        <w:rPr>
          <w:rFonts w:ascii="Times New Roman" w:hAnsi="Times New Roman"/>
          <w:b/>
          <w:i w:val="0"/>
          <w:sz w:val="24"/>
        </w:rPr>
        <w:t>Evidence grading and attestor revocation.</w:t>
      </w:r>
      <w:r>
        <w:rPr>
          <w:rFonts w:ascii="Times New Roman" w:hAnsi="Times New Roman"/>
          <w:b w:val="0"/>
          <w:i w:val="0"/>
          <w:sz w:val="24"/>
        </w:rPr>
        <w:t xml:space="preserve"> The two-tier revision of Algorithm 5 generalises to a three-level evidence lattice propagated to every verdict, together with an append-only attestor revocation that degrades, at query time, every past conclusion resting on a source subsequently found to be corrupt — a capability a mutable central database structurally lacks, and one that speaks directly to the COPA and CIABOC findings in which the custodian of the record was the adversary.</w:t>
      </w:r>
    </w:p>
    <w:p>
      <w:pPr>
        <w:jc w:val="both"/>
      </w:pPr>
      <w:r>
        <w:rPr>
          <w:rFonts w:ascii="Times New Roman" w:hAnsi="Times New Roman"/>
          <w:b w:val="0"/>
          <w:i w:val="0"/>
          <w:sz w:val="24"/>
        </w:rPr>
        <w:t>Under this framing the headline result becomes the agreement between the minimum-linkability predictions derived analytically in Chapter 4 and the decidability measured empirically across the rule-family-by-profile grid in Chapter 6 — a falsifiable comparison, since prediction and measurement are produced by independent means, and one that cannot be satisfied by construction in the way that reporting detection accuracy over self-generated fraud can. The existing 48-subtype capability matrix (Appendix C), the four-cause taxonomy, the minimum-linkability analysis of §4.5, the stakeholder and PDPA analyses, and the figures of Chapters 1 and 4 are all retained under the proposal; the principal reductions are that five of the nine candidate rule additions (Appendix D) are specified rather than implemented, and that no new cryptographic construction is introduced.</w:t>
      </w:r>
    </w:p>
    <w:p>
      <w:pPr>
        <w:jc w:val="both"/>
      </w:pPr>
      <w:r>
        <w:rPr>
          <w:rFonts w:ascii="Times New Roman" w:hAnsi="Times New Roman"/>
          <w:b w:val="0"/>
          <w:i w:val="0"/>
          <w:sz w:val="24"/>
        </w:rPr>
        <w:t>Objectives SO1–SO4 are complete, SO5 (implementation) is in progress, and SO6 (evaluation) will follow. The next phase will complete the Hyperledger Fabric chaincode and the fraud-detection layer, build the synthetic evaluation dataset, and then execute the privacy, accuracy, and performance evaluation against the defined targets. The work remains aligned with the proposed plan, subject to the framing proposal recorded in §8.1.</w:t>
      </w:r>
    </w:p>
    <w:p>
      <w:r>
        <w:br w:type="page"/>
      </w:r>
    </w:p>
    <w:p>
      <w:pPr>
        <w:pStyle w:val="Heading1"/>
      </w:pPr>
      <w:r>
        <w:t>List of References</w:t>
      </w:r>
    </w:p>
    <w:p>
      <w:pPr>
        <w:jc w:val="both"/>
      </w:pPr>
      <w:r>
        <w:rPr>
          <w:rFonts w:ascii="Times New Roman" w:hAnsi="Times New Roman"/>
          <w:b w:val="0"/>
          <w:i w:val="0"/>
          <w:sz w:val="24"/>
        </w:rPr>
        <w:t>Androulaki, E., Barger, A., Bortnikov, V., Cachin, C., Christidis, K., De Caro, A., … Yellick, J. (2018). Hyperledger Fabric: A distributed operating system for permissioned blockchains. Proceedings of the Thirteenth EuroSys Conference, 1–15. https://doi.org/10.1145/3190508.3190538</w:t>
      </w:r>
    </w:p>
    <w:p>
      <w:pPr>
        <w:jc w:val="both"/>
      </w:pPr>
      <w:r>
        <w:rPr>
          <w:rFonts w:ascii="Times New Roman" w:hAnsi="Times New Roman"/>
          <w:b w:val="0"/>
          <w:i w:val="0"/>
          <w:sz w:val="24"/>
        </w:rPr>
        <w:t>Antignac, T., Sands, D., &amp; Schneider, G. (2017). Data minimisation: A language-based approach. In S. De Capitani di Vimercati &amp; F. Martinelli (Eds.), ICT Systems Security and Privacy Protection: 32nd IFIP TC 11 International Conference, SEC 2017 (pp. 442–456). Springer. https://doi.org/10.1007/978-3-319-58469-0_30</w:t>
      </w:r>
    </w:p>
    <w:p>
      <w:pPr>
        <w:jc w:val="both"/>
      </w:pPr>
      <w:r>
        <w:rPr>
          <w:rFonts w:ascii="Times New Roman" w:hAnsi="Times New Roman"/>
          <w:b w:val="0"/>
          <w:i w:val="0"/>
          <w:sz w:val="24"/>
        </w:rPr>
        <w:t>Arabian Business. (2018, February 1). Dubai's RTA reveals plan for vehicle history blockchain project. https://www.arabianbusiness.com/industries/transport/390983-dubais-rta-reveals-plan-for-vehicle-history-blockchain-project</w:t>
      </w:r>
    </w:p>
    <w:p>
      <w:pPr>
        <w:jc w:val="both"/>
      </w:pPr>
      <w:r>
        <w:rPr>
          <w:rFonts w:ascii="Times New Roman" w:hAnsi="Times New Roman"/>
          <w:b w:val="0"/>
          <w:i w:val="0"/>
          <w:sz w:val="24"/>
        </w:rPr>
        <w:t>Arianee. (n.d.). Digital product passport for automobiles. Retrieved June 2026, from https://www.arianee.com/automobile-solutions</w:t>
      </w:r>
    </w:p>
    <w:p>
      <w:pPr>
        <w:jc w:val="both"/>
      </w:pPr>
      <w:r>
        <w:rPr>
          <w:rFonts w:ascii="Times New Roman" w:hAnsi="Times New Roman"/>
          <w:b w:val="0"/>
          <w:i w:val="0"/>
          <w:sz w:val="24"/>
        </w:rPr>
        <w:t>AutoCheck. (n.d.). Vehicle history reports and the AutoCheck Score. Experian. Retrieved June 2026, from https://www.autocheck.com/</w:t>
      </w:r>
    </w:p>
    <w:p>
      <w:pPr>
        <w:jc w:val="both"/>
      </w:pPr>
      <w:r>
        <w:rPr>
          <w:rFonts w:ascii="Times New Roman" w:hAnsi="Times New Roman"/>
          <w:b w:val="0"/>
          <w:i w:val="0"/>
          <w:sz w:val="24"/>
        </w:rPr>
        <w:t>Baskaran, H., Yussof, S., Abu Bakar, A., &amp; Abdul Rahim, F. (2023). Data sharing using PDPA-compliant blockchain architecture in Malaysia. International Journal of Advanced Computer Science and Applications, 14(5). https://thesai.org/Downloads/Volume14No5/Paper_15-Data_Sharing_using_PDPA_Compliant_Blockchain_Architecture.pdf</w:t>
      </w:r>
    </w:p>
    <w:p>
      <w:pPr>
        <w:jc w:val="both"/>
      </w:pPr>
      <w:r>
        <w:rPr>
          <w:rFonts w:ascii="Times New Roman" w:hAnsi="Times New Roman"/>
          <w:b w:val="0"/>
          <w:i w:val="0"/>
          <w:sz w:val="24"/>
        </w:rPr>
        <w:t>Benarous, L., Kadri, B., Bouridane, A., &amp; Benkhelifa, E. (2022). Blockchain-based forgery resilient vehicle registration system. Transactions on Emerging Telecommunications Technologies, 33(10), e4237. https://doi.org/10.1002/ett.4237</w:t>
      </w:r>
    </w:p>
    <w:p>
      <w:pPr>
        <w:jc w:val="both"/>
      </w:pPr>
      <w:r>
        <w:rPr>
          <w:rFonts w:ascii="Times New Roman" w:hAnsi="Times New Roman"/>
          <w:b w:val="0"/>
          <w:i w:val="0"/>
          <w:sz w:val="24"/>
        </w:rPr>
        <w:t>Bogatov, D., De Caro, A., Elkhiyaoui, K., &amp; Tackmann, B. (2019). Anonymous transactions with revocation and auditing in Hyperledger Fabric. Cryptology ePrint Archive, Report 2019/1097. https://eprint.iacr.org/2019/1097</w:t>
      </w:r>
    </w:p>
    <w:p>
      <w:pPr>
        <w:jc w:val="both"/>
      </w:pPr>
      <w:r>
        <w:rPr>
          <w:rFonts w:ascii="Times New Roman" w:hAnsi="Times New Roman"/>
          <w:b w:val="0"/>
          <w:i w:val="0"/>
          <w:sz w:val="24"/>
        </w:rPr>
        <w:t>Bragadeesh, S. A., &amp; Umamakeswari, A. (2022). Secured vehicle life cycle tracking using blockchain and smart contract. Computer Systems Science and Engineering, 41(1), 1–18. https://doi.org/10.32604/csse.2022.019842</w:t>
      </w:r>
    </w:p>
    <w:p>
      <w:pPr>
        <w:jc w:val="both"/>
      </w:pPr>
      <w:r>
        <w:rPr>
          <w:rFonts w:ascii="Times New Roman" w:hAnsi="Times New Roman"/>
          <w:b w:val="0"/>
          <w:i w:val="0"/>
          <w:sz w:val="24"/>
        </w:rPr>
        <w:t>Brecht, B., Therriault, D., Weimerskirch, A., Whyte, W., Kumar, V., Hehn, T., &amp; Goudy, R. (2018). A security credential management system for V2X communications. IEEE Transactions on Intelligent Transportation Systems, 19(12), 3850–3871. https://arxiv.org/abs/1802.05323</w:t>
      </w:r>
    </w:p>
    <w:p>
      <w:pPr>
        <w:jc w:val="both"/>
      </w:pPr>
      <w:r>
        <w:rPr>
          <w:rFonts w:ascii="Times New Roman" w:hAnsi="Times New Roman"/>
          <w:b w:val="0"/>
          <w:i w:val="0"/>
          <w:sz w:val="24"/>
        </w:rPr>
        <w:t>Bureau of Justice Assistance, Office of Justice Programs, U.S. Department of Justice. (n.d.). National Motor Vehicle Title Information System (NMVTIS): Overview. Retrieved July 2026, from https://bja.ojp.gov/program/nmvtis/overview</w:t>
      </w:r>
    </w:p>
    <w:p>
      <w:pPr>
        <w:jc w:val="both"/>
      </w:pPr>
      <w:r>
        <w:rPr>
          <w:rFonts w:ascii="Times New Roman" w:hAnsi="Times New Roman"/>
          <w:b w:val="0"/>
          <w:i w:val="0"/>
          <w:sz w:val="24"/>
        </w:rPr>
        <w:t>Car-Pass vzw/ASBL. (n.d.). How does Car-Pass work? Retrieved July 2026, from https://www.car-pass.be/en/about-car-pass/how-does-car-pass-work</w:t>
      </w:r>
    </w:p>
    <w:p>
      <w:pPr>
        <w:jc w:val="both"/>
      </w:pPr>
      <w:r>
        <w:rPr>
          <w:rFonts w:ascii="Times New Roman" w:hAnsi="Times New Roman"/>
          <w:b w:val="0"/>
          <w:i w:val="0"/>
          <w:sz w:val="24"/>
        </w:rPr>
        <w:t>cardossier (Verein cardossier c/o Adnovum AG). (n.d.). cardossier – ein non-profit Verein [About us]. Retrieved July 2026, from https://www.cardossier.ch/about</w:t>
      </w:r>
    </w:p>
    <w:p>
      <w:pPr>
        <w:jc w:val="both"/>
      </w:pPr>
      <w:r>
        <w:rPr>
          <w:rFonts w:ascii="Times New Roman" w:hAnsi="Times New Roman"/>
          <w:b w:val="0"/>
          <w:i w:val="0"/>
          <w:sz w:val="24"/>
        </w:rPr>
        <w:t>CARFAX. (n.d.). How a CARFAX vehicle history report works. Retrieved June 2026, from https://www.carfax.com/</w:t>
      </w:r>
    </w:p>
    <w:p>
      <w:pPr>
        <w:jc w:val="both"/>
      </w:pPr>
      <w:r>
        <w:rPr>
          <w:rFonts w:ascii="Times New Roman" w:hAnsi="Times New Roman"/>
          <w:b w:val="0"/>
          <w:i w:val="0"/>
          <w:sz w:val="24"/>
        </w:rPr>
        <w:t>Chanson, M., Bogner, A., Wortmann, F., &amp; Fleisch, E. (2017). Blockchain as a privacy enabler: An odometer fraud prevention system. In Proceedings of the 2017 ACM International Joint Conference on Pervasive and Ubiquitous Computing (UbiComp/ISWC '17 Adjunct) (pp. 13–16). ACM. https://doi.org/10.1145/3123024.3123078</w:t>
      </w:r>
    </w:p>
    <w:p>
      <w:pPr>
        <w:jc w:val="both"/>
      </w:pPr>
      <w:r>
        <w:rPr>
          <w:rFonts w:ascii="Times New Roman" w:hAnsi="Times New Roman"/>
          <w:b w:val="0"/>
          <w:i w:val="0"/>
          <w:sz w:val="24"/>
        </w:rPr>
        <w:t>Chanson, M., Bogner, A., Bilgeri, D., Fleisch, E., &amp; Wortmann, F. (2019). Blockchain for the IoT: Privacy-preserving protection of sensor data. Journal of the Association for Information Systems, 20(9), Article 10. https://aisel.aisnet.org/jais/vol20/iss9/10/</w:t>
      </w:r>
    </w:p>
    <w:p>
      <w:pPr>
        <w:jc w:val="both"/>
      </w:pPr>
      <w:r>
        <w:rPr>
          <w:rFonts w:ascii="Times New Roman" w:hAnsi="Times New Roman"/>
          <w:b w:val="0"/>
          <w:i w:val="0"/>
          <w:sz w:val="24"/>
        </w:rPr>
        <w:t>Chaudhary, A., &amp; Ivey-Law, H. (2023). SeDe: Balancing blockchain privacy and regulatory compliance by selective de-anonymization. arXiv:2311.08167. https://arxiv.org/abs/2311.08167</w:t>
      </w:r>
    </w:p>
    <w:p>
      <w:pPr>
        <w:jc w:val="both"/>
      </w:pPr>
      <w:r>
        <w:rPr>
          <w:rFonts w:ascii="Times New Roman" w:hAnsi="Times New Roman"/>
          <w:b w:val="0"/>
          <w:i w:val="0"/>
          <w:sz w:val="24"/>
        </w:rPr>
        <w:t>CIABOC. (2024). Causing financial loss to the government by fraudulent registration of uncleared vehicles. Commission to Investigate Allegations of Bribery or Corruption. https://ciaboc.gov.lk/media-centre/latest-news/1215</w:t>
      </w:r>
    </w:p>
    <w:p>
      <w:pPr>
        <w:jc w:val="both"/>
      </w:pPr>
      <w:r>
        <w:rPr>
          <w:rFonts w:ascii="Times New Roman" w:hAnsi="Times New Roman"/>
          <w:b w:val="0"/>
          <w:i w:val="0"/>
          <w:sz w:val="24"/>
        </w:rPr>
        <w:t>Daily FT. (2025). First five months' vehicle registrations top 73,000. https://www.ft.lk/front-page/First-five-months-vehicle-registrations-top-73-000/44-777928</w:t>
      </w:r>
    </w:p>
    <w:p>
      <w:pPr>
        <w:jc w:val="both"/>
      </w:pPr>
      <w:r>
        <w:rPr>
          <w:rFonts w:ascii="Times New Roman" w:hAnsi="Times New Roman"/>
          <w:b w:val="0"/>
          <w:i w:val="0"/>
          <w:sz w:val="24"/>
        </w:rPr>
        <w:t>Damgård, I., Ganesh, C., Khoshakhlagh, H., Orlandi, C., &amp; Siniscalchi, L. (2020). Balancing privacy and accountability in blockchain identity management (Concordium identity layer). Cryptology ePrint Archive, Report 2020/1511. https://eprint.iacr.org/2020/1511</w:t>
      </w:r>
    </w:p>
    <w:p>
      <w:pPr>
        <w:jc w:val="both"/>
      </w:pPr>
      <w:r>
        <w:rPr>
          <w:rFonts w:ascii="Times New Roman" w:hAnsi="Times New Roman"/>
          <w:b w:val="0"/>
          <w:i w:val="0"/>
          <w:sz w:val="24"/>
        </w:rPr>
        <w:t>Department of Motor Traffic. (n.d.). Vehicle services: First registration and registration of ownership transfer. Retrieved June 2026, from https://dmt.gov.lk/</w:t>
      </w:r>
    </w:p>
    <w:p>
      <w:pPr>
        <w:jc w:val="both"/>
      </w:pPr>
      <w:r>
        <w:rPr>
          <w:rFonts w:ascii="Times New Roman" w:hAnsi="Times New Roman"/>
          <w:b w:val="0"/>
          <w:i w:val="0"/>
          <w:sz w:val="24"/>
        </w:rPr>
        <w:t>DLA Piper. (2025). Data protection laws of the world: Sri Lanka. https://www.dlapiperdataprotection.com/index.html?t=law&amp;c=LK</w:t>
      </w:r>
    </w:p>
    <w:p>
      <w:pPr>
        <w:jc w:val="both"/>
      </w:pPr>
      <w:r>
        <w:rPr>
          <w:rFonts w:ascii="Times New Roman" w:hAnsi="Times New Roman"/>
          <w:b w:val="0"/>
          <w:i w:val="0"/>
          <w:sz w:val="24"/>
        </w:rPr>
        <w:t>Duncan, G. T., Keller-McNulty, S. A., &amp; Stokes, S. L. (2001). Disclosure risk vs. data utility: The R-U confidentiality map (Technical Report No. 121). National Institute of Statistical Sciences. https://www.niss.org/sites/default/files/technicalreports/tr121.pdf</w:t>
      </w:r>
    </w:p>
    <w:p>
      <w:pPr>
        <w:jc w:val="both"/>
      </w:pPr>
      <w:r>
        <w:rPr>
          <w:rFonts w:ascii="Times New Roman" w:hAnsi="Times New Roman"/>
          <w:b w:val="0"/>
          <w:i w:val="0"/>
          <w:sz w:val="24"/>
        </w:rPr>
        <w:t>EconomyNext. (2025, October). Sri Lanka government's key online services hit by LGC disruption. https://economynext.com/sri-lanka-governments-key-online-services-hit-by-lgc-disruption-icta-243862/</w:t>
      </w:r>
    </w:p>
    <w:p>
      <w:pPr>
        <w:jc w:val="both"/>
      </w:pPr>
      <w:r>
        <w:rPr>
          <w:rFonts w:ascii="Times New Roman" w:hAnsi="Times New Roman"/>
          <w:b w:val="0"/>
          <w:i w:val="0"/>
          <w:sz w:val="24"/>
        </w:rPr>
        <w:t>Emara, K. (2017). Safety-aware location privacy in VANET: Evaluation and comparison. IEEE Transactions on Vehicular Technology, 66(12), 10718–10731.</w:t>
      </w:r>
    </w:p>
    <w:p>
      <w:pPr>
        <w:jc w:val="both"/>
      </w:pPr>
      <w:r>
        <w:rPr>
          <w:rFonts w:ascii="Times New Roman" w:hAnsi="Times New Roman"/>
          <w:b w:val="0"/>
          <w:i w:val="0"/>
          <w:sz w:val="24"/>
        </w:rPr>
        <w:t>European Data Protection Board. (2025). Guidelines 02/2025 on processing of personal data through blockchain technologies (Version 1.1, adopted 8 April 2025). https://www.edpb.europa.eu/system/files/2025-04/edpb_guidelines_202502_blockchain_en.pdf</w:t>
      </w:r>
    </w:p>
    <w:p>
      <w:pPr>
        <w:jc w:val="both"/>
      </w:pPr>
      <w:r>
        <w:rPr>
          <w:rFonts w:ascii="Times New Roman" w:hAnsi="Times New Roman"/>
          <w:b w:val="0"/>
          <w:i w:val="0"/>
          <w:sz w:val="24"/>
        </w:rPr>
        <w:t>Exonum. (n.d.). The Republic of Georgia land-title registry. Retrieved June 2026, from https://exonum.com/story-georgia</w:t>
      </w:r>
    </w:p>
    <w:p>
      <w:pPr>
        <w:jc w:val="both"/>
      </w:pPr>
      <w:r>
        <w:rPr>
          <w:rFonts w:ascii="Times New Roman" w:hAnsi="Times New Roman"/>
          <w:b w:val="0"/>
          <w:i w:val="0"/>
          <w:sz w:val="24"/>
        </w:rPr>
        <w:t>Gorenflo, C., Lee, S., Golab, L., &amp; Keshav, S. (2019). FastFabric: Scaling Hyperledger Fabric to 20,000 transactions per second. arXiv. https://arxiv.org/abs/1901.00910</w:t>
      </w:r>
    </w:p>
    <w:p>
      <w:pPr>
        <w:jc w:val="both"/>
      </w:pPr>
      <w:r>
        <w:rPr>
          <w:rFonts w:ascii="Times New Roman" w:hAnsi="Times New Roman"/>
          <w:b w:val="0"/>
          <w:i w:val="0"/>
          <w:sz w:val="24"/>
        </w:rPr>
        <w:t>Government of Sri Lanka. (2024). Motor Traffic Act (Chapter 203, consolidated). https://lankalaw.net/wp-content/uploads/2025/03/Motor-Traffic-Consolidated-2024.pdf</w:t>
      </w:r>
    </w:p>
    <w:p>
      <w:pPr>
        <w:jc w:val="both"/>
      </w:pPr>
      <w:r>
        <w:rPr>
          <w:rFonts w:ascii="Times New Roman" w:hAnsi="Times New Roman"/>
          <w:b w:val="0"/>
          <w:i w:val="0"/>
          <w:sz w:val="24"/>
        </w:rPr>
        <w:t>Hevner, A. R., March, S. T., Park, J., &amp; Ram, S. (2004). Design science in information systems research. MIS Quarterly, 28(1), 75–105. https://doi.org/10.2307/25148625</w:t>
      </w:r>
    </w:p>
    <w:p>
      <w:pPr>
        <w:jc w:val="both"/>
      </w:pPr>
      <w:r>
        <w:rPr>
          <w:rFonts w:ascii="Times New Roman" w:hAnsi="Times New Roman"/>
          <w:b w:val="0"/>
          <w:i w:val="0"/>
          <w:sz w:val="24"/>
        </w:rPr>
        <w:t>Hyperledger Foundation. (2023). Benchmarking Hyperledger Fabric 2.5 performance. https://www.lfdecentralizedtrust.org/blog/2023/02/16/benchmarking-hyperledger-fabric-2-5-performance</w:t>
      </w:r>
    </w:p>
    <w:p>
      <w:pPr>
        <w:jc w:val="both"/>
      </w:pPr>
      <w:r>
        <w:rPr>
          <w:rFonts w:ascii="Times New Roman" w:hAnsi="Times New Roman"/>
          <w:b w:val="0"/>
          <w:i w:val="0"/>
          <w:sz w:val="24"/>
        </w:rPr>
        <w:t>ICTA. (2019). Brief of scope: Electronic Revenue Licence system (eRL 2.0). Information and Communication Technology Agency of Sri Lanka. https://www.icta.lk/icta-assets/uploads/2019/06/Brief-of-Scope.pdf</w:t>
      </w:r>
    </w:p>
    <w:p>
      <w:pPr>
        <w:jc w:val="both"/>
      </w:pPr>
      <w:r>
        <w:rPr>
          <w:rFonts w:ascii="Times New Roman" w:hAnsi="Times New Roman"/>
          <w:b w:val="0"/>
          <w:i w:val="0"/>
          <w:sz w:val="24"/>
        </w:rPr>
        <w:t>ICTA. (2023). Introducing eRL 2.0: Revolutionizing vehicle revenue licence systems. Information and Communication Technology Agency of Sri Lanka. https://www.icta.lk/media/news/introducing-erl-2-0-revolutionizing-vehicle-revenue-license-systems</w:t>
      </w:r>
    </w:p>
    <w:p>
      <w:pPr>
        <w:jc w:val="both"/>
      </w:pPr>
      <w:r>
        <w:rPr>
          <w:rFonts w:ascii="Times New Roman" w:hAnsi="Times New Roman"/>
          <w:b w:val="0"/>
          <w:i w:val="0"/>
          <w:sz w:val="24"/>
        </w:rPr>
        <w:t>Kamara, S., Moataz, T., Park, A., &amp; Qin, L. (2021). A decentralized and encrypted national gun registry. Cryptology ePrint Archive, Report 2021/107. https://eprint.iacr.org/2021/107</w:t>
      </w:r>
    </w:p>
    <w:p>
      <w:pPr>
        <w:jc w:val="both"/>
      </w:pPr>
      <w:r>
        <w:rPr>
          <w:rFonts w:ascii="Times New Roman" w:hAnsi="Times New Roman"/>
          <w:b w:val="0"/>
          <w:i w:val="0"/>
          <w:sz w:val="24"/>
        </w:rPr>
        <w:t>Kaushal, P. (2025). VehiclePassport: A GAIA-X-aligned, blockchain-anchored, privacy-preserving, zero-knowledge digital passport for smart vehicles. arXiv. https://arxiv.org/abs/2509.06133</w:t>
      </w:r>
    </w:p>
    <w:p>
      <w:pPr>
        <w:jc w:val="both"/>
      </w:pPr>
      <w:r>
        <w:rPr>
          <w:rFonts w:ascii="Times New Roman" w:hAnsi="Times New Roman"/>
          <w:b w:val="0"/>
          <w:i w:val="0"/>
          <w:sz w:val="24"/>
        </w:rPr>
        <w:t>Ledger Insights. (2024). California's DMV digitizes 42M car titles on a permissioned Avalanche chain. https://www.ledgerinsights.com/californias-dmv-digitizes-42m-car-titles-on-permissioned-avalanche-chain/</w:t>
      </w:r>
    </w:p>
    <w:p>
      <w:pPr>
        <w:jc w:val="both"/>
      </w:pPr>
      <w:r>
        <w:rPr>
          <w:rFonts w:ascii="Times New Roman" w:hAnsi="Times New Roman"/>
          <w:b w:val="0"/>
          <w:i w:val="0"/>
          <w:sz w:val="24"/>
        </w:rPr>
        <w:t>Lopez-Pimentel, J. C., Morales-Rosales, L. A., Algredo-Badillo, I., &amp; Del-Valle-Soto, C. (2023). NFT-Vehicle: A blockchain-based tokenization architecture to register transactions over a vehicle's life cycle. Mathematics, 11(13), 2801. https://doi.org/10.3390/math11132801</w:t>
      </w:r>
    </w:p>
    <w:p>
      <w:pPr>
        <w:jc w:val="both"/>
      </w:pPr>
      <w:r>
        <w:rPr>
          <w:rFonts w:ascii="Times New Roman" w:hAnsi="Times New Roman"/>
          <w:b w:val="0"/>
          <w:i w:val="0"/>
          <w:sz w:val="24"/>
        </w:rPr>
        <w:t>Malintha, C., Diyasena, D., &amp; Madushanka, T. (2024). Blockchain for vehicle registration, transferring and management process in Sri Lanka. Engineering &amp; Technology Quarterly Reviews, 7(1), 56–65. https://doi.org/10.5281/zenodo.12545454</w:t>
      </w:r>
    </w:p>
    <w:p>
      <w:pPr>
        <w:jc w:val="both"/>
      </w:pPr>
      <w:r>
        <w:rPr>
          <w:rFonts w:ascii="Times New Roman" w:hAnsi="Times New Roman"/>
          <w:b w:val="0"/>
          <w:i w:val="0"/>
          <w:sz w:val="24"/>
        </w:rPr>
        <w:t>Nash, A., Segoufin, L., &amp; Vianu, V. (2010). Views and queries: Determinacy and rewriting. ACM Transactions on Database Systems, 35(3), Article 21. https://doi.org/10.1145/1806907.1806913</w:t>
      </w:r>
    </w:p>
    <w:p>
      <w:pPr>
        <w:jc w:val="both"/>
      </w:pPr>
      <w:r>
        <w:rPr>
          <w:rFonts w:ascii="Times New Roman" w:hAnsi="Times New Roman"/>
          <w:b w:val="0"/>
          <w:i w:val="0"/>
          <w:sz w:val="24"/>
        </w:rPr>
        <w:t>Newswire. (2025, March 24). COPA exposes major vehicle registration fraud at DMT, raps officials. https://www.newswire.lk/2025/03/24/copa-exposes-major-vehicle-registration-fraud-at-dmt-raps-officials/</w:t>
      </w:r>
    </w:p>
    <w:p>
      <w:pPr>
        <w:jc w:val="both"/>
      </w:pPr>
      <w:r>
        <w:rPr>
          <w:rFonts w:ascii="Times New Roman" w:hAnsi="Times New Roman"/>
          <w:b w:val="0"/>
          <w:i w:val="0"/>
          <w:sz w:val="24"/>
        </w:rPr>
        <w:t>Parliament of Sri Lanka. (2022). Personal Data Protection Act, No. 9 of 2022. Government of Sri Lanka. https://www.parliament.lk/uploads/acts/gbills/english/6242.pdf</w:t>
      </w:r>
    </w:p>
    <w:p>
      <w:pPr>
        <w:jc w:val="both"/>
      </w:pPr>
      <w:r>
        <w:rPr>
          <w:rFonts w:ascii="Times New Roman" w:hAnsi="Times New Roman"/>
          <w:b w:val="0"/>
          <w:i w:val="0"/>
          <w:sz w:val="24"/>
        </w:rPr>
        <w:t>Parliament of Sri Lanka. (2025, March). Committee on Public Accounts reveals multiple losses at the Department of Motor Traffic due to fraudulent vehicle registrations. https://www.parliament.lk/en/news-en/view/4473</w:t>
      </w:r>
    </w:p>
    <w:p>
      <w:pPr>
        <w:jc w:val="both"/>
      </w:pPr>
      <w:r>
        <w:rPr>
          <w:rFonts w:ascii="Times New Roman" w:hAnsi="Times New Roman"/>
          <w:b w:val="0"/>
          <w:i w:val="0"/>
          <w:sz w:val="24"/>
        </w:rPr>
        <w:t>Parliament of Sri Lanka. (2025, October). Personal Data Protection (Amendment) Act, No. 22 of 2025. Government of Sri Lanka.</w:t>
      </w:r>
    </w:p>
    <w:p>
      <w:pPr>
        <w:jc w:val="both"/>
      </w:pPr>
      <w:r>
        <w:rPr>
          <w:rFonts w:ascii="Times New Roman" w:hAnsi="Times New Roman"/>
          <w:b w:val="0"/>
          <w:i w:val="0"/>
          <w:sz w:val="24"/>
        </w:rPr>
        <w:t>Peffers, K., Tuunanen, T., Rothenberger, M. A., &amp; Chatterjee, S. (2007). A design science research methodology for information systems research. Journal of Management Information Systems, 24(3), 45–77. https://doi.org/10.2753/MIS0742-1222240302</w:t>
      </w:r>
    </w:p>
    <w:p>
      <w:pPr>
        <w:jc w:val="both"/>
      </w:pPr>
      <w:r>
        <w:rPr>
          <w:rFonts w:ascii="Times New Roman" w:hAnsi="Times New Roman"/>
          <w:b w:val="0"/>
          <w:i w:val="0"/>
          <w:sz w:val="24"/>
        </w:rPr>
        <w:t>Qiao, M., Dong, H., &amp; Gondal, I. (2025). VeilAudit: Breaking the deadlock between privacy and accountability across blockchains. arXiv:2510.12153. https://arxiv.org/abs/2510.12153</w:t>
      </w:r>
    </w:p>
    <w:p>
      <w:pPr>
        <w:jc w:val="both"/>
      </w:pPr>
      <w:r>
        <w:rPr>
          <w:rFonts w:ascii="Times New Roman" w:hAnsi="Times New Roman"/>
          <w:b w:val="0"/>
          <w:i w:val="0"/>
          <w:sz w:val="24"/>
        </w:rPr>
        <w:t>Quartz. (2017). Sweden is turning a blockchain-powered land registry into a reality. https://qz.com/947064/sweden-is-turning-a-blockchain-powered-land-registry-into-a-reality</w:t>
      </w:r>
    </w:p>
    <w:p>
      <w:pPr>
        <w:jc w:val="both"/>
      </w:pPr>
      <w:r>
        <w:rPr>
          <w:rFonts w:ascii="Times New Roman" w:hAnsi="Times New Roman"/>
          <w:b w:val="0"/>
          <w:i w:val="0"/>
          <w:sz w:val="24"/>
        </w:rPr>
        <w:t>Samarakkody, D. (2021). Vehicle record/history maintenance through blockchain technology (TRUECARE) [Master of Computer Science dissertation, University of Colombo School of Computing]. https://dl.ucsc.cmb.ac.lk/jspui/handle/123456789/4527</w:t>
      </w:r>
    </w:p>
    <w:p>
      <w:pPr>
        <w:jc w:val="both"/>
      </w:pPr>
      <w:r>
        <w:rPr>
          <w:rFonts w:ascii="Times New Roman" w:hAnsi="Times New Roman"/>
          <w:b w:val="0"/>
          <w:i w:val="0"/>
          <w:sz w:val="24"/>
        </w:rPr>
        <w:t>Sarencheh, A., Kiayias, A., &amp; Kohlweiss, M. (2022). PEReDi: Privacy-enhanced, regulated and distributed central bank digital currencies. Cryptology ePrint Archive, Report 2022/974. https://eprint.iacr.org/2022/974</w:t>
      </w:r>
    </w:p>
    <w:p>
      <w:pPr>
        <w:jc w:val="both"/>
      </w:pPr>
      <w:r>
        <w:rPr>
          <w:rFonts w:ascii="Times New Roman" w:hAnsi="Times New Roman"/>
          <w:b w:val="0"/>
          <w:i w:val="0"/>
          <w:sz w:val="24"/>
        </w:rPr>
        <w:t>Scientific Reports. (2025). A conditional privacy-preserving authentication scheme for vehicular ad hoc networks. Scientific Reports, 15. https://www.nature.com/articles/s41598-025-89208-5</w:t>
      </w:r>
    </w:p>
    <w:p>
      <w:pPr>
        <w:jc w:val="both"/>
      </w:pPr>
      <w:r>
        <w:rPr>
          <w:rFonts w:ascii="Times New Roman" w:hAnsi="Times New Roman"/>
          <w:b w:val="0"/>
          <w:i w:val="0"/>
          <w:sz w:val="24"/>
        </w:rPr>
        <w:t>Souei, W. B. S., Bachir, N. G. A., &amp; Ben Djemaa, R. (2025). A blockchain-based fraud detection and vehicle damage assessment system using machine learning and computer vision. In Proceedings of the 27th International Conference on Enterprise Information Systems (ICEIS 2025) – Volume 1 (pp. 1123–1130). SciTePress. https://doi.org/10.5220/0013500800003929</w:t>
      </w:r>
    </w:p>
    <w:p>
      <w:pPr>
        <w:jc w:val="both"/>
      </w:pPr>
      <w:r>
        <w:rPr>
          <w:rFonts w:ascii="Times New Roman" w:hAnsi="Times New Roman"/>
          <w:b w:val="0"/>
          <w:i w:val="0"/>
          <w:sz w:val="24"/>
        </w:rPr>
        <w:t>Sri Lanka Customs. (n.d.). Importing goods. Retrieved June 2026, from https://www.customs.gov.lk/business/importing-goods/</w:t>
      </w:r>
    </w:p>
    <w:p>
      <w:pPr>
        <w:jc w:val="both"/>
      </w:pPr>
      <w:r>
        <w:rPr>
          <w:rFonts w:ascii="Times New Roman" w:hAnsi="Times New Roman"/>
          <w:b w:val="0"/>
          <w:i w:val="0"/>
          <w:sz w:val="24"/>
        </w:rPr>
        <w:t>Sunday Times. (2026, January 11). Revenue soars after Sri Lanka lifts vehicle import ban. https://www.sundaytimes.lk/260111/news/revenue-soars-after-sri-lanka-lifts-vehicle-import-ban-627703.html</w:t>
      </w:r>
    </w:p>
    <w:p>
      <w:pPr>
        <w:jc w:val="both"/>
      </w:pPr>
      <w:r>
        <w:rPr>
          <w:rFonts w:ascii="Times New Roman" w:hAnsi="Times New Roman"/>
          <w:b w:val="0"/>
          <w:i w:val="0"/>
          <w:sz w:val="24"/>
        </w:rPr>
        <w:t>The Morning. (2026, March 6). COPA approves sending DMT report to Attorney General. https://www.themorning.lk/articles/LIIUyisXNtk4TTBqlTI0</w:t>
      </w:r>
    </w:p>
    <w:p>
      <w:pPr>
        <w:jc w:val="both"/>
      </w:pPr>
      <w:r>
        <w:rPr>
          <w:rFonts w:ascii="Times New Roman" w:hAnsi="Times New Roman"/>
          <w:b w:val="0"/>
          <w:i w:val="0"/>
          <w:sz w:val="24"/>
        </w:rPr>
        <w:t>Tissera, T. (2022). Blockchain based vehicle registration system: Improved proposed solution for the existing DMT system (Legit-Ride) [BSc dissertation, Informatics Institute of Technology]. https://dlib.iit.ac.lk/xmlui/handle/123456789/1293</w:t>
      </w:r>
    </w:p>
    <w:p>
      <w:pPr>
        <w:jc w:val="both"/>
      </w:pPr>
      <w:r>
        <w:rPr>
          <w:rFonts w:ascii="Times New Roman" w:hAnsi="Times New Roman"/>
          <w:b w:val="0"/>
          <w:i w:val="0"/>
          <w:sz w:val="24"/>
        </w:rPr>
        <w:t>Tsukada, M., Arii, S., Ochiai, H., &amp; Esaki, H. (2022). Misbehavior detection using collective perception under privacy considerations. 2022 IEEE 19th Annual Consumer Communications &amp; Networking Conference (CCNC), 808–814. https://doi.org/10.1109/CCNC49033.2022.9700564</w:t>
      </w:r>
    </w:p>
    <w:p>
      <w:pPr>
        <w:jc w:val="both"/>
      </w:pPr>
      <w:r>
        <w:rPr>
          <w:rFonts w:ascii="Times New Roman" w:hAnsi="Times New Roman"/>
          <w:b w:val="0"/>
          <w:i w:val="0"/>
          <w:sz w:val="24"/>
        </w:rPr>
        <w:t>U.S. Department of Justice. (n.d.). 28 CFR Part 25, Subpart B — National Motor Vehicle Title Information System (NMVTIS). Electronic Code of Federal Regulations. Retrieved July 2026, from https://www.ecfr.gov/current/title-28/chapter-I/part-25/subpart-B</w:t>
      </w:r>
    </w:p>
    <w:p>
      <w:pPr>
        <w:jc w:val="both"/>
      </w:pPr>
      <w:r>
        <w:rPr>
          <w:rFonts w:ascii="Times New Roman" w:hAnsi="Times New Roman"/>
          <w:b w:val="0"/>
          <w:i w:val="0"/>
          <w:sz w:val="24"/>
        </w:rPr>
        <w:t>van der Heijden, R. W., Dietzel, S., Leinmüller, T., &amp; Kargl, F. (2019). Survey on misbehavior detection in cooperative intelligent transportation systems. IEEE Communications Surveys &amp; Tutorials, 21(1), 779–811. https://arxiv.org/pdf/1610.06810</w:t>
      </w:r>
    </w:p>
    <w:p>
      <w:pPr>
        <w:jc w:val="both"/>
      </w:pPr>
      <w:r>
        <w:rPr>
          <w:rFonts w:ascii="Times New Roman" w:hAnsi="Times New Roman"/>
          <w:b w:val="0"/>
          <w:i w:val="0"/>
          <w:sz w:val="24"/>
        </w:rPr>
        <w:t>Wijewardena, T. M. (2020). Collaborative platform for vehicle insurance companies in Sri Lanka to avoid vehicle insurance frauds [BSc dissertation, Informatics Institute of Technology]. https://dlib.iit.ac.lk/xmlui/handle/123456789/1107</w:t>
      </w:r>
    </w:p>
    <w:p>
      <w:pPr>
        <w:jc w:val="both"/>
      </w:pPr>
      <w:r>
        <w:rPr>
          <w:rFonts w:ascii="Times New Roman" w:hAnsi="Times New Roman"/>
          <w:b w:val="0"/>
          <w:i w:val="0"/>
          <w:sz w:val="24"/>
        </w:rPr>
        <w:t>Wood, G. (2014). Ethereum: A secure decentralised generalised transaction ledger. Ethereum Project Yellow Paper.</w:t>
      </w:r>
    </w:p>
    <w:p>
      <w:pPr>
        <w:jc w:val="both"/>
      </w:pPr>
      <w:r>
        <w:rPr>
          <w:rFonts w:ascii="Times New Roman" w:hAnsi="Times New Roman"/>
          <w:b w:val="0"/>
          <w:i w:val="0"/>
          <w:sz w:val="24"/>
        </w:rPr>
        <w:t>Yadav, A. S., Charles, V., Pandey, D. K., Gupta, S., Gherman, T., &amp; Kushwaha, D. S. (2023). Blockchain-based secure privacy-preserving vehicle accident and insurance registration. Expert Systems with Applications, 230, 120651. https://doi.org/10.1016/j.eswa.2023.120651</w:t>
      </w:r>
    </w:p>
    <w:p>
      <w:pPr>
        <w:jc w:val="both"/>
      </w:pPr>
      <w:r>
        <w:rPr>
          <w:rFonts w:ascii="Times New Roman" w:hAnsi="Times New Roman"/>
          <w:b w:val="0"/>
          <w:i w:val="0"/>
          <w:sz w:val="24"/>
        </w:rPr>
        <w:t>Zavolokina, L., Miscione, G., &amp; Schwabe, G. (2020). Buyers of "lemons": How can a blockchain platform address buyers' needs in the market for "lemons"? Electronic Markets, 30(2), 227–239. https://doi.org/10.1007/s12525-019-00380-9</w:t>
      </w:r>
    </w:p>
    <w:p>
      <w:pPr>
        <w:jc w:val="both"/>
      </w:pPr>
      <w:r>
        <w:rPr>
          <w:rFonts w:ascii="Times New Roman" w:hAnsi="Times New Roman"/>
          <w:b w:val="0"/>
          <w:i w:val="0"/>
          <w:sz w:val="24"/>
        </w:rPr>
        <w:t>Zheng, Z., Xie, S., Dai, H., Chen, X., &amp; Wang, H. (2017). An overview of blockchain technology: Architecture, consensus, and future trends. 2017 IEEE International Congress on Big Data, 557–564. https://doi.org/10.1109/BigDataCongress.2017.85</w:t>
      </w:r>
    </w:p>
    <w:p>
      <w:r>
        <w:br w:type="page"/>
      </w:r>
    </w:p>
    <w:p>
      <w:pPr>
        <w:pStyle w:val="Heading1"/>
      </w:pPr>
      <w:r>
        <w:t>Appendices</w:t>
      </w:r>
    </w:p>
    <w:p>
      <w:pPr>
        <w:pStyle w:val="Heading2"/>
      </w:pPr>
      <w:r>
        <w:t>Appendix A — Supervisor Progress Monitoring Sheet</w:t>
      </w:r>
    </w:p>
    <w:p>
      <w:pPr>
        <w:jc w:val="center"/>
      </w:pPr>
      <w:r>
        <w:drawing>
          <wp:inline xmlns:a="http://schemas.openxmlformats.org/drawingml/2006/main" xmlns:pic="http://schemas.openxmlformats.org/drawingml/2006/picture">
            <wp:extent cx="4114800" cy="3025688"/>
            <wp:docPr id="10" name="Picture 10"/>
            <wp:cNvGraphicFramePr>
              <a:graphicFrameLocks noChangeAspect="1"/>
            </wp:cNvGraphicFramePr>
            <a:graphic>
              <a:graphicData uri="http://schemas.openxmlformats.org/drawingml/2006/picture">
                <pic:pic>
                  <pic:nvPicPr>
                    <pic:cNvPr id="0" name="supervisor_log.png"/>
                    <pic:cNvPicPr/>
                  </pic:nvPicPr>
                  <pic:blipFill>
                    <a:blip r:embed="rId18"/>
                    <a:stretch>
                      <a:fillRect/>
                    </a:stretch>
                  </pic:blipFill>
                  <pic:spPr>
                    <a:xfrm>
                      <a:off x="0" y="0"/>
                      <a:ext cx="4114800" cy="3025688"/>
                    </a:xfrm>
                    <a:prstGeom prst="rect"/>
                  </pic:spPr>
                </pic:pic>
              </a:graphicData>
            </a:graphic>
          </wp:inline>
        </w:drawing>
      </w:r>
    </w:p>
    <w:p>
      <w:pPr>
        <w:jc w:val="center"/>
      </w:pPr>
      <w:r>
        <w:rPr>
          <w:i/>
          <w:sz w:val="20"/>
        </w:rPr>
        <w:t>Supervisor Progress Monitoring Sheet</w:t>
      </w:r>
    </w:p>
    <w:p>
      <w:pPr>
        <w:pStyle w:val="Heading2"/>
      </w:pPr>
      <w:r>
        <w:t>Appendix B — Supervisor Meeting Evidence</w:t>
      </w:r>
    </w:p>
    <w:p>
      <w:pPr>
        <w:jc w:val="center"/>
      </w:pPr>
      <w:r>
        <w:drawing>
          <wp:inline xmlns:a="http://schemas.openxmlformats.org/drawingml/2006/main" xmlns:pic="http://schemas.openxmlformats.org/drawingml/2006/picture">
            <wp:extent cx="5029200" cy="4115665"/>
            <wp:docPr id="11" name="Picture 11"/>
            <wp:cNvGraphicFramePr>
              <a:graphicFrameLocks noChangeAspect="1"/>
            </wp:cNvGraphicFramePr>
            <a:graphic>
              <a:graphicData uri="http://schemas.openxmlformats.org/drawingml/2006/picture">
                <pic:pic>
                  <pic:nvPicPr>
                    <pic:cNvPr id="0" name="supervisor_email1.png"/>
                    <pic:cNvPicPr/>
                  </pic:nvPicPr>
                  <pic:blipFill>
                    <a:blip r:embed="rId19"/>
                    <a:stretch>
                      <a:fillRect/>
                    </a:stretch>
                  </pic:blipFill>
                  <pic:spPr>
                    <a:xfrm>
                      <a:off x="0" y="0"/>
                      <a:ext cx="5029200" cy="4115665"/>
                    </a:xfrm>
                    <a:prstGeom prst="rect"/>
                  </pic:spPr>
                </pic:pic>
              </a:graphicData>
            </a:graphic>
          </wp:inline>
        </w:drawing>
      </w:r>
    </w:p>
    <w:p>
      <w:pPr>
        <w:jc w:val="center"/>
      </w:pPr>
      <w:r>
        <w:rPr>
          <w:i/>
          <w:sz w:val="20"/>
        </w:rPr>
        <w:t>Supervision meeting correspondence (1)</w:t>
      </w:r>
    </w:p>
    <w:p>
      <w:pPr>
        <w:jc w:val="center"/>
      </w:pPr>
      <w:r>
        <w:drawing>
          <wp:inline xmlns:a="http://schemas.openxmlformats.org/drawingml/2006/main" xmlns:pic="http://schemas.openxmlformats.org/drawingml/2006/picture">
            <wp:extent cx="5029200" cy="3543519"/>
            <wp:docPr id="12" name="Picture 12"/>
            <wp:cNvGraphicFramePr>
              <a:graphicFrameLocks noChangeAspect="1"/>
            </wp:cNvGraphicFramePr>
            <a:graphic>
              <a:graphicData uri="http://schemas.openxmlformats.org/drawingml/2006/picture">
                <pic:pic>
                  <pic:nvPicPr>
                    <pic:cNvPr id="0" name="supervisor_email2.png"/>
                    <pic:cNvPicPr/>
                  </pic:nvPicPr>
                  <pic:blipFill>
                    <a:blip r:embed="rId20"/>
                    <a:stretch>
                      <a:fillRect/>
                    </a:stretch>
                  </pic:blipFill>
                  <pic:spPr>
                    <a:xfrm>
                      <a:off x="0" y="0"/>
                      <a:ext cx="5029200" cy="3543519"/>
                    </a:xfrm>
                    <a:prstGeom prst="rect"/>
                  </pic:spPr>
                </pic:pic>
              </a:graphicData>
            </a:graphic>
          </wp:inline>
        </w:drawing>
      </w:r>
    </w:p>
    <w:p>
      <w:pPr>
        <w:jc w:val="center"/>
      </w:pPr>
      <w:r>
        <w:rPr>
          <w:i/>
          <w:sz w:val="20"/>
        </w:rPr>
        <w:t>Supervision meeting correspondence (2)</w:t>
      </w:r>
    </w:p>
    <w:p>
      <w:r>
        <w:br w:type="page"/>
      </w:r>
    </w:p>
    <w:p>
      <w:pPr>
        <w:pStyle w:val="Heading2"/>
      </w:pPr>
      <w:r>
        <w:t>Appendix C — Fraud-Capability Matrix: All 48 Documented Fraud Subtypes</w:t>
      </w:r>
    </w:p>
    <w:p>
      <w:pPr>
        <w:jc w:val="both"/>
      </w:pPr>
      <w:r>
        <w:rPr>
          <w:rFonts w:ascii="Times New Roman" w:hAnsi="Times New Roman"/>
          <w:b w:val="0"/>
          <w:i w:val="0"/>
          <w:sz w:val="24"/>
        </w:rPr>
        <w:t xml:space="preserve">This appendix records, for each of the forty-eight real-world vehicle-fraud subtypes identified in the July 2026 capability audit (§4.11), the verdict reached against the designed system, the mechanism by which the fraud is detected or the precise reason it cannot be, and the recommended handling. Each subtype is grounded in at least one documented real-world case; full case citations, evasion analysis, and cross-system comparison are held in the companion analysis </w:t>
      </w:r>
      <w:r>
        <w:rPr>
          <w:rFonts w:ascii="Times New Roman" w:hAnsi="Times New Roman"/>
          <w:b w:val="0"/>
          <w:i w:val="0"/>
          <w:sz w:val="24"/>
        </w:rPr>
        <w:t>FRAUD_CAPABILITY_ANALYSIS.md</w:t>
      </w:r>
      <w:r>
        <w:rPr>
          <w:rFonts w:ascii="Times New Roman" w:hAnsi="Times New Roman"/>
          <w:b w:val="0"/>
          <w:i w:val="0"/>
          <w:sz w:val="24"/>
        </w:rPr>
        <w:t>. Verdicts were produced by an adversarial validation process of three rounds, in which eighty-six confirmed corrections were applied and eleven challenges refuted.</w:t>
      </w:r>
    </w:p>
    <w:p>
      <w:pPr>
        <w:jc w:val="both"/>
      </w:pPr>
      <w:r>
        <w:rPr>
          <w:rFonts w:ascii="Times New Roman" w:hAnsi="Times New Roman"/>
          <w:b/>
          <w:i w:val="0"/>
          <w:sz w:val="24"/>
        </w:rPr>
        <w:t>Verdict key.</w:t>
      </w:r>
      <w:r>
        <w:rPr>
          <w:rFonts w:ascii="Times New Roman" w:hAnsi="Times New Roman"/>
          <w:b w:val="0"/>
          <w:i w:val="0"/>
          <w:sz w:val="24"/>
        </w:rPr>
        <w:t xml:space="preserve"> </w:t>
      </w:r>
      <w:r>
        <w:rPr>
          <w:rFonts w:ascii="Times New Roman" w:hAnsi="Times New Roman"/>
          <w:b w:val="0"/>
          <w:i/>
          <w:sz w:val="24"/>
        </w:rPr>
        <w:t>Detects</w:t>
      </w:r>
      <w:r>
        <w:rPr>
          <w:rFonts w:ascii="Times New Roman" w:hAnsi="Times New Roman"/>
          <w:b w:val="0"/>
          <w:i w:val="0"/>
          <w:sz w:val="24"/>
        </w:rPr>
        <w:t xml:space="preserve"> — an implemented rule fires deterministically on the fraud. </w:t>
      </w:r>
      <w:r>
        <w:rPr>
          <w:rFonts w:ascii="Times New Roman" w:hAnsi="Times New Roman"/>
          <w:b w:val="0"/>
          <w:i/>
          <w:sz w:val="24"/>
        </w:rPr>
        <w:t>Partial</w:t>
      </w:r>
      <w:r>
        <w:rPr>
          <w:rFonts w:ascii="Times New Roman" w:hAnsi="Times New Roman"/>
          <w:b w:val="0"/>
          <w:i w:val="0"/>
          <w:sz w:val="24"/>
        </w:rPr>
        <w:t xml:space="preserve"> — the rule catches some variants only, fires after the transaction has completed, or attributes the fraudulent write rather than preventing it. </w:t>
      </w:r>
      <w:r>
        <w:rPr>
          <w:rFonts w:ascii="Times New Roman" w:hAnsi="Times New Roman"/>
          <w:b w:val="0"/>
          <w:i/>
          <w:sz w:val="24"/>
        </w:rPr>
        <w:t>Cannot</w:t>
      </w:r>
      <w:r>
        <w:rPr>
          <w:rFonts w:ascii="Times New Roman" w:hAnsi="Times New Roman"/>
          <w:b w:val="0"/>
          <w:i w:val="0"/>
          <w:sz w:val="24"/>
        </w:rPr>
        <w:t xml:space="preserve"> — no implemented rule has an input on which to operate.</w:t>
      </w:r>
    </w:p>
    <w:p>
      <w:pPr>
        <w:jc w:val="both"/>
      </w:pPr>
      <w:r>
        <w:rPr>
          <w:rFonts w:ascii="Times New Roman" w:hAnsi="Times New Roman"/>
          <w:b/>
          <w:i w:val="0"/>
          <w:sz w:val="24"/>
        </w:rPr>
        <w:t>Distribution.</w:t>
      </w:r>
      <w:r>
        <w:rPr>
          <w:rFonts w:ascii="Times New Roman" w:hAnsi="Times New Roman"/>
          <w:b w:val="0"/>
          <w:i w:val="0"/>
          <w:sz w:val="24"/>
        </w:rPr>
        <w:t xml:space="preserve"> Detects: 2. Partial: 23. Cannot: 23.</w:t>
      </w:r>
    </w:p>
    <w:p>
      <w:pPr>
        <w:jc w:val="both"/>
      </w:pPr>
      <w:r>
        <w:rPr>
          <w:rFonts w:ascii="Times New Roman" w:hAnsi="Times New Roman"/>
          <w:b/>
          <w:i w:val="0"/>
          <w:sz w:val="24"/>
        </w:rPr>
        <w:t>Structural causes of non-detection.</w:t>
      </w:r>
      <w:r>
        <w:rPr>
          <w:rFonts w:ascii="Times New Roman" w:hAnsi="Times New Roman"/>
          <w:b w:val="0"/>
          <w:i w:val="0"/>
          <w:sz w:val="24"/>
        </w:rPr>
        <w:t xml:space="preserve"> Every </w:t>
      </w:r>
      <w:r>
        <w:rPr>
          <w:rFonts w:ascii="Times New Roman" w:hAnsi="Times New Roman"/>
          <w:b w:val="0"/>
          <w:i/>
          <w:sz w:val="24"/>
        </w:rPr>
        <w:t>Cannot</w:t>
      </w:r>
      <w:r>
        <w:rPr>
          <w:rFonts w:ascii="Times New Roman" w:hAnsi="Times New Roman"/>
          <w:b w:val="0"/>
          <w:i w:val="0"/>
          <w:sz w:val="24"/>
        </w:rPr>
        <w:t xml:space="preserve"> verdict arises from one of four causes, identified in §4.11: (i) no data is produced, so no rule has an input — fourteen subtypes; (ii) the record is genuine but its content is false, the system's contribution being limited to signed, permanent attribution — six subtypes; (iii) the fraud is calibrated to remain within plausible bounds and is arithmetically indistinguishable from honest data, the registry bounding its magnitude rather than detecting it — one subtype; and (iv) detection would require the cross-vehicle owner linkage that this design deliberately withholds — two subtypes, together with the general cross-vehicle serial pattern.</w:t>
      </w:r>
    </w:p>
    <w:p>
      <w:pPr>
        <w:jc w:val="both"/>
      </w:pPr>
      <w:r>
        <w:rPr>
          <w:rFonts w:ascii="Times New Roman" w:hAnsi="Times New Roman"/>
          <w:b w:val="0"/>
          <w:i w:val="0"/>
          <w:sz w:val="24"/>
        </w:rPr>
        <w:t>The twenty-three non-detected subtypes partition exactly, with no remainder, across these four causes, as set out in Table C.1. Causes (i) and (iii) are properties of any registry irrespective of the technology used, and cause (ii) is a limit of any system that accepts attested input from an authorised party; only cause (iv) follows from this design's own privacy decision, and it is the one the research quantifies.</w:t>
      </w:r>
    </w:p>
    <w:p>
      <w:pPr>
        <w:jc w:val="both"/>
      </w:pPr>
      <w:r>
        <w:rPr>
          <w:rFonts w:ascii="Times New Roman" w:hAnsi="Times New Roman"/>
          <w:b/>
          <w:i w:val="0"/>
          <w:sz w:val="24"/>
        </w:rPr>
        <w:t>Table C.1 — Structural causes of non-detection</w:t>
      </w:r>
    </w:p>
    <w:tbl>
      <w:tblPr>
        <w:tblStyle w:val="TableGrid"/>
        <w:tblW w:type="auto" w:w="0"/>
        <w:jc w:val="center"/>
        <w:tblLook w:firstColumn="1" w:firstRow="1" w:lastColumn="0" w:lastRow="0" w:noHBand="0" w:noVBand="1" w:val="04A0"/>
      </w:tblPr>
      <w:tblGrid>
        <w:gridCol w:w="2640"/>
        <w:gridCol w:w="2640"/>
        <w:gridCol w:w="2640"/>
      </w:tblGrid>
      <w:tr>
        <w:tc>
          <w:tcPr>
            <w:tcW w:type="dxa" w:w="2640"/>
            <w:shd w:val="clear" w:fill="D9E2F3"/>
          </w:tcPr>
          <w:p>
            <w:pPr>
              <w:spacing w:after="40"/>
            </w:pPr>
            <w:r/>
            <w:r>
              <w:rPr>
                <w:rFonts w:ascii="Times New Roman" w:hAnsi="Times New Roman"/>
                <w:b/>
                <w:i w:val="0"/>
                <w:sz w:val="22"/>
              </w:rPr>
              <w:t>Cause</w:t>
            </w:r>
          </w:p>
        </w:tc>
        <w:tc>
          <w:tcPr>
            <w:tcW w:type="dxa" w:w="2640"/>
            <w:shd w:val="clear" w:fill="D9E2F3"/>
          </w:tcPr>
          <w:p>
            <w:pPr>
              <w:spacing w:after="40"/>
            </w:pPr>
            <w:r/>
            <w:r>
              <w:rPr>
                <w:rFonts w:ascii="Times New Roman" w:hAnsi="Times New Roman"/>
                <w:b/>
                <w:i w:val="0"/>
                <w:sz w:val="22"/>
              </w:rPr>
              <w:t>Subtypes (numbered as in Table C.2)</w:t>
            </w:r>
          </w:p>
        </w:tc>
        <w:tc>
          <w:tcPr>
            <w:tcW w:type="dxa" w:w="2640"/>
            <w:shd w:val="clear" w:fill="D9E2F3"/>
          </w:tcPr>
          <w:p>
            <w:pPr>
              <w:spacing w:after="40"/>
            </w:pPr>
            <w:r/>
            <w:r>
              <w:rPr>
                <w:rFonts w:ascii="Times New Roman" w:hAnsi="Times New Roman"/>
                <w:b/>
                <w:i w:val="0"/>
                <w:sz w:val="22"/>
              </w:rPr>
              <w:t>Count</w:t>
            </w:r>
          </w:p>
        </w:tc>
      </w:tr>
      <w:tr>
        <w:tc>
          <w:tcPr>
            <w:tcW w:type="dxa" w:w="2640"/>
          </w:tcPr>
          <w:p>
            <w:pPr>
              <w:spacing w:after="40"/>
            </w:pPr>
            <w:r/>
            <w:r>
              <w:rPr>
                <w:rFonts w:ascii="Times New Roman" w:hAnsi="Times New Roman"/>
                <w:b w:val="0"/>
                <w:i w:val="0"/>
                <w:sz w:val="22"/>
              </w:rPr>
              <w:t>(i) No data is produced — the fraud generates no submission from any member</w:t>
            </w:r>
          </w:p>
        </w:tc>
        <w:tc>
          <w:tcPr>
            <w:tcW w:type="dxa" w:w="2640"/>
          </w:tcPr>
          <w:p>
            <w:pPr>
              <w:spacing w:after="40"/>
            </w:pPr>
            <w:r/>
            <w:r>
              <w:rPr>
                <w:rFonts w:ascii="Times New Roman" w:hAnsi="Times New Roman"/>
                <w:b w:val="0"/>
                <w:i w:val="0"/>
                <w:sz w:val="22"/>
              </w:rPr>
              <w:t>3, 7, 8, 14, 15, 16, 21, 27, 36, 40, 41, 42, 43, 44</w:t>
            </w:r>
          </w:p>
        </w:tc>
        <w:tc>
          <w:tcPr>
            <w:tcW w:type="dxa" w:w="2640"/>
          </w:tcPr>
          <w:p>
            <w:pPr>
              <w:spacing w:after="40"/>
            </w:pPr>
            <w:r/>
            <w:r>
              <w:rPr>
                <w:rFonts w:ascii="Times New Roman" w:hAnsi="Times New Roman"/>
                <w:b w:val="0"/>
                <w:i w:val="0"/>
                <w:sz w:val="22"/>
              </w:rPr>
              <w:t>14</w:t>
            </w:r>
          </w:p>
        </w:tc>
      </w:tr>
      <w:tr>
        <w:tc>
          <w:tcPr>
            <w:tcW w:type="dxa" w:w="2640"/>
          </w:tcPr>
          <w:p>
            <w:pPr>
              <w:spacing w:after="40"/>
            </w:pPr>
            <w:r/>
            <w:r>
              <w:rPr>
                <w:rFonts w:ascii="Times New Roman" w:hAnsi="Times New Roman"/>
                <w:b w:val="0"/>
                <w:i w:val="0"/>
                <w:sz w:val="22"/>
              </w:rPr>
              <w:t>(ii) Genuine record, false content — an authorised member attests a falsehood</w:t>
            </w:r>
          </w:p>
        </w:tc>
        <w:tc>
          <w:tcPr>
            <w:tcW w:type="dxa" w:w="2640"/>
          </w:tcPr>
          <w:p>
            <w:pPr>
              <w:spacing w:after="40"/>
            </w:pPr>
            <w:r/>
            <w:r>
              <w:rPr>
                <w:rFonts w:ascii="Times New Roman" w:hAnsi="Times New Roman"/>
                <w:b w:val="0"/>
                <w:i w:val="0"/>
                <w:sz w:val="22"/>
              </w:rPr>
              <w:t>6, 17, 19, 30, 32, 46</w:t>
            </w:r>
          </w:p>
        </w:tc>
        <w:tc>
          <w:tcPr>
            <w:tcW w:type="dxa" w:w="2640"/>
          </w:tcPr>
          <w:p>
            <w:pPr>
              <w:spacing w:after="40"/>
            </w:pPr>
            <w:r/>
            <w:r>
              <w:rPr>
                <w:rFonts w:ascii="Times New Roman" w:hAnsi="Times New Roman"/>
                <w:b w:val="0"/>
                <w:i w:val="0"/>
                <w:sz w:val="22"/>
              </w:rPr>
              <w:t>6</w:t>
            </w:r>
          </w:p>
        </w:tc>
      </w:tr>
      <w:tr>
        <w:tc>
          <w:tcPr>
            <w:tcW w:type="dxa" w:w="2640"/>
          </w:tcPr>
          <w:p>
            <w:pPr>
              <w:spacing w:after="40"/>
            </w:pPr>
            <w:r/>
            <w:r>
              <w:rPr>
                <w:rFonts w:ascii="Times New Roman" w:hAnsi="Times New Roman"/>
                <w:b w:val="0"/>
                <w:i w:val="0"/>
                <w:sz w:val="22"/>
              </w:rPr>
              <w:t>(iii) Calibrated within plausible bounds — indistinguishable from honest data</w:t>
            </w:r>
          </w:p>
        </w:tc>
        <w:tc>
          <w:tcPr>
            <w:tcW w:type="dxa" w:w="2640"/>
          </w:tcPr>
          <w:p>
            <w:pPr>
              <w:spacing w:after="40"/>
            </w:pPr>
            <w:r/>
            <w:r>
              <w:rPr>
                <w:rFonts w:ascii="Times New Roman" w:hAnsi="Times New Roman"/>
                <w:b w:val="0"/>
                <w:i w:val="0"/>
                <w:sz w:val="22"/>
              </w:rPr>
              <w:t>2</w:t>
            </w:r>
          </w:p>
        </w:tc>
        <w:tc>
          <w:tcPr>
            <w:tcW w:type="dxa" w:w="2640"/>
          </w:tcPr>
          <w:p>
            <w:pPr>
              <w:spacing w:after="40"/>
            </w:pPr>
            <w:r/>
            <w:r>
              <w:rPr>
                <w:rFonts w:ascii="Times New Roman" w:hAnsi="Times New Roman"/>
                <w:b w:val="0"/>
                <w:i w:val="0"/>
                <w:sz w:val="22"/>
              </w:rPr>
              <w:t>1</w:t>
            </w:r>
          </w:p>
        </w:tc>
      </w:tr>
      <w:tr>
        <w:tc>
          <w:tcPr>
            <w:tcW w:type="dxa" w:w="2640"/>
          </w:tcPr>
          <w:p>
            <w:pPr>
              <w:spacing w:after="40"/>
            </w:pPr>
            <w:r/>
            <w:r>
              <w:rPr>
                <w:rFonts w:ascii="Times New Roman" w:hAnsi="Times New Roman"/>
                <w:b w:val="0"/>
                <w:i w:val="0"/>
                <w:sz w:val="22"/>
              </w:rPr>
              <w:t>(iv) Detection would require the cross-vehicle owner linkage the design withholds</w:t>
            </w:r>
          </w:p>
        </w:tc>
        <w:tc>
          <w:tcPr>
            <w:tcW w:type="dxa" w:w="2640"/>
          </w:tcPr>
          <w:p>
            <w:pPr>
              <w:spacing w:after="40"/>
            </w:pPr>
            <w:r/>
            <w:r>
              <w:rPr>
                <w:rFonts w:ascii="Times New Roman" w:hAnsi="Times New Roman"/>
                <w:b w:val="0"/>
                <w:i w:val="0"/>
                <w:sz w:val="22"/>
              </w:rPr>
              <w:t>34, 35</w:t>
            </w:r>
          </w:p>
        </w:tc>
        <w:tc>
          <w:tcPr>
            <w:tcW w:type="dxa" w:w="2640"/>
          </w:tcPr>
          <w:p>
            <w:pPr>
              <w:spacing w:after="40"/>
            </w:pPr>
            <w:r/>
            <w:r>
              <w:rPr>
                <w:rFonts w:ascii="Times New Roman" w:hAnsi="Times New Roman"/>
                <w:b w:val="0"/>
                <w:i w:val="0"/>
                <w:sz w:val="22"/>
              </w:rPr>
              <w:t>2</w:t>
            </w:r>
          </w:p>
        </w:tc>
      </w:tr>
    </w:tbl>
    <w:p/>
    <w:p>
      <w:pPr>
        <w:jc w:val="both"/>
      </w:pPr>
      <w:r>
        <w:rPr>
          <w:rFonts w:ascii="Times New Roman" w:hAnsi="Times New Roman"/>
          <w:b/>
          <w:i w:val="0"/>
          <w:sz w:val="24"/>
        </w:rPr>
        <w:t>Table C.2 — Capability against the 48 documented fraud subtypes</w:t>
      </w:r>
    </w:p>
    <w:tbl>
      <w:tblPr>
        <w:tblStyle w:val="TableGrid"/>
        <w:tblW w:type="auto" w:w="0"/>
        <w:jc w:val="center"/>
        <w:tblLook w:firstColumn="1" w:firstRow="1" w:lastColumn="0" w:lastRow="0" w:noHBand="0" w:noVBand="1" w:val="04A0"/>
      </w:tblPr>
      <w:tblGrid>
        <w:gridCol w:w="1584"/>
        <w:gridCol w:w="1584"/>
        <w:gridCol w:w="1584"/>
        <w:gridCol w:w="1584"/>
        <w:gridCol w:w="1584"/>
      </w:tblGrid>
      <w:tr>
        <w:tc>
          <w:tcPr>
            <w:tcW w:type="dxa" w:w="1584"/>
            <w:shd w:val="clear" w:fill="D9E2F3"/>
          </w:tcPr>
          <w:p>
            <w:pPr>
              <w:spacing w:after="40"/>
            </w:pPr>
            <w:r/>
            <w:r>
              <w:rPr>
                <w:rFonts w:ascii="Times New Roman" w:hAnsi="Times New Roman"/>
                <w:b/>
                <w:i w:val="0"/>
                <w:sz w:val="22"/>
              </w:rPr>
              <w:t>#</w:t>
            </w:r>
          </w:p>
        </w:tc>
        <w:tc>
          <w:tcPr>
            <w:tcW w:type="dxa" w:w="1584"/>
            <w:shd w:val="clear" w:fill="D9E2F3"/>
          </w:tcPr>
          <w:p>
            <w:pPr>
              <w:spacing w:after="40"/>
            </w:pPr>
            <w:r/>
            <w:r>
              <w:rPr>
                <w:rFonts w:ascii="Times New Roman" w:hAnsi="Times New Roman"/>
                <w:b/>
                <w:i w:val="0"/>
                <w:sz w:val="22"/>
              </w:rPr>
              <w:t>Fraud subtype</w:t>
            </w:r>
          </w:p>
        </w:tc>
        <w:tc>
          <w:tcPr>
            <w:tcW w:type="dxa" w:w="1584"/>
            <w:shd w:val="clear" w:fill="D9E2F3"/>
          </w:tcPr>
          <w:p>
            <w:pPr>
              <w:spacing w:after="40"/>
            </w:pPr>
            <w:r/>
            <w:r>
              <w:rPr>
                <w:rFonts w:ascii="Times New Roman" w:hAnsi="Times New Roman"/>
                <w:b/>
                <w:i w:val="0"/>
                <w:sz w:val="22"/>
              </w:rPr>
              <w:t>Verdict</w:t>
            </w:r>
          </w:p>
        </w:tc>
        <w:tc>
          <w:tcPr>
            <w:tcW w:type="dxa" w:w="1584"/>
            <w:shd w:val="clear" w:fill="D9E2F3"/>
          </w:tcPr>
          <w:p>
            <w:pPr>
              <w:spacing w:after="40"/>
            </w:pPr>
            <w:r/>
            <w:r>
              <w:rPr>
                <w:rFonts w:ascii="Times New Roman" w:hAnsi="Times New Roman"/>
                <w:b/>
                <w:i w:val="0"/>
                <w:sz w:val="22"/>
              </w:rPr>
              <w:t>Detection mechanism, or reason detection is impossible</w:t>
            </w:r>
          </w:p>
        </w:tc>
        <w:tc>
          <w:tcPr>
            <w:tcW w:type="dxa" w:w="1584"/>
            <w:shd w:val="clear" w:fill="D9E2F3"/>
          </w:tcPr>
          <w:p>
            <w:pPr>
              <w:spacing w:after="40"/>
            </w:pPr>
            <w:r/>
            <w:r>
              <w:rPr>
                <w:rFonts w:ascii="Times New Roman" w:hAnsi="Times New Roman"/>
                <w:b/>
                <w:i w:val="0"/>
                <w:sz w:val="22"/>
              </w:rPr>
              <w:t>Handling</w:t>
            </w:r>
          </w:p>
        </w:tc>
      </w:tr>
      <w:tr>
        <w:tc>
          <w:tcPr>
            <w:tcW w:type="dxa" w:w="1584"/>
          </w:tcPr>
          <w:p>
            <w:pPr>
              <w:spacing w:after="40"/>
            </w:pPr>
            <w:r/>
          </w:p>
        </w:tc>
        <w:tc>
          <w:tcPr>
            <w:tcW w:type="dxa" w:w="1584"/>
          </w:tcPr>
          <w:p>
            <w:pPr>
              <w:spacing w:after="40"/>
            </w:pPr>
            <w:r/>
            <w:r>
              <w:rPr>
                <w:rFonts w:ascii="Times New Roman" w:hAnsi="Times New Roman"/>
                <w:b/>
                <w:i w:val="0"/>
                <w:sz w:val="22"/>
              </w:rPr>
              <w:t>Odometer fraud</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1</w:t>
            </w:r>
          </w:p>
        </w:tc>
        <w:tc>
          <w:tcPr>
            <w:tcW w:type="dxa" w:w="1584"/>
          </w:tcPr>
          <w:p>
            <w:pPr>
              <w:spacing w:after="40"/>
            </w:pPr>
            <w:r/>
            <w:r>
              <w:rPr>
                <w:rFonts w:ascii="Times New Roman" w:hAnsi="Times New Roman"/>
                <w:b w:val="0"/>
                <w:i w:val="0"/>
                <w:sz w:val="22"/>
              </w:rPr>
              <w:t>Classic full rollback before resale</w:t>
            </w:r>
          </w:p>
        </w:tc>
        <w:tc>
          <w:tcPr>
            <w:tcW w:type="dxa" w:w="1584"/>
          </w:tcPr>
          <w:p>
            <w:pPr>
              <w:spacing w:after="40"/>
            </w:pPr>
            <w:r/>
            <w:r>
              <w:rPr>
                <w:rFonts w:ascii="Times New Roman" w:hAnsi="Times New Roman"/>
                <w:b w:val="0"/>
                <w:i w:val="0"/>
                <w:sz w:val="22"/>
              </w:rPr>
              <w:t>Detects</w:t>
            </w:r>
          </w:p>
        </w:tc>
        <w:tc>
          <w:tcPr>
            <w:tcW w:type="dxa" w:w="1584"/>
          </w:tcPr>
          <w:p>
            <w:pPr>
              <w:spacing w:after="40"/>
            </w:pPr>
            <w:r/>
            <w:r>
              <w:rPr>
                <w:rFonts w:ascii="Times New Roman" w:hAnsi="Times New Roman"/>
                <w:b w:val="0"/>
                <w:i w:val="0"/>
                <w:sz w:val="22"/>
              </w:rPr>
              <w:t>Algorithm 4(a) monotonicity fires deterministically when the emission centre's next submission falls below the prior on-chain reading, matched through the deterministic identity index idx_chassis; the alert arises at next-reading time, not at tampering time.</w:t>
            </w:r>
          </w:p>
        </w:tc>
        <w:tc>
          <w:tcPr>
            <w:tcW w:type="dxa" w:w="1584"/>
          </w:tcPr>
          <w:p>
            <w:pPr>
              <w:spacing w:after="40"/>
            </w:pPr>
            <w:r/>
            <w:r>
              <w:rPr>
                <w:rFonts w:ascii="Times New Roman" w:hAnsi="Times New Roman"/>
                <w:b w:val="0"/>
                <w:i w:val="0"/>
                <w:sz w:val="22"/>
              </w:rPr>
              <w:t>Rule already implemented; add the R7 pre-purchase portal query with transfer-time disclosure as backstop, and state explicitly that detection occurs at next reading rather than at tampering.</w:t>
            </w:r>
          </w:p>
        </w:tc>
      </w:tr>
      <w:tr>
        <w:tc>
          <w:tcPr>
            <w:tcW w:type="dxa" w:w="1584"/>
          </w:tcPr>
          <w:p>
            <w:pPr>
              <w:spacing w:after="40"/>
            </w:pPr>
            <w:r/>
            <w:r>
              <w:rPr>
                <w:rFonts w:ascii="Times New Roman" w:hAnsi="Times New Roman"/>
                <w:b w:val="0"/>
                <w:i w:val="0"/>
                <w:sz w:val="22"/>
              </w:rPr>
              <w:t>2</w:t>
            </w:r>
          </w:p>
        </w:tc>
        <w:tc>
          <w:tcPr>
            <w:tcW w:type="dxa" w:w="1584"/>
          </w:tcPr>
          <w:p>
            <w:pPr>
              <w:spacing w:after="40"/>
            </w:pPr>
            <w:r/>
            <w:r>
              <w:rPr>
                <w:rFonts w:ascii="Times New Roman" w:hAnsi="Times New Roman"/>
                <w:b w:val="0"/>
                <w:i w:val="0"/>
                <w:sz w:val="22"/>
              </w:rPr>
              <w:t>Calibrated 'gap' rollback above last anchor</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No rule fires: 4(a) monotonicity is satisfied, 4(b) bounds only implausibly high rates, and 4(c) stagnation demands zero delta. The fraud is calibrated within plausible bounds, arithmetically indistinguishable from genuine low use.</w:t>
            </w:r>
          </w:p>
        </w:tc>
        <w:tc>
          <w:tcPr>
            <w:tcW w:type="dxa" w:w="1584"/>
          </w:tcPr>
          <w:p>
            <w:pPr>
              <w:spacing w:after="40"/>
            </w:pPr>
            <w:r/>
            <w:r>
              <w:rPr>
                <w:rFonts w:ascii="Times New Roman" w:hAnsi="Times New Roman"/>
                <w:b w:val="0"/>
                <w:i w:val="0"/>
                <w:sz w:val="22"/>
              </w:rPr>
              <w:t>Classify as undetectable in the limitations chapter; extend R7 to disclose reading staleness, add an optional review-only plausibility band, and capture odometers at further member touchpoints.</w:t>
            </w:r>
          </w:p>
        </w:tc>
      </w:tr>
      <w:tr>
        <w:tc>
          <w:tcPr>
            <w:tcW w:type="dxa" w:w="1584"/>
          </w:tcPr>
          <w:p>
            <w:pPr>
              <w:spacing w:after="40"/>
            </w:pPr>
            <w:r/>
            <w:r>
              <w:rPr>
                <w:rFonts w:ascii="Times New Roman" w:hAnsi="Times New Roman"/>
                <w:b w:val="0"/>
                <w:i w:val="0"/>
                <w:sz w:val="22"/>
              </w:rPr>
              <w:t>3</w:t>
            </w:r>
          </w:p>
        </w:tc>
        <w:tc>
          <w:tcPr>
            <w:tcW w:type="dxa" w:w="1584"/>
          </w:tcPr>
          <w:p>
            <w:pPr>
              <w:spacing w:after="40"/>
            </w:pPr>
            <w:r/>
            <w:r>
              <w:rPr>
                <w:rFonts w:ascii="Times New Roman" w:hAnsi="Times New Roman"/>
                <w:b w:val="0"/>
                <w:i w:val="0"/>
                <w:sz w:val="22"/>
              </w:rPr>
              <w:t>Pre-first-reading rollback (pre-import)</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Nothing fires, because the tampered value becomes the on-chain genesis reading and every later submission is monotonically consistent with a lie; no prior anchor is produced, the oracle problem as pure absence of data.</w:t>
            </w:r>
          </w:p>
        </w:tc>
        <w:tc>
          <w:tcPr>
            <w:tcW w:type="dxa" w:w="1584"/>
          </w:tcPr>
          <w:p>
            <w:pPr>
              <w:spacing w:after="40"/>
            </w:pPr>
            <w:r/>
            <w:r>
              <w:rPr>
                <w:rFonts w:ascii="Times New Roman" w:hAnsi="Times New Roman"/>
                <w:b w:val="0"/>
                <w:i w:val="0"/>
                <w:sz w:val="22"/>
              </w:rPr>
              <w:t>Extend the Customs submission schema to commit an auction-sheet or JEVIC-JOCI genesis odometer, with chaincode rejecting a lower first emission reading, generalising Algorithm 4(a) to a pre-registration anchor.</w:t>
            </w:r>
          </w:p>
        </w:tc>
      </w:tr>
      <w:tr>
        <w:tc>
          <w:tcPr>
            <w:tcW w:type="dxa" w:w="1584"/>
          </w:tcPr>
          <w:p>
            <w:pPr>
              <w:spacing w:after="40"/>
            </w:pPr>
            <w:r/>
            <w:r>
              <w:rPr>
                <w:rFonts w:ascii="Times New Roman" w:hAnsi="Times New Roman"/>
                <w:b w:val="0"/>
                <w:i w:val="0"/>
                <w:sz w:val="22"/>
              </w:rPr>
              <w:t>4</w:t>
            </w:r>
          </w:p>
        </w:tc>
        <w:tc>
          <w:tcPr>
            <w:tcW w:type="dxa" w:w="1584"/>
          </w:tcPr>
          <w:p>
            <w:pPr>
              <w:spacing w:after="40"/>
            </w:pPr>
            <w:r/>
            <w:r>
              <w:rPr>
                <w:rFonts w:ascii="Times New Roman" w:hAnsi="Times New Roman"/>
                <w:b w:val="0"/>
                <w:i w:val="0"/>
                <w:sz w:val="22"/>
              </w:rPr>
              <w:t>Mileage-blocker / freeze devices</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Algorithm 4(a) never fires because readings never decrease; only 4(c) stagnation catches a permanent freeze, and merely as a WARNING. Part-time toggling remains calibrated within plausible bounds and undetectable.</w:t>
            </w:r>
          </w:p>
        </w:tc>
        <w:tc>
          <w:tcPr>
            <w:tcW w:type="dxa" w:w="1584"/>
          </w:tcPr>
          <w:p>
            <w:pPr>
              <w:spacing w:after="40"/>
            </w:pPr>
            <w:r/>
            <w:r>
              <w:rPr>
                <w:rFonts w:ascii="Times New Roman" w:hAnsi="Times New Roman"/>
                <w:b w:val="0"/>
                <w:i w:val="0"/>
                <w:sz w:val="22"/>
              </w:rPr>
              <w:t>Retain 4(c) as a documented weak heuristic, add the plausibility band, and capture a second ECU-internal mileage value where centre equipment permits, applying the divergence check conditionally.</w:t>
            </w:r>
          </w:p>
        </w:tc>
      </w:tr>
      <w:tr>
        <w:tc>
          <w:tcPr>
            <w:tcW w:type="dxa" w:w="1584"/>
          </w:tcPr>
          <w:p>
            <w:pPr>
              <w:spacing w:after="40"/>
            </w:pPr>
            <w:r/>
            <w:r>
              <w:rPr>
                <w:rFonts w:ascii="Times New Roman" w:hAnsi="Times New Roman"/>
                <w:b w:val="0"/>
                <w:i w:val="0"/>
                <w:sz w:val="22"/>
              </w:rPr>
              <w:t>5</w:t>
            </w:r>
          </w:p>
        </w:tc>
        <w:tc>
          <w:tcPr>
            <w:tcW w:type="dxa" w:w="1584"/>
          </w:tcPr>
          <w:p>
            <w:pPr>
              <w:spacing w:after="40"/>
            </w:pPr>
            <w:r/>
            <w:r>
              <w:rPr>
                <w:rFonts w:ascii="Times New Roman" w:hAnsi="Times New Roman"/>
                <w:b w:val="0"/>
                <w:i w:val="0"/>
                <w:sz w:val="22"/>
              </w:rPr>
              <w:t>Instrument-cluster replacement</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Algorithm 4(a) fires where a replacement cluster reads below the last anchor, yet calibrated professional swaps collapse into the gap-rollback residual, and legitimate repairs raise false alerts with no schema recording true mileage.</w:t>
            </w:r>
          </w:p>
        </w:tc>
        <w:tc>
          <w:tcPr>
            <w:tcW w:type="dxa" w:w="1584"/>
          </w:tcPr>
          <w:p>
            <w:pPr>
              <w:spacing w:after="40"/>
            </w:pPr>
            <w:r/>
            <w:r>
              <w:rPr>
                <w:rFonts w:ascii="Times New Roman" w:hAnsi="Times New Roman"/>
                <w:b w:val="0"/>
                <w:i w:val="0"/>
                <w:sz w:val="22"/>
              </w:rPr>
              <w:t>Add an attested odometer-unit-replacement event recording pre- and post-swap readings, so Algorithm 4(a) validates cumulative true mileage; concede that the attestation itself may be purchased.</w:t>
            </w:r>
          </w:p>
        </w:tc>
      </w:tr>
      <w:tr>
        <w:tc>
          <w:tcPr>
            <w:tcW w:type="dxa" w:w="1584"/>
          </w:tcPr>
          <w:p>
            <w:pPr>
              <w:spacing w:after="40"/>
            </w:pPr>
            <w:r/>
            <w:r>
              <w:rPr>
                <w:rFonts w:ascii="Times New Roman" w:hAnsi="Times New Roman"/>
                <w:b w:val="0"/>
                <w:i w:val="0"/>
                <w:sz w:val="22"/>
              </w:rPr>
              <w:t>6</w:t>
            </w:r>
          </w:p>
        </w:tc>
        <w:tc>
          <w:tcPr>
            <w:tcW w:type="dxa" w:w="1584"/>
          </w:tcPr>
          <w:p>
            <w:pPr>
              <w:spacing w:after="40"/>
            </w:pPr>
            <w:r/>
            <w:r>
              <w:rPr>
                <w:rFonts w:ascii="Times New Roman" w:hAnsi="Times New Roman"/>
                <w:b w:val="0"/>
                <w:i w:val="0"/>
                <w:sz w:val="22"/>
              </w:rPr>
              <w:t>Corrupt or negligent reading source</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No rule can fire on an internally consistent corrupt feed: Algorithms 4(a) to 4(c) are all satisfied while false content sits inside a genuine, authorised record; chaincode validates submitter authorisation, never physical truth.</w:t>
            </w:r>
          </w:p>
        </w:tc>
        <w:tc>
          <w:tcPr>
            <w:tcW w:type="dxa" w:w="1584"/>
          </w:tcPr>
          <w:p>
            <w:pPr>
              <w:spacing w:after="40"/>
            </w:pPr>
            <w:r/>
            <w:r>
              <w:rPr>
                <w:rFonts w:ascii="Times New Roman" w:hAnsi="Times New Roman"/>
                <w:b w:val="0"/>
                <w:i w:val="0"/>
                <w:sz w:val="22"/>
              </w:rPr>
              <w:t>Claim attribution rather than detection; harden through per-centre identities issued by a consortium certificate authority, hardware-bound lane keys, off-chain centre-level anomaly analytics, and device-signed readings as future work.</w:t>
            </w:r>
          </w:p>
        </w:tc>
      </w:tr>
      <w:tr>
        <w:tc>
          <w:tcPr>
            <w:tcW w:type="dxa" w:w="1584"/>
          </w:tcPr>
          <w:p>
            <w:pPr>
              <w:spacing w:after="40"/>
            </w:pPr>
            <w:r/>
          </w:p>
        </w:tc>
        <w:tc>
          <w:tcPr>
            <w:tcW w:type="dxa" w:w="1584"/>
          </w:tcPr>
          <w:p>
            <w:pPr>
              <w:spacing w:after="40"/>
            </w:pPr>
            <w:r/>
            <w:r>
              <w:rPr>
                <w:rFonts w:ascii="Times New Roman" w:hAnsi="Times New Roman"/>
                <w:b/>
                <w:i w:val="0"/>
                <w:sz w:val="22"/>
              </w:rPr>
              <w:t>Vehicle identity fraud</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7</w:t>
            </w:r>
          </w:p>
        </w:tc>
        <w:tc>
          <w:tcPr>
            <w:tcW w:type="dxa" w:w="1584"/>
          </w:tcPr>
          <w:p>
            <w:pPr>
              <w:spacing w:after="40"/>
            </w:pPr>
            <w:r/>
            <w:r>
              <w:rPr>
                <w:rFonts w:ascii="Times New Roman" w:hAnsi="Times New Roman"/>
                <w:b w:val="0"/>
                <w:i w:val="0"/>
                <w:sz w:val="22"/>
              </w:rPr>
              <w:t>Undeclared engine swap (variant a)</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The engine number enters once inside the salted vehicleHash at first registration and is never re-read by Algorithms 2, 4 or 5; an undeclared swap produces no transaction, hence no data for chaincode.</w:t>
            </w:r>
          </w:p>
        </w:tc>
        <w:tc>
          <w:tcPr>
            <w:tcW w:type="dxa" w:w="1584"/>
          </w:tcPr>
          <w:p>
            <w:pPr>
              <w:spacing w:after="40"/>
            </w:pPr>
            <w:r/>
            <w:r>
              <w:rPr>
                <w:rFonts w:ascii="Times New Roman" w:hAnsi="Times New Roman"/>
                <w:b w:val="0"/>
                <w:i w:val="0"/>
                <w:sz w:val="22"/>
              </w:rPr>
              <w:t>Adopt R2 engine re-attestation at physical touchpoints, comparing idx_engine via transient data with mismatches routed to a VERIFY queue; failing that, declare the subtype out of scope.</w:t>
            </w:r>
          </w:p>
        </w:tc>
      </w:tr>
      <w:tr>
        <w:tc>
          <w:tcPr>
            <w:tcW w:type="dxa" w:w="1584"/>
          </w:tcPr>
          <w:p>
            <w:pPr>
              <w:spacing w:after="40"/>
            </w:pPr>
            <w:r/>
            <w:r>
              <w:rPr>
                <w:rFonts w:ascii="Times New Roman" w:hAnsi="Times New Roman"/>
                <w:b w:val="0"/>
                <w:i w:val="0"/>
                <w:sz w:val="22"/>
              </w:rPr>
              <w:t>8</w:t>
            </w:r>
          </w:p>
        </w:tc>
        <w:tc>
          <w:tcPr>
            <w:tcW w:type="dxa" w:w="1584"/>
          </w:tcPr>
          <w:p>
            <w:pPr>
              <w:spacing w:after="40"/>
            </w:pPr>
            <w:r/>
            <w:r>
              <w:rPr>
                <w:rFonts w:ascii="Times New Roman" w:hAnsi="Times New Roman"/>
                <w:b w:val="0"/>
                <w:i w:val="0"/>
                <w:sz w:val="22"/>
              </w:rPr>
              <w:t>Declared swap, smuggled engine (variant b)</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No rule fires: the specification contains no engine-amendment transaction, so the amendment executes wholly within DMT's off-chain process and produces no ledger data, while on-chain Customs permit records are cross-referenced by no algorithm.</w:t>
            </w:r>
          </w:p>
        </w:tc>
        <w:tc>
          <w:tcPr>
            <w:tcW w:type="dxa" w:w="1584"/>
          </w:tcPr>
          <w:p>
            <w:pPr>
              <w:spacing w:after="40"/>
            </w:pPr>
            <w:r/>
            <w:r>
              <w:rPr>
                <w:rFonts w:ascii="Times New Roman" w:hAnsi="Times New Roman"/>
                <w:b w:val="0"/>
                <w:i w:val="0"/>
                <w:sz w:val="22"/>
              </w:rPr>
              <w:t>Implement the R3 EngineAmendment on a stable vehicle key with a separately amendable engine commitment, gated on a Customs or donor record keyed to idx_engine, under tiered provenance.</w:t>
            </w:r>
          </w:p>
        </w:tc>
      </w:tr>
      <w:tr>
        <w:tc>
          <w:tcPr>
            <w:tcW w:type="dxa" w:w="1584"/>
          </w:tcPr>
          <w:p>
            <w:pPr>
              <w:spacing w:after="40"/>
            </w:pPr>
            <w:r/>
            <w:r>
              <w:rPr>
                <w:rFonts w:ascii="Times New Roman" w:hAnsi="Times New Roman"/>
                <w:b w:val="0"/>
                <w:i w:val="0"/>
                <w:sz w:val="22"/>
              </w:rPr>
              <w:t>9</w:t>
            </w:r>
          </w:p>
        </w:tc>
        <w:tc>
          <w:tcPr>
            <w:tcW w:type="dxa" w:w="1584"/>
          </w:tcPr>
          <w:p>
            <w:pPr>
              <w:spacing w:after="40"/>
            </w:pPr>
            <w:r/>
            <w:r>
              <w:rPr>
                <w:rFonts w:ascii="Times New Roman" w:hAnsi="Times New Roman"/>
                <w:b w:val="0"/>
                <w:i w:val="0"/>
                <w:sz w:val="22"/>
              </w:rPr>
              <w:t>Insider engine/chassis insertion (variant c)</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Chaincode exposes no function mutating vehicleHash, so the COPA overwrite is structurally impossible and the insider is forced into an attributable, MSP-signed transaction; prevention fails, as no registration prerequisite exists.</w:t>
            </w:r>
          </w:p>
        </w:tc>
        <w:tc>
          <w:tcPr>
            <w:tcW w:type="dxa" w:w="1584"/>
          </w:tcPr>
          <w:p>
            <w:pPr>
              <w:spacing w:after="40"/>
            </w:pPr>
            <w:r/>
            <w:r>
              <w:rPr>
                <w:rFonts w:ascii="Times New Roman" w:hAnsi="Times New Roman"/>
                <w:b w:val="0"/>
                <w:i w:val="0"/>
                <w:sz w:val="22"/>
              </w:rPr>
              <w:t>Add R1 prerequisite-record registration keyed on idx_chassis with Customs or approved-assembler backing, plus hard-cutoff genesis migration and no single-organisation override; cross-organisation collusion remains attributed only.</w:t>
            </w:r>
          </w:p>
        </w:tc>
      </w:tr>
      <w:tr>
        <w:tc>
          <w:tcPr>
            <w:tcW w:type="dxa" w:w="1584"/>
          </w:tcPr>
          <w:p>
            <w:pPr>
              <w:spacing w:after="40"/>
            </w:pPr>
            <w:r/>
            <w:r>
              <w:rPr>
                <w:rFonts w:ascii="Times New Roman" w:hAnsi="Times New Roman"/>
                <w:b w:val="0"/>
                <w:i w:val="0"/>
                <w:sz w:val="22"/>
              </w:rPr>
              <w:t>10</w:t>
            </w:r>
          </w:p>
        </w:tc>
        <w:tc>
          <w:tcPr>
            <w:tcW w:type="dxa" w:w="1584"/>
          </w:tcPr>
          <w:p>
            <w:pPr>
              <w:spacing w:after="40"/>
            </w:pPr>
            <w:r/>
            <w:r>
              <w:rPr>
                <w:rFonts w:ascii="Times New Roman" w:hAnsi="Times New Roman"/>
                <w:b w:val="0"/>
                <w:i w:val="0"/>
                <w:sz w:val="22"/>
              </w:rPr>
              <w:t>Ringing / chassis-VIN cloning and re-VINning</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Collision of clone and donor telemetry on a shared record may trip Algorithm 4(a) or 4(b) incidentally, but exported, scrapped or dormant donors generate no competing events, and Algorithm 2's flag sits on the stolen record.</w:t>
            </w:r>
          </w:p>
        </w:tc>
        <w:tc>
          <w:tcPr>
            <w:tcW w:type="dxa" w:w="1584"/>
          </w:tcPr>
          <w:p>
            <w:pPr>
              <w:spacing w:after="40"/>
            </w:pPr>
            <w:r/>
            <w:r>
              <w:rPr>
                <w:rFonts w:ascii="Times New Roman" w:hAnsi="Times New Roman"/>
                <w:b w:val="0"/>
                <w:i w:val="0"/>
                <w:sz w:val="22"/>
              </w:rPr>
              <w:t>Adopt the deterministic idx_chassis and idx_engine indexes underpinning R4 uniqueness and R5 RETIRED-identity alerts, add a pass-only event-plausibility clone flag, and require seller ownership-control attestation.</w:t>
            </w:r>
          </w:p>
        </w:tc>
      </w:tr>
      <w:tr>
        <w:tc>
          <w:tcPr>
            <w:tcW w:type="dxa" w:w="1584"/>
          </w:tcPr>
          <w:p>
            <w:pPr>
              <w:spacing w:after="40"/>
            </w:pPr>
            <w:r/>
            <w:r>
              <w:rPr>
                <w:rFonts w:ascii="Times New Roman" w:hAnsi="Times New Roman"/>
                <w:b w:val="0"/>
                <w:i w:val="0"/>
                <w:sz w:val="22"/>
              </w:rPr>
              <w:t>11</w:t>
            </w:r>
          </w:p>
        </w:tc>
        <w:tc>
          <w:tcPr>
            <w:tcW w:type="dxa" w:w="1584"/>
          </w:tcPr>
          <w:p>
            <w:pPr>
              <w:spacing w:after="40"/>
            </w:pPr>
            <w:r/>
            <w:r>
              <w:rPr>
                <w:rFonts w:ascii="Times New Roman" w:hAnsi="Times New Roman"/>
                <w:b w:val="0"/>
                <w:i w:val="0"/>
                <w:sz w:val="22"/>
              </w:rPr>
              <w:t>Cut-and-shut composite vehicle</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Algorithm 5(b) exposes a police-reported accident lacking a claim, rendering the surviving identity's crash history unconcealable; the weld lies beyond any registry, and unreported or pre-system donor crashes leave the record clean.</w:t>
            </w:r>
          </w:p>
        </w:tc>
        <w:tc>
          <w:tcPr>
            <w:tcW w:type="dxa" w:w="1584"/>
          </w:tcPr>
          <w:p>
            <w:pPr>
              <w:spacing w:after="40"/>
            </w:pPr>
            <w:r/>
            <w:r>
              <w:rPr>
                <w:rFonts w:ascii="Times New Roman" w:hAnsi="Times New Roman"/>
                <w:b w:val="0"/>
                <w:i w:val="0"/>
                <w:sz w:val="22"/>
              </w:rPr>
              <w:t>Add the R6 Police or insurer write-off severity flag blocking transfer until a physical re-inspection event is recorded, with a permanent salvage-rebuilt mark reusing Algorithm 2's block-on-flag pattern.</w:t>
            </w:r>
          </w:p>
        </w:tc>
      </w:tr>
      <w:tr>
        <w:tc>
          <w:tcPr>
            <w:tcW w:type="dxa" w:w="1584"/>
          </w:tcPr>
          <w:p>
            <w:pPr>
              <w:spacing w:after="40"/>
            </w:pPr>
            <w:r/>
          </w:p>
        </w:tc>
        <w:tc>
          <w:tcPr>
            <w:tcW w:type="dxa" w:w="1584"/>
          </w:tcPr>
          <w:p>
            <w:pPr>
              <w:spacing w:after="40"/>
            </w:pPr>
            <w:r/>
            <w:r>
              <w:rPr>
                <w:rFonts w:ascii="Times New Roman" w:hAnsi="Times New Roman"/>
                <w:b/>
                <w:i w:val="0"/>
                <w:sz w:val="22"/>
              </w:rPr>
              <w:t>Stolen-vehicle resale fraud</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12</w:t>
            </w:r>
          </w:p>
        </w:tc>
        <w:tc>
          <w:tcPr>
            <w:tcW w:type="dxa" w:w="1584"/>
          </w:tcPr>
          <w:p>
            <w:pPr>
              <w:spacing w:after="40"/>
            </w:pPr>
            <w:r/>
            <w:r>
              <w:rPr>
                <w:rFonts w:ascii="Times New Roman" w:hAnsi="Times New Roman"/>
                <w:b w:val="0"/>
                <w:i w:val="0"/>
                <w:sz w:val="22"/>
              </w:rPr>
              <w:t>Official-channel stolen-vehicle resale</w:t>
            </w:r>
          </w:p>
        </w:tc>
        <w:tc>
          <w:tcPr>
            <w:tcW w:type="dxa" w:w="1584"/>
          </w:tcPr>
          <w:p>
            <w:pPr>
              <w:spacing w:after="40"/>
            </w:pPr>
            <w:r/>
            <w:r>
              <w:rPr>
                <w:rFonts w:ascii="Times New Roman" w:hAnsi="Times New Roman"/>
                <w:b w:val="0"/>
                <w:i w:val="0"/>
                <w:sz w:val="22"/>
              </w:rPr>
              <w:t>Detects</w:t>
            </w:r>
          </w:p>
        </w:tc>
        <w:tc>
          <w:tcPr>
            <w:tcW w:type="dxa" w:w="1584"/>
          </w:tcPr>
          <w:p>
            <w:pPr>
              <w:spacing w:after="40"/>
            </w:pPr>
            <w:r/>
            <w:r>
              <w:rPr>
                <w:rFonts w:ascii="Times New Roman" w:hAnsi="Times New Roman"/>
                <w:b w:val="0"/>
                <w:i w:val="0"/>
                <w:sz w:val="22"/>
              </w:rPr>
              <w:t>Algorithm 2 reads the on-chain theft status during ownership transfer and deterministically rejects the transaction while arming identity reveal, provided the endorsement policy requires a counterparty organisation, so no submitter may skip the check.</w:t>
            </w:r>
          </w:p>
        </w:tc>
        <w:tc>
          <w:tcPr>
            <w:tcW w:type="dxa" w:w="1584"/>
          </w:tcPr>
          <w:p>
            <w:pPr>
              <w:spacing w:after="40"/>
            </w:pPr>
            <w:r/>
            <w:r>
              <w:rPr>
                <w:rFonts w:ascii="Times New Roman" w:hAnsi="Times New Roman"/>
                <w:b w:val="0"/>
                <w:i w:val="0"/>
                <w:sz w:val="22"/>
              </w:rPr>
              <w:t>Retain the rule, add the R9 clearance-to-transfer window REVIEW alert measured by block commit order, and expose a rate-limited boolean theft check through the consortium query portal.</w:t>
            </w:r>
          </w:p>
        </w:tc>
      </w:tr>
      <w:tr>
        <w:tc>
          <w:tcPr>
            <w:tcW w:type="dxa" w:w="1584"/>
          </w:tcPr>
          <w:p>
            <w:pPr>
              <w:spacing w:after="40"/>
            </w:pPr>
            <w:r/>
            <w:r>
              <w:rPr>
                <w:rFonts w:ascii="Times New Roman" w:hAnsi="Times New Roman"/>
                <w:b w:val="0"/>
                <w:i w:val="0"/>
                <w:sz w:val="22"/>
              </w:rPr>
              <w:t>13</w:t>
            </w:r>
          </w:p>
        </w:tc>
        <w:tc>
          <w:tcPr>
            <w:tcW w:type="dxa" w:w="1584"/>
          </w:tcPr>
          <w:p>
            <w:pPr>
              <w:spacing w:after="40"/>
            </w:pPr>
            <w:r/>
            <w:r>
              <w:rPr>
                <w:rFonts w:ascii="Times New Roman" w:hAnsi="Times New Roman"/>
                <w:b w:val="0"/>
                <w:i w:val="0"/>
                <w:sz w:val="22"/>
              </w:rPr>
              <w:t>Off-system resale on forged CR</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Algorithm 2 fires only on submitted transfer transactions, so nothing evaluates the sale itself; detection is deferred to the theft flag blocking the buyer's later transfer or to a voluntary pre-purchase portal query.</w:t>
            </w:r>
          </w:p>
        </w:tc>
        <w:tc>
          <w:tcPr>
            <w:tcW w:type="dxa" w:w="1584"/>
          </w:tcPr>
          <w:p>
            <w:pPr>
              <w:spacing w:after="40"/>
            </w:pPr>
            <w:r/>
            <w:r>
              <w:rPr>
                <w:rFonts w:ascii="Times New Roman" w:hAnsi="Times New Roman"/>
                <w:b w:val="0"/>
                <w:i w:val="0"/>
                <w:sz w:val="22"/>
              </w:rPr>
              <w:t>R7 pre-purchase portal query scoped to theft-flag status and chassis event history, plus the ownership-attestation protocol and a policy rule deeming the paper CR alone insufficient.</w:t>
            </w:r>
          </w:p>
        </w:tc>
      </w:tr>
      <w:tr>
        <w:tc>
          <w:tcPr>
            <w:tcW w:type="dxa" w:w="1584"/>
          </w:tcPr>
          <w:p>
            <w:pPr>
              <w:spacing w:after="40"/>
            </w:pPr>
            <w:r/>
            <w:r>
              <w:rPr>
                <w:rFonts w:ascii="Times New Roman" w:hAnsi="Times New Roman"/>
                <w:b w:val="0"/>
                <w:i w:val="0"/>
                <w:sz w:val="22"/>
              </w:rPr>
              <w:t>14</w:t>
            </w:r>
          </w:p>
        </w:tc>
        <w:tc>
          <w:tcPr>
            <w:tcW w:type="dxa" w:w="1584"/>
          </w:tcPr>
          <w:p>
            <w:pPr>
              <w:spacing w:after="40"/>
            </w:pPr>
            <w:r/>
            <w:r>
              <w:rPr>
                <w:rFonts w:ascii="Times New Roman" w:hAnsi="Times New Roman"/>
                <w:b w:val="0"/>
                <w:i w:val="0"/>
                <w:sz w:val="22"/>
              </w:rPr>
              <w:t>Timing-gap resale before theft flagged</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No data exists at transaction time: Algorithm 2 evaluates the theft flag as committed on-chain, and an unreported or not-yet-flagged theft supplies no rule input, the oracle problem in its purest form.</w:t>
            </w:r>
          </w:p>
        </w:tc>
        <w:tc>
          <w:tcPr>
            <w:tcW w:type="dxa" w:w="1584"/>
          </w:tcPr>
          <w:p>
            <w:pPr>
              <w:spacing w:after="40"/>
            </w:pPr>
            <w:r/>
            <w:r>
              <w:rPr>
                <w:rFonts w:ascii="Times New Roman" w:hAnsi="Times New Roman"/>
                <w:b w:val="0"/>
                <w:i w:val="0"/>
                <w:sz w:val="22"/>
              </w:rPr>
              <w:t>Retroactive rule making theft-occurrence time T0 mandatory on the Police flag; chaincode scans event history and warns on transfers committed after T0 by block order. Unreported theft: out of scope.</w:t>
            </w:r>
          </w:p>
        </w:tc>
      </w:tr>
      <w:tr>
        <w:tc>
          <w:tcPr>
            <w:tcW w:type="dxa" w:w="1584"/>
          </w:tcPr>
          <w:p>
            <w:pPr>
              <w:spacing w:after="40"/>
            </w:pPr>
            <w:r/>
            <w:r>
              <w:rPr>
                <w:rFonts w:ascii="Times New Roman" w:hAnsi="Times New Roman"/>
                <w:b w:val="0"/>
                <w:i w:val="0"/>
                <w:sz w:val="22"/>
              </w:rPr>
              <w:t>15</w:t>
            </w:r>
          </w:p>
        </w:tc>
        <w:tc>
          <w:tcPr>
            <w:tcW w:type="dxa" w:w="1584"/>
          </w:tcPr>
          <w:p>
            <w:pPr>
              <w:spacing w:after="40"/>
            </w:pPr>
            <w:r/>
            <w:r>
              <w:rPr>
                <w:rFonts w:ascii="Times New Roman" w:hAnsi="Times New Roman"/>
                <w:b w:val="0"/>
                <w:i w:val="0"/>
                <w:sz w:val="22"/>
              </w:rPr>
              <w:t>VIN/chassis cloning onto stolen vehicle</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The clone produces no on-chain transaction, impersonating a genuinely clean record off-chain; no rule is implemented, and the salted vehicleHash cannot enforce uniqueness. Algorithm 4(a) monotonicity fires only incidentally if both vehicles are VET-tested.</w:t>
            </w:r>
          </w:p>
        </w:tc>
        <w:tc>
          <w:tcPr>
            <w:tcW w:type="dxa" w:w="1584"/>
          </w:tcPr>
          <w:p>
            <w:pPr>
              <w:spacing w:after="40"/>
            </w:pPr>
            <w:r/>
            <w:r>
              <w:rPr>
                <w:rFonts w:ascii="Times New Roman" w:hAnsi="Times New Roman"/>
                <w:b w:val="0"/>
                <w:i w:val="0"/>
                <w:sz w:val="22"/>
              </w:rPr>
              <w:t>R4 uniqueness rejection of any first registration whose idx_chassis or idx_engine already exists, plus a duplicate-activity WARNING on implausibly sourced concurrent events; fully off-rails clones remain physical-inspection territory.</w:t>
            </w:r>
          </w:p>
        </w:tc>
      </w:tr>
      <w:tr>
        <w:tc>
          <w:tcPr>
            <w:tcW w:type="dxa" w:w="1584"/>
          </w:tcPr>
          <w:p>
            <w:pPr>
              <w:spacing w:after="40"/>
            </w:pPr>
            <w:r/>
            <w:r>
              <w:rPr>
                <w:rFonts w:ascii="Times New Roman" w:hAnsi="Times New Roman"/>
                <w:b w:val="0"/>
                <w:i w:val="0"/>
                <w:sz w:val="22"/>
              </w:rPr>
              <w:t>16</w:t>
            </w:r>
          </w:p>
        </w:tc>
        <w:tc>
          <w:tcPr>
            <w:tcW w:type="dxa" w:w="1584"/>
          </w:tcPr>
          <w:p>
            <w:pPr>
              <w:spacing w:after="40"/>
            </w:pPr>
            <w:r/>
            <w:r>
              <w:rPr>
                <w:rFonts w:ascii="Times New Roman" w:hAnsi="Times New Roman"/>
                <w:b w:val="0"/>
                <w:i w:val="0"/>
                <w:sz w:val="22"/>
              </w:rPr>
              <w:t>Cross-border theft laundering</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Outbound: no export event exists in the data model and a national theft flag is unqueryable abroad, an absence of data. Inbound: insiders submit well-formed registrations from authorised keys, so the record is genuine and its content false.</w:t>
            </w:r>
          </w:p>
        </w:tc>
        <w:tc>
          <w:tcPr>
            <w:tcW w:type="dxa" w:w="1584"/>
          </w:tcPr>
          <w:p>
            <w:pPr>
              <w:spacing w:after="40"/>
            </w:pPr>
            <w:r/>
            <w:r>
              <w:rPr>
                <w:rFonts w:ascii="Times New Roman" w:hAnsi="Times New Roman"/>
                <w:b w:val="0"/>
                <w:i w:val="0"/>
                <w:sz w:val="22"/>
              </w:rPr>
              <w:t>R1 prerequisite-record registration requiring a prior Customs import-permit record matching idx_chassis, forcing a two-organisation conspiracy; INTERPOL SMV gateway as future work; physical export interdiction out of scope.</w:t>
            </w:r>
          </w:p>
        </w:tc>
      </w:tr>
      <w:tr>
        <w:tc>
          <w:tcPr>
            <w:tcW w:type="dxa" w:w="1584"/>
          </w:tcPr>
          <w:p>
            <w:pPr>
              <w:spacing w:after="40"/>
            </w:pPr>
            <w:r/>
          </w:p>
        </w:tc>
        <w:tc>
          <w:tcPr>
            <w:tcW w:type="dxa" w:w="1584"/>
          </w:tcPr>
          <w:p>
            <w:pPr>
              <w:spacing w:after="40"/>
            </w:pPr>
            <w:r/>
            <w:r>
              <w:rPr>
                <w:rFonts w:ascii="Times New Roman" w:hAnsi="Times New Roman"/>
                <w:b/>
                <w:i w:val="0"/>
                <w:sz w:val="22"/>
              </w:rPr>
              <w:t>Vehicle insurance fraud</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17</w:t>
            </w:r>
          </w:p>
        </w:tc>
        <w:tc>
          <w:tcPr>
            <w:tcW w:type="dxa" w:w="1584"/>
          </w:tcPr>
          <w:p>
            <w:pPr>
              <w:spacing w:after="40"/>
            </w:pPr>
            <w:r/>
            <w:r>
              <w:rPr>
                <w:rFonts w:ascii="Times New Roman" w:hAnsi="Times New Roman"/>
                <w:b w:val="0"/>
                <w:i w:val="0"/>
                <w:sz w:val="22"/>
              </w:rPr>
              <w:t>Staged / induced accidents (crash-for-cash)</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Algorithm 5(a) passes rather than fires: the staged collision yields genuine tier-satisfying evidence, so a genuine record carries false content. Cross-vehicle ring detection is additionally barred by per-vehicle unlinkable pseudonyms.</w:t>
            </w:r>
          </w:p>
        </w:tc>
        <w:tc>
          <w:tcPr>
            <w:tcW w:type="dxa" w:w="1584"/>
          </w:tcPr>
          <w:p>
            <w:pPr>
              <w:spacing w:after="40"/>
            </w:pPr>
            <w:r/>
            <w:r>
              <w:rPr>
                <w:rFonts w:ascii="Times New Roman" w:hAnsi="Times New Roman"/>
                <w:b w:val="0"/>
                <w:i w:val="0"/>
                <w:sz w:val="22"/>
              </w:rPr>
              <w:t>Out of scope for deterministic chaincode; claim only the shared cross-insurer dataset. Per-vehicle WARNING above N accident reports in twelve months via idx_chassis; cross-owner analytics requires relaxing unlinkability for a regulator role.</w:t>
            </w:r>
          </w:p>
        </w:tc>
      </w:tr>
      <w:tr>
        <w:tc>
          <w:tcPr>
            <w:tcW w:type="dxa" w:w="1584"/>
          </w:tcPr>
          <w:p>
            <w:pPr>
              <w:spacing w:after="40"/>
            </w:pPr>
            <w:r/>
            <w:r>
              <w:rPr>
                <w:rFonts w:ascii="Times New Roman" w:hAnsi="Times New Roman"/>
                <w:b w:val="0"/>
                <w:i w:val="0"/>
                <w:sz w:val="22"/>
              </w:rPr>
              <w:t>18</w:t>
            </w:r>
          </w:p>
        </w:tc>
        <w:tc>
          <w:tcPr>
            <w:tcW w:type="dxa" w:w="1584"/>
          </w:tcPr>
          <w:p>
            <w:pPr>
              <w:spacing w:after="40"/>
            </w:pPr>
            <w:r/>
            <w:r>
              <w:rPr>
                <w:rFonts w:ascii="Times New Roman" w:hAnsi="Times New Roman"/>
                <w:b w:val="0"/>
                <w:i w:val="0"/>
                <w:sz w:val="22"/>
              </w:rPr>
              <w:t>Ghost claims / paper accidents</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Redesigned two-tier Algorithm 5(a) raises a FRAUD ALERT on a claim referencing neither an on-chain Police report nor an assessor attestation committed within N days of the FNOL record; the assessor-anchored tier is self-attested.</w:t>
            </w:r>
          </w:p>
        </w:tc>
        <w:tc>
          <w:tcPr>
            <w:tcW w:type="dxa" w:w="1584"/>
          </w:tcPr>
          <w:p>
            <w:pPr>
              <w:spacing w:after="40"/>
            </w:pPr>
            <w:r/>
            <w:r>
              <w:rPr>
                <w:rFonts w:ascii="Times New Roman" w:hAnsi="Times New Roman"/>
                <w:b w:val="0"/>
                <w:i w:val="0"/>
                <w:sz w:val="22"/>
              </w:rPr>
              <w:t>Adopt the two-tier evidence rule with POLICE-VERIFIED versus INSURER-ASSESSED provenance labels, transaction-ID matching, Fabric v3.x time-window and cross-org endorsement for the freshness WARNING, and a claim-latency bound.</w:t>
            </w:r>
          </w:p>
        </w:tc>
      </w:tr>
      <w:tr>
        <w:tc>
          <w:tcPr>
            <w:tcW w:type="dxa" w:w="1584"/>
          </w:tcPr>
          <w:p>
            <w:pPr>
              <w:spacing w:after="40"/>
            </w:pPr>
            <w:r/>
            <w:r>
              <w:rPr>
                <w:rFonts w:ascii="Times New Roman" w:hAnsi="Times New Roman"/>
                <w:b w:val="0"/>
                <w:i w:val="0"/>
                <w:sz w:val="22"/>
              </w:rPr>
              <w:t>19</w:t>
            </w:r>
          </w:p>
        </w:tc>
        <w:tc>
          <w:tcPr>
            <w:tcW w:type="dxa" w:w="1584"/>
          </w:tcPr>
          <w:p>
            <w:pPr>
              <w:spacing w:after="40"/>
            </w:pPr>
            <w:r/>
            <w:r>
              <w:rPr>
                <w:rFonts w:ascii="Times New Roman" w:hAnsi="Times New Roman"/>
                <w:b w:val="0"/>
                <w:i w:val="0"/>
                <w:sz w:val="22"/>
              </w:rPr>
              <w:t>Inflated repair claims / claims build-up</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Algorithm 5(a) and 5(c) both pass on a genuine single claim, and the claim is stored only as an off-chain document hash: no amount, estimate or parts list exists on-chain for any rule to evaluate.</w:t>
            </w:r>
          </w:p>
        </w:tc>
        <w:tc>
          <w:tcPr>
            <w:tcW w:type="dxa" w:w="1584"/>
          </w:tcPr>
          <w:p>
            <w:pPr>
              <w:spacing w:after="40"/>
            </w:pPr>
            <w:r/>
            <w:r>
              <w:rPr>
                <w:rFonts w:ascii="Times New Roman" w:hAnsi="Times New Roman"/>
                <w:b w:val="0"/>
                <w:i w:val="0"/>
                <w:sz w:val="22"/>
              </w:rPr>
              <w:t>Out of scope: loss-adjustment and statistical outlier territory, not deterministic chaincode. Claim only forensic value of the immutable estimate hash; garage identity as a claim field is future work.</w:t>
            </w:r>
          </w:p>
        </w:tc>
      </w:tr>
      <w:tr>
        <w:tc>
          <w:tcPr>
            <w:tcW w:type="dxa" w:w="1584"/>
          </w:tcPr>
          <w:p>
            <w:pPr>
              <w:spacing w:after="40"/>
            </w:pPr>
            <w:r/>
            <w:r>
              <w:rPr>
                <w:rFonts w:ascii="Times New Roman" w:hAnsi="Times New Roman"/>
                <w:b w:val="0"/>
                <w:i w:val="0"/>
                <w:sz w:val="22"/>
              </w:rPr>
              <w:t>20</w:t>
            </w:r>
          </w:p>
        </w:tc>
        <w:tc>
          <w:tcPr>
            <w:tcW w:type="dxa" w:w="1584"/>
          </w:tcPr>
          <w:p>
            <w:pPr>
              <w:spacing w:after="40"/>
            </w:pPr>
            <w:r/>
            <w:r>
              <w:rPr>
                <w:rFonts w:ascii="Times New Roman" w:hAnsi="Times New Roman"/>
                <w:b w:val="0"/>
                <w:i w:val="0"/>
                <w:sz w:val="22"/>
              </w:rPr>
              <w:t>Duplicate claims across insurers</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Algorithm 5(c) deterministically alerts when two consortium insurers' claims cite the same POLICE-VERIFIED accident record; assessor-anchored duplicates need generalisation to same-vehicle, same-claim-type, overlapping-date matching via idx_chassis, graded only WARNING.</w:t>
            </w:r>
          </w:p>
        </w:tc>
        <w:tc>
          <w:tcPr>
            <w:tcW w:type="dxa" w:w="1584"/>
          </w:tcPr>
          <w:p>
            <w:pPr>
              <w:spacing w:after="40"/>
            </w:pPr>
            <w:r/>
            <w:r>
              <w:rPr>
                <w:rFonts w:ascii="Times New Roman" w:hAnsi="Times New Roman"/>
                <w:b w:val="0"/>
                <w:i w:val="0"/>
                <w:sz w:val="22"/>
              </w:rPr>
              <w:t>Make claim-type a mandatory on-chain enum, add the idx_chassis date-window WARNING and a Police-side duplicate-report rule, mandate IRCSL-wide membership, and downgrade the matrix row and DETECTS count accordingly.</w:t>
            </w:r>
          </w:p>
        </w:tc>
      </w:tr>
      <w:tr>
        <w:tc>
          <w:tcPr>
            <w:tcW w:type="dxa" w:w="1584"/>
          </w:tcPr>
          <w:p>
            <w:pPr>
              <w:spacing w:after="40"/>
            </w:pPr>
            <w:r/>
            <w:r>
              <w:rPr>
                <w:rFonts w:ascii="Times New Roman" w:hAnsi="Times New Roman"/>
                <w:b w:val="0"/>
                <w:i w:val="0"/>
                <w:sz w:val="22"/>
              </w:rPr>
              <w:t>21</w:t>
            </w:r>
          </w:p>
        </w:tc>
        <w:tc>
          <w:tcPr>
            <w:tcW w:type="dxa" w:w="1584"/>
          </w:tcPr>
          <w:p>
            <w:pPr>
              <w:spacing w:after="40"/>
            </w:pPr>
            <w:r/>
            <w:r>
              <w:rPr>
                <w:rFonts w:ascii="Times New Roman" w:hAnsi="Times New Roman"/>
                <w:b w:val="0"/>
                <w:i w:val="0"/>
                <w:sz w:val="22"/>
              </w:rPr>
              <w:t>Fronting (misdeclared main driver)</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The system stores no policy or underwriting data, only post-hoc claim hashes, so the misrepresented fact never enters the ledger; per-vehicle salted pseudonyms additionally prevent correlating declared policyholder with registered owner.</w:t>
            </w:r>
          </w:p>
        </w:tc>
        <w:tc>
          <w:tcPr>
            <w:tcW w:type="dxa" w:w="1584"/>
          </w:tcPr>
          <w:p>
            <w:pPr>
              <w:spacing w:after="40"/>
            </w:pPr>
            <w:r/>
            <w:r>
              <w:rPr>
                <w:rFonts w:ascii="Times New Roman" w:hAnsi="Times New Roman"/>
                <w:b w:val="0"/>
                <w:i w:val="0"/>
                <w:sz w:val="22"/>
              </w:rPr>
              <w:t>Declare out of scope: underwriting fraud lies outside the registry's trust boundary. Do not place policyholder or driver identity on-chain, which would breach the privacy model for marginal gain.</w:t>
            </w:r>
          </w:p>
        </w:tc>
      </w:tr>
      <w:tr>
        <w:tc>
          <w:tcPr>
            <w:tcW w:type="dxa" w:w="1584"/>
          </w:tcPr>
          <w:p>
            <w:pPr>
              <w:spacing w:after="40"/>
            </w:pPr>
            <w:r/>
            <w:r>
              <w:rPr>
                <w:rFonts w:ascii="Times New Roman" w:hAnsi="Times New Roman"/>
                <w:b w:val="0"/>
                <w:i w:val="0"/>
                <w:sz w:val="22"/>
              </w:rPr>
              <w:t>22</w:t>
            </w:r>
          </w:p>
        </w:tc>
        <w:tc>
          <w:tcPr>
            <w:tcW w:type="dxa" w:w="1584"/>
          </w:tcPr>
          <w:p>
            <w:pPr>
              <w:spacing w:after="40"/>
            </w:pPr>
            <w:r/>
            <w:r>
              <w:rPr>
                <w:rFonts w:ascii="Times New Roman" w:hAnsi="Times New Roman"/>
                <w:b w:val="0"/>
                <w:i w:val="0"/>
                <w:sz w:val="22"/>
              </w:rPr>
              <w:t>Total-loss / salvage write-off laundering</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Accident and claim hashes are immutable, giving NMVTIS-lite wash resistance, and Algorithm 5(b) raises an INFO flag at transfer; but no total-loss status exists on-chain, so severity stays hidden inside the document hash.</w:t>
            </w:r>
          </w:p>
        </w:tc>
        <w:tc>
          <w:tcPr>
            <w:tcW w:type="dxa" w:w="1584"/>
          </w:tcPr>
          <w:p>
            <w:pPr>
              <w:spacing w:after="40"/>
            </w:pPr>
            <w:r/>
            <w:r>
              <w:rPr>
                <w:rFonts w:ascii="Times New Roman" w:hAnsi="Times New Roman"/>
                <w:b w:val="0"/>
                <w:i w:val="0"/>
                <w:sz w:val="22"/>
              </w:rPr>
              <w:t>R6 SALVAGE brand set on total-loss settlement, exposed to portal queries and surfaced as a blocking transfer warning; ACTIVE-status restoration awaits a DMT rebuilt-vehicle inspection process, and identity re-verification needs idx_chassis/idx_engine recomputation.</w:t>
            </w:r>
          </w:p>
        </w:tc>
      </w:tr>
      <w:tr>
        <w:tc>
          <w:tcPr>
            <w:tcW w:type="dxa" w:w="1584"/>
          </w:tcPr>
          <w:p>
            <w:pPr>
              <w:spacing w:after="40"/>
            </w:pPr>
            <w:r/>
          </w:p>
        </w:tc>
        <w:tc>
          <w:tcPr>
            <w:tcW w:type="dxa" w:w="1584"/>
          </w:tcPr>
          <w:p>
            <w:pPr>
              <w:spacing w:after="40"/>
            </w:pPr>
            <w:r/>
            <w:r>
              <w:rPr>
                <w:rFonts w:ascii="Times New Roman" w:hAnsi="Times New Roman"/>
                <w:b/>
                <w:i w:val="0"/>
                <w:sz w:val="22"/>
              </w:rPr>
              <w:t>Document &amp; Insider Registration Fraud</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23</w:t>
            </w:r>
          </w:p>
        </w:tc>
        <w:tc>
          <w:tcPr>
            <w:tcW w:type="dxa" w:w="1584"/>
          </w:tcPr>
          <w:p>
            <w:pPr>
              <w:spacing w:after="40"/>
            </w:pPr>
            <w:r/>
            <w:r>
              <w:rPr>
                <w:rFonts w:ascii="Times New Roman" w:hAnsi="Times New Roman"/>
                <w:b w:val="0"/>
                <w:i w:val="0"/>
                <w:sz w:val="22"/>
              </w:rPr>
              <w:t>Forged / doctored paper CR</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No algorithm fires, since forgery occurs off-chain; the append-only record becomes the authoritative reference, exposing a contradicting paper CR whenever a buyer or honest clerk queries it. Insider transfers on forged supporting documents still commit, attributably.</w:t>
            </w:r>
          </w:p>
        </w:tc>
        <w:tc>
          <w:tcPr>
            <w:tcW w:type="dxa" w:w="1584"/>
          </w:tcPr>
          <w:p>
            <w:pPr>
              <w:spacing w:after="40"/>
            </w:pPr>
            <w:r/>
            <w:r>
              <w:rPr>
                <w:rFonts w:ascii="Times New Roman" w:hAnsi="Times New Roman"/>
                <w:b w:val="0"/>
                <w:i w:val="0"/>
                <w:sz w:val="22"/>
              </w:rPr>
              <w:t>Process changes: chain-state check at MTA-6 copy B lodgement printed on the CMT-52 receipt, automatic SMS to the registered owner, and R7 pre-payment portal self-check; QR encodes identifiers only.</w:t>
            </w:r>
          </w:p>
        </w:tc>
      </w:tr>
      <w:tr>
        <w:tc>
          <w:tcPr>
            <w:tcW w:type="dxa" w:w="1584"/>
          </w:tcPr>
          <w:p>
            <w:pPr>
              <w:spacing w:after="40"/>
            </w:pPr>
            <w:r/>
            <w:r>
              <w:rPr>
                <w:rFonts w:ascii="Times New Roman" w:hAnsi="Times New Roman"/>
                <w:b w:val="0"/>
                <w:i w:val="0"/>
                <w:sz w:val="22"/>
              </w:rPr>
              <w:t>24</w:t>
            </w:r>
          </w:p>
        </w:tc>
        <w:tc>
          <w:tcPr>
            <w:tcW w:type="dxa" w:w="1584"/>
          </w:tcPr>
          <w:p>
            <w:pPr>
              <w:spacing w:after="40"/>
            </w:pPr>
            <w:r/>
            <w:r>
              <w:rPr>
                <w:rFonts w:ascii="Times New Roman" w:hAnsi="Times New Roman"/>
                <w:b w:val="0"/>
                <w:i w:val="0"/>
                <w:sz w:val="22"/>
              </w:rPr>
              <w:t>Duplicate/replacement-CR scam</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Single on-chain ownership state makes the duplicate paper CR authority-free: the second transfer transaction aborts deterministically because the seller's pseudonym is no longer current owner. Only the second registration is rejected, not the second sale.</w:t>
            </w:r>
          </w:p>
        </w:tc>
        <w:tc>
          <w:tcPr>
            <w:tcW w:type="dxa" w:w="1584"/>
          </w:tcPr>
          <w:p>
            <w:pPr>
              <w:spacing w:after="40"/>
            </w:pPr>
            <w:r/>
            <w:r>
              <w:rPr>
                <w:rFonts w:ascii="Times New Roman" w:hAnsi="Times New Roman"/>
                <w:b w:val="0"/>
                <w:i w:val="0"/>
                <w:sz w:val="22"/>
              </w:rPr>
              <w:t>Retain the design, add an adversarial test asserting the second competing transfer aborts, promote R7 pre-purchase query and prompt transfer registration, and defer the pawn/lease limb to the R8 encumbrance flag.</w:t>
            </w:r>
          </w:p>
        </w:tc>
      </w:tr>
      <w:tr>
        <w:tc>
          <w:tcPr>
            <w:tcW w:type="dxa" w:w="1584"/>
          </w:tcPr>
          <w:p>
            <w:pPr>
              <w:spacing w:after="40"/>
            </w:pPr>
            <w:r/>
            <w:r>
              <w:rPr>
                <w:rFonts w:ascii="Times New Roman" w:hAnsi="Times New Roman"/>
                <w:b w:val="0"/>
                <w:i w:val="0"/>
                <w:sz w:val="22"/>
              </w:rPr>
              <w:t>25</w:t>
            </w:r>
          </w:p>
        </w:tc>
        <w:tc>
          <w:tcPr>
            <w:tcW w:type="dxa" w:w="1584"/>
          </w:tcPr>
          <w:p>
            <w:pPr>
              <w:spacing w:after="40"/>
            </w:pPr>
            <w:r/>
            <w:r>
              <w:rPr>
                <w:rFonts w:ascii="Times New Roman" w:hAnsi="Times New Roman"/>
                <w:b w:val="0"/>
                <w:i w:val="0"/>
                <w:sz w:val="22"/>
              </w:rPr>
              <w:t>Insider fraudulent registrations (CIABOC ~400 vehicles)</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No implemented rule fires; Algorithms 2/4/5 do not touch registration provenance. Strength is forensic: MSP-attributed signature, append-only immutability, and a single deterministic audit query listing registrations with no matching Customs import record.</w:t>
            </w:r>
          </w:p>
        </w:tc>
        <w:tc>
          <w:tcPr>
            <w:tcW w:type="dxa" w:w="1584"/>
          </w:tcPr>
          <w:p>
            <w:pPr>
              <w:spacing w:after="40"/>
            </w:pPr>
            <w:r/>
            <w:r>
              <w:rPr>
                <w:rFonts w:ascii="Times New Roman" w:hAnsi="Times New Roman"/>
                <w:b w:val="0"/>
                <w:i w:val="0"/>
                <w:sz w:val="22"/>
              </w:rPr>
              <w:t>Add R1 prerequisite-record registration matching a Customs-signed record on idx_chassis/idx_engine; legacy overrides must be dual-human, rate-limited, audit-flagged. Residual: two-organisation collusion.</w:t>
            </w:r>
          </w:p>
        </w:tc>
      </w:tr>
      <w:tr>
        <w:tc>
          <w:tcPr>
            <w:tcW w:type="dxa" w:w="1584"/>
          </w:tcPr>
          <w:p>
            <w:pPr>
              <w:spacing w:after="40"/>
            </w:pPr>
            <w:r/>
            <w:r>
              <w:rPr>
                <w:rFonts w:ascii="Times New Roman" w:hAnsi="Times New Roman"/>
                <w:b w:val="0"/>
                <w:i w:val="0"/>
                <w:sz w:val="22"/>
              </w:rPr>
              <w:t>26</w:t>
            </w:r>
          </w:p>
        </w:tc>
        <w:tc>
          <w:tcPr>
            <w:tcW w:type="dxa" w:w="1584"/>
          </w:tcPr>
          <w:p>
            <w:pPr>
              <w:spacing w:after="40"/>
            </w:pPr>
            <w:r/>
            <w:r>
              <w:rPr>
                <w:rFonts w:ascii="Times New Roman" w:hAnsi="Times New Roman"/>
                <w:b w:val="0"/>
                <w:i w:val="0"/>
                <w:sz w:val="22"/>
              </w:rPr>
              <w:t>COPA-style identity insertion into existing registrations</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Chassis identity is immutable: no ChassisAmendment transaction exists, rendering the chassis half inexpressible. The engine half is downgraded by R3 to a signed, attributable DECLARED-ONLY amendment; clone re-registration remains unblocked pending R4.</w:t>
            </w:r>
          </w:p>
        </w:tc>
        <w:tc>
          <w:tcPr>
            <w:tcW w:type="dxa" w:w="1584"/>
          </w:tcPr>
          <w:p>
            <w:pPr>
              <w:spacing w:after="40"/>
            </w:pPr>
            <w:r/>
            <w:r>
              <w:rPr>
                <w:rFonts w:ascii="Times New Roman" w:hAnsi="Times New Roman"/>
                <w:b w:val="0"/>
                <w:i w:val="0"/>
                <w:sz w:val="22"/>
              </w:rPr>
              <w:t>Implement R4 uniqueness keyed on the deterministic idx_chassis/idx_engine, with R1 closing vacant-number registrations; physical re-stamping is out of scope as a pure oracle problem.</w:t>
            </w:r>
          </w:p>
        </w:tc>
      </w:tr>
      <w:tr>
        <w:tc>
          <w:tcPr>
            <w:tcW w:type="dxa" w:w="1584"/>
          </w:tcPr>
          <w:p>
            <w:pPr>
              <w:spacing w:after="40"/>
            </w:pPr>
            <w:r/>
            <w:r>
              <w:rPr>
                <w:rFonts w:ascii="Times New Roman" w:hAnsi="Times New Roman"/>
                <w:b w:val="0"/>
                <w:i w:val="0"/>
                <w:sz w:val="22"/>
              </w:rPr>
              <w:t>27</w:t>
            </w:r>
          </w:p>
        </w:tc>
        <w:tc>
          <w:tcPr>
            <w:tcW w:type="dxa" w:w="1584"/>
          </w:tcPr>
          <w:p>
            <w:pPr>
              <w:spacing w:after="40"/>
            </w:pPr>
            <w:r/>
            <w:r>
              <w:rPr>
                <w:rFonts w:ascii="Times New Roman" w:hAnsi="Times New Roman"/>
                <w:b w:val="0"/>
                <w:i w:val="0"/>
                <w:sz w:val="22"/>
              </w:rPr>
              <w:t>Forged number plates / plate cloning</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No data produced: no consortium member submits any transaction when a fabricated plate is fitted. The ledger commits chassis and engine identifiers, never plate observations, and pseudonymity deliberately excludes vehicle location.</w:t>
            </w:r>
          </w:p>
        </w:tc>
        <w:tc>
          <w:tcPr>
            <w:tcW w:type="dxa" w:w="1584"/>
          </w:tcPr>
          <w:p>
            <w:pPr>
              <w:spacing w:after="40"/>
            </w:pPr>
            <w:r/>
            <w:r>
              <w:rPr>
                <w:rFonts w:ascii="Times New Roman" w:hAnsi="Times New Roman"/>
                <w:b w:val="0"/>
                <w:i w:val="0"/>
                <w:sz w:val="22"/>
              </w:rPr>
              <w:t>Declare out of scope; optionally an evaluate-only police query comparing observed idx_chassis/idx_engine, passed as transient data, against DMT's off-chain plate index. A workflow, not a rule.</w:t>
            </w:r>
          </w:p>
        </w:tc>
      </w:tr>
      <w:tr>
        <w:tc>
          <w:tcPr>
            <w:tcW w:type="dxa" w:w="1584"/>
          </w:tcPr>
          <w:p>
            <w:pPr>
              <w:spacing w:after="40"/>
            </w:pPr>
            <w:r/>
            <w:r>
              <w:rPr>
                <w:rFonts w:ascii="Times New Roman" w:hAnsi="Times New Roman"/>
                <w:b w:val="0"/>
                <w:i w:val="0"/>
                <w:sz w:val="22"/>
              </w:rPr>
              <w:t>28</w:t>
            </w:r>
          </w:p>
        </w:tc>
        <w:tc>
          <w:tcPr>
            <w:tcW w:type="dxa" w:w="1584"/>
          </w:tcPr>
          <w:p>
            <w:pPr>
              <w:spacing w:after="40"/>
            </w:pPr>
            <w:r/>
            <w:r>
              <w:rPr>
                <w:rFonts w:ascii="Times New Roman" w:hAnsi="Times New Roman"/>
                <w:b w:val="0"/>
                <w:i w:val="0"/>
                <w:sz w:val="22"/>
              </w:rPr>
              <w:t>Fake deregistration / silent record deletion</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Silent deletion or overwrite is structurally dead on an append-only ledger; any reversal is a new attributable event preserving the original. False scrapped or exported status is ungoverned, no algorithm addressing deregistration.</w:t>
            </w:r>
          </w:p>
        </w:tc>
        <w:tc>
          <w:tcPr>
            <w:tcW w:type="dxa" w:w="1584"/>
          </w:tcPr>
          <w:p>
            <w:pPr>
              <w:spacing w:after="40"/>
            </w:pPr>
            <w:r/>
            <w:r>
              <w:rPr>
                <w:rFonts w:ascii="Times New Roman" w:hAnsi="Times New Roman"/>
                <w:b w:val="0"/>
                <w:i w:val="0"/>
                <w:sz w:val="22"/>
              </w:rPr>
              <w:t>Add R5 terminal RETIRED state on idx_chassis/idx_engine, alerting on later events and rejecting re-registration via R4; destruction requires a second organisation's prerequisite corroborating record.</w:t>
            </w:r>
          </w:p>
        </w:tc>
      </w:tr>
      <w:tr>
        <w:tc>
          <w:tcPr>
            <w:tcW w:type="dxa" w:w="1584"/>
          </w:tcPr>
          <w:p>
            <w:pPr>
              <w:spacing w:after="40"/>
            </w:pPr>
            <w:r/>
          </w:p>
        </w:tc>
        <w:tc>
          <w:tcPr>
            <w:tcW w:type="dxa" w:w="1584"/>
          </w:tcPr>
          <w:p>
            <w:pPr>
              <w:spacing w:after="40"/>
            </w:pPr>
            <w:r/>
            <w:r>
              <w:rPr>
                <w:rFonts w:ascii="Times New Roman" w:hAnsi="Times New Roman"/>
                <w:b/>
                <w:i w:val="0"/>
                <w:sz w:val="22"/>
              </w:rPr>
              <w:t>Vehicle import/customs fraud</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29</w:t>
            </w:r>
          </w:p>
        </w:tc>
        <w:tc>
          <w:tcPr>
            <w:tcW w:type="dxa" w:w="1584"/>
          </w:tcPr>
          <w:p>
            <w:pPr>
              <w:spacing w:after="40"/>
            </w:pPr>
            <w:r/>
            <w:r>
              <w:rPr>
                <w:rFonts w:ascii="Times New Roman" w:hAnsi="Times New Roman"/>
                <w:b w:val="0"/>
                <w:i w:val="0"/>
                <w:sz w:val="22"/>
              </w:rPr>
              <w:t>Registration of never-Customs-cleared vehicles</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As specified no rule fires, leaving attribution, immutability and cheap audit of registrations lacking Customs records. R1 would reject deterministically by matching a Customs-MSP-signed record at the deterministic identity index.</w:t>
            </w:r>
          </w:p>
        </w:tc>
        <w:tc>
          <w:tcPr>
            <w:tcW w:type="dxa" w:w="1584"/>
          </w:tcPr>
          <w:p>
            <w:pPr>
              <w:spacing w:after="40"/>
            </w:pPr>
            <w:r/>
            <w:r>
              <w:rPr>
                <w:rFonts w:ascii="Times New Roman" w:hAnsi="Times New Roman"/>
                <w:b w:val="0"/>
                <w:i w:val="0"/>
                <w:sz w:val="22"/>
              </w:rPr>
              <w:t>Adopt R1, refined so each Customs import record is consumable once and matching runs on idx_chassis/idx_engine; concede cross-agency collusion and override paths honestly.</w:t>
            </w:r>
          </w:p>
        </w:tc>
      </w:tr>
      <w:tr>
        <w:tc>
          <w:tcPr>
            <w:tcW w:type="dxa" w:w="1584"/>
          </w:tcPr>
          <w:p>
            <w:pPr>
              <w:spacing w:after="40"/>
            </w:pPr>
            <w:r/>
            <w:r>
              <w:rPr>
                <w:rFonts w:ascii="Times New Roman" w:hAnsi="Times New Roman"/>
                <w:b w:val="0"/>
                <w:i w:val="0"/>
                <w:sz w:val="22"/>
              </w:rPr>
              <w:t>30</w:t>
            </w:r>
          </w:p>
        </w:tc>
        <w:tc>
          <w:tcPr>
            <w:tcW w:type="dxa" w:w="1584"/>
          </w:tcPr>
          <w:p>
            <w:pPr>
              <w:spacing w:after="40"/>
            </w:pPr>
            <w:r/>
            <w:r>
              <w:rPr>
                <w:rFonts w:ascii="Times New Roman" w:hAnsi="Times New Roman"/>
                <w:b w:val="0"/>
                <w:i w:val="0"/>
                <w:sz w:val="22"/>
              </w:rPr>
              <w:t>Under-invoicing / undervaluation to evade duty</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False content in a genuine record: the deflated value resides inside an authentic Customs declaration of which only the hash is committed, and no deterministic rule can compare declared price with market value absent a valuation oracle.</w:t>
            </w:r>
          </w:p>
        </w:tc>
        <w:tc>
          <w:tcPr>
            <w:tcW w:type="dxa" w:w="1584"/>
          </w:tcPr>
          <w:p>
            <w:pPr>
              <w:spacing w:after="40"/>
            </w:pPr>
            <w:r/>
            <w:r>
              <w:rPr>
                <w:rFonts w:ascii="Times New Roman" w:hAnsi="Times New Roman"/>
                <w:b w:val="0"/>
                <w:i w:val="0"/>
                <w:sz w:val="22"/>
              </w:rPr>
              <w:t>Acknowledge as out of scope, valuation being a Customs-side control. Claim only that the declared figure becomes tamper-evident and attributable, assisting prosecution rather than prevention.</w:t>
            </w:r>
          </w:p>
        </w:tc>
      </w:tr>
      <w:tr>
        <w:tc>
          <w:tcPr>
            <w:tcW w:type="dxa" w:w="1584"/>
          </w:tcPr>
          <w:p>
            <w:pPr>
              <w:spacing w:after="40"/>
            </w:pPr>
            <w:r/>
            <w:r>
              <w:rPr>
                <w:rFonts w:ascii="Times New Roman" w:hAnsi="Times New Roman"/>
                <w:b w:val="0"/>
                <w:i w:val="0"/>
                <w:sz w:val="22"/>
              </w:rPr>
              <w:t>31</w:t>
            </w:r>
          </w:p>
        </w:tc>
        <w:tc>
          <w:tcPr>
            <w:tcW w:type="dxa" w:w="1584"/>
          </w:tcPr>
          <w:p>
            <w:pPr>
              <w:spacing w:after="40"/>
            </w:pPr>
            <w:r/>
            <w:r>
              <w:rPr>
                <w:rFonts w:ascii="Times New Roman" w:hAnsi="Times New Roman"/>
                <w:b w:val="0"/>
                <w:i w:val="0"/>
                <w:sz w:val="22"/>
              </w:rPr>
              <w:t>Misdeclared year-of-manufacture / engine capacity</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Registry-time backdating is defeated by R1 together with the section 6.1 hard legacy cutoff and immutable commit ordering, not by timestamps. Import-time misdeclaration and parts-splitting yield genuine declarations carrying false attributes.</w:t>
            </w:r>
          </w:p>
        </w:tc>
        <w:tc>
          <w:tcPr>
            <w:tcW w:type="dxa" w:w="1584"/>
          </w:tcPr>
          <w:p>
            <w:pPr>
              <w:spacing w:after="40"/>
            </w:pPr>
            <w:r/>
            <w:r>
              <w:rPr>
                <w:rFonts w:ascii="Times New Roman" w:hAnsi="Times New Roman"/>
                <w:b w:val="0"/>
                <w:i w:val="0"/>
                <w:sz w:val="22"/>
              </w:rPr>
              <w:t>Add a model-level type-approval kW/cc deviation check at import recording plus R2 engine-number attestation; VET exemptions void electric coverage, so import-time prevention stays out of scope.</w:t>
            </w:r>
          </w:p>
        </w:tc>
      </w:tr>
      <w:tr>
        <w:tc>
          <w:tcPr>
            <w:tcW w:type="dxa" w:w="1584"/>
          </w:tcPr>
          <w:p>
            <w:pPr>
              <w:spacing w:after="40"/>
            </w:pPr>
            <w:r/>
            <w:r>
              <w:rPr>
                <w:rFonts w:ascii="Times New Roman" w:hAnsi="Times New Roman"/>
                <w:b w:val="0"/>
                <w:i w:val="0"/>
                <w:sz w:val="22"/>
              </w:rPr>
              <w:t>32</w:t>
            </w:r>
          </w:p>
        </w:tc>
        <w:tc>
          <w:tcPr>
            <w:tcW w:type="dxa" w:w="1584"/>
          </w:tcPr>
          <w:p>
            <w:pPr>
              <w:spacing w:after="40"/>
            </w:pPr>
            <w:r/>
            <w:r>
              <w:rPr>
                <w:rFonts w:ascii="Times New Roman" w:hAnsi="Times New Roman"/>
                <w:b w:val="0"/>
                <w:i w:val="0"/>
                <w:sz w:val="22"/>
              </w:rPr>
              <w:t>Concessionary/duty-free permit abuse</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Every record is genuine and the abuse operates around the statutory non-transfer condition; identifying serial permit brokers demands cross-vehicle owner correlation destroyed by per-vehicle unlinkable pseudonyms, the privacy-by-design linkage limit.</w:t>
            </w:r>
          </w:p>
        </w:tc>
        <w:tc>
          <w:tcPr>
            <w:tcW w:type="dxa" w:w="1584"/>
          </w:tcPr>
          <w:p>
            <w:pPr>
              <w:spacing w:after="40"/>
            </w:pPr>
            <w:r/>
            <w:r>
              <w:rPr>
                <w:rFonts w:ascii="Times New Roman" w:hAnsi="Times New Roman"/>
                <w:b w:val="0"/>
                <w:i w:val="0"/>
                <w:sz w:val="22"/>
              </w:rPr>
              <w:t>Add an on-chain concessionary flag and restriction-end date blocking early transfer, digitising existing law; pre-import permit resale and straw brokerage remain explicitly out of scope.</w:t>
            </w:r>
          </w:p>
        </w:tc>
      </w:tr>
      <w:tr>
        <w:tc>
          <w:tcPr>
            <w:tcW w:type="dxa" w:w="1584"/>
          </w:tcPr>
          <w:p>
            <w:pPr>
              <w:spacing w:after="40"/>
            </w:pPr>
            <w:r/>
            <w:r>
              <w:rPr>
                <w:rFonts w:ascii="Times New Roman" w:hAnsi="Times New Roman"/>
                <w:b w:val="0"/>
                <w:i w:val="0"/>
                <w:sz w:val="22"/>
              </w:rPr>
              <w:t>33</w:t>
            </w:r>
          </w:p>
        </w:tc>
        <w:tc>
          <w:tcPr>
            <w:tcW w:type="dxa" w:w="1584"/>
          </w:tcPr>
          <w:p>
            <w:pPr>
              <w:spacing w:after="40"/>
            </w:pPr>
            <w:r/>
            <w:r>
              <w:rPr>
                <w:rFonts w:ascii="Times New Roman" w:hAnsi="Times New Roman"/>
                <w:b w:val="0"/>
                <w:i w:val="0"/>
                <w:sz w:val="22"/>
              </w:rPr>
              <w:t>Smuggled-vehicle re-papering</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Chassis amendment is not an expressible operation, so the chassis insertion and vacant or diplomatic number reissue die, conditional on ledger authority; R3's DECLARED-ONLY tier leaves engine insertion open though signed and tier-labelled.</w:t>
            </w:r>
          </w:p>
        </w:tc>
        <w:tc>
          <w:tcPr>
            <w:tcW w:type="dxa" w:w="1584"/>
          </w:tcPr>
          <w:p>
            <w:pPr>
              <w:spacing w:after="40"/>
            </w:pPr>
            <w:r/>
            <w:r>
              <w:rPr>
                <w:rFonts w:ascii="Times New Roman" w:hAnsi="Times New Roman"/>
                <w:b w:val="0"/>
                <w:i w:val="0"/>
                <w:sz w:val="22"/>
              </w:rPr>
              <w:t>Implement the planned cloning heuristic as chaincode, using implausible concurrent activity and Algorithm 4 monotonicity breaks, and state ledger-authoritative deployment as an explicit precondition.</w:t>
            </w:r>
          </w:p>
        </w:tc>
      </w:tr>
      <w:tr>
        <w:tc>
          <w:tcPr>
            <w:tcW w:type="dxa" w:w="1584"/>
          </w:tcPr>
          <w:p>
            <w:pPr>
              <w:spacing w:after="40"/>
            </w:pPr>
            <w:r/>
          </w:p>
        </w:tc>
        <w:tc>
          <w:tcPr>
            <w:tcW w:type="dxa" w:w="1584"/>
          </w:tcPr>
          <w:p>
            <w:pPr>
              <w:spacing w:after="40"/>
            </w:pPr>
            <w:r/>
            <w:r>
              <w:rPr>
                <w:rFonts w:ascii="Times New Roman" w:hAnsi="Times New Roman"/>
                <w:b/>
                <w:i w:val="0"/>
                <w:sz w:val="22"/>
              </w:rPr>
              <w:t>Ownership-pattern fraud</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34</w:t>
            </w:r>
          </w:p>
        </w:tc>
        <w:tc>
          <w:tcPr>
            <w:tcW w:type="dxa" w:w="1584"/>
          </w:tcPr>
          <w:p>
            <w:pPr>
              <w:spacing w:after="40"/>
            </w:pPr>
            <w:r/>
            <w:r>
              <w:rPr>
                <w:rFonts w:ascii="Times New Roman" w:hAnsi="Times New Roman"/>
                <w:b w:val="0"/>
                <w:i w:val="0"/>
                <w:sz w:val="22"/>
              </w:rPr>
              <w:t>Straw ownership</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Privacy-by-design linkage limit: each registration is individually legitimate, and the only anti-straw signal requires cross-vehicle owner linkage erased by per-vehicle salted pseudonyms; reveal presupposes a fraud flag the straw vehicle never generates.</w:t>
            </w:r>
          </w:p>
        </w:tc>
        <w:tc>
          <w:tcPr>
            <w:tcW w:type="dxa" w:w="1584"/>
          </w:tcPr>
          <w:p>
            <w:pPr>
              <w:spacing w:after="40"/>
            </w:pPr>
            <w:r/>
            <w:r>
              <w:rPr>
                <w:rFonts w:ascii="Times New Roman" w:hAnsi="Times New Roman"/>
                <w:b w:val="0"/>
                <w:i w:val="0"/>
                <w:sz w:val="22"/>
              </w:rPr>
              <w:t>Add a DMT-only private data collection counting HMAC-hashed NIC holdings with FIU escalation, plus quorum-gated escrowed reveal; one-straw-per-vehicle laundering remains an AML matter.</w:t>
            </w:r>
          </w:p>
        </w:tc>
      </w:tr>
      <w:tr>
        <w:tc>
          <w:tcPr>
            <w:tcW w:type="dxa" w:w="1584"/>
          </w:tcPr>
          <w:p>
            <w:pPr>
              <w:spacing w:after="40"/>
            </w:pPr>
            <w:r/>
            <w:r>
              <w:rPr>
                <w:rFonts w:ascii="Times New Roman" w:hAnsi="Times New Roman"/>
                <w:b w:val="0"/>
                <w:i w:val="0"/>
                <w:sz w:val="22"/>
              </w:rPr>
              <w:t>35</w:t>
            </w:r>
          </w:p>
        </w:tc>
        <w:tc>
          <w:tcPr>
            <w:tcW w:type="dxa" w:w="1584"/>
          </w:tcPr>
          <w:p>
            <w:pPr>
              <w:spacing w:after="40"/>
            </w:pPr>
            <w:r/>
            <w:r>
              <w:rPr>
                <w:rFonts w:ascii="Times New Roman" w:hAnsi="Times New Roman"/>
                <w:b w:val="0"/>
                <w:i w:val="0"/>
                <w:sz w:val="22"/>
              </w:rPr>
              <w:t>Curbstoning</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Privacy-by-design linkage limit: the natural threshold rule counting one party's transfers annually is a cross-vehicle owner query unrunnable under per-vehicle pseudonyms, while the non-registering variant produces no transaction whatsoever.</w:t>
            </w:r>
          </w:p>
        </w:tc>
        <w:tc>
          <w:tcPr>
            <w:tcW w:type="dxa" w:w="1584"/>
          </w:tcPr>
          <w:p>
            <w:pPr>
              <w:spacing w:after="40"/>
            </w:pPr>
            <w:r/>
            <w:r>
              <w:rPr>
                <w:rFonts w:ascii="Times New Roman" w:hAnsi="Times New Roman"/>
                <w:b w:val="0"/>
                <w:i w:val="0"/>
                <w:sz w:val="22"/>
              </w:rPr>
              <w:t>Add a DMT-only private-collection transfer counter per hashed NIC against a statutory threshold, plus vehicle-churn disclosure via the portal; effective only after transfer-process reform.</w:t>
            </w:r>
          </w:p>
        </w:tc>
      </w:tr>
      <w:tr>
        <w:tc>
          <w:tcPr>
            <w:tcW w:type="dxa" w:w="1584"/>
          </w:tcPr>
          <w:p>
            <w:pPr>
              <w:spacing w:after="40"/>
            </w:pPr>
            <w:r/>
            <w:r>
              <w:rPr>
                <w:rFonts w:ascii="Times New Roman" w:hAnsi="Times New Roman"/>
                <w:b w:val="0"/>
                <w:i w:val="0"/>
                <w:sz w:val="22"/>
              </w:rPr>
              <w:t>36</w:t>
            </w:r>
          </w:p>
        </w:tc>
        <w:tc>
          <w:tcPr>
            <w:tcW w:type="dxa" w:w="1584"/>
          </w:tcPr>
          <w:p>
            <w:pPr>
              <w:spacing w:after="40"/>
            </w:pPr>
            <w:r/>
            <w:r>
              <w:rPr>
                <w:rFonts w:ascii="Times New Roman" w:hAnsi="Times New Roman"/>
                <w:b w:val="0"/>
                <w:i w:val="0"/>
                <w:sz w:val="22"/>
              </w:rPr>
              <w:t>Title jumping / open-paper sales</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No data produced: the intermediate sale is never submitted, so the eventual previous-owner-to-final-buyer record is well formed and the skipped hop leaves no on-chain artefact for any rule to reference.</w:t>
            </w:r>
          </w:p>
        </w:tc>
        <w:tc>
          <w:tcPr>
            <w:tcW w:type="dxa" w:w="1584"/>
          </w:tcPr>
          <w:p>
            <w:pPr>
              <w:spacing w:after="40"/>
            </w:pPr>
            <w:r/>
            <w:r>
              <w:rPr>
                <w:rFonts w:ascii="Times New Roman" w:hAnsi="Times New Roman"/>
                <w:b w:val="0"/>
                <w:i w:val="0"/>
                <w:sz w:val="22"/>
              </w:rPr>
              <w:t>Procedural remedy: both-party NIC-authenticated transfer within a statutory window. The chain contributes immutable commit ordering that precludes retroactive insertion, not detection.</w:t>
            </w:r>
          </w:p>
        </w:tc>
      </w:tr>
      <w:tr>
        <w:tc>
          <w:tcPr>
            <w:tcW w:type="dxa" w:w="1584"/>
          </w:tcPr>
          <w:p>
            <w:pPr>
              <w:spacing w:after="40"/>
            </w:pPr>
            <w:r/>
            <w:r>
              <w:rPr>
                <w:rFonts w:ascii="Times New Roman" w:hAnsi="Times New Roman"/>
                <w:b w:val="0"/>
                <w:i w:val="0"/>
                <w:sz w:val="22"/>
              </w:rPr>
              <w:t>37</w:t>
            </w:r>
          </w:p>
        </w:tc>
        <w:tc>
          <w:tcPr>
            <w:tcW w:type="dxa" w:w="1584"/>
          </w:tcPr>
          <w:p>
            <w:pPr>
              <w:spacing w:after="40"/>
            </w:pPr>
            <w:r/>
            <w:r>
              <w:rPr>
                <w:rFonts w:ascii="Times New Roman" w:hAnsi="Times New Roman"/>
                <w:b w:val="0"/>
                <w:i w:val="0"/>
                <w:sz w:val="22"/>
              </w:rPr>
              <w:t>Serial odometer fraudsters</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Algorithm 4(a) monotonicity fires deterministically per vehicle for the VET-liable ICE fleet, and history is immutable; cross-vehicle actor linkage is precluded by per-owner pseudonym unlinkability, and the VET-exempt hybrid, EV and first-year fleet yields no reading source at all.</w:t>
            </w:r>
          </w:p>
        </w:tc>
        <w:tc>
          <w:tcPr>
            <w:tcW w:type="dxa" w:w="1584"/>
          </w:tcPr>
          <w:p>
            <w:pPr>
              <w:spacing w:after="40"/>
            </w:pPr>
            <w:r/>
            <w:r>
              <w:rPr>
                <w:rFonts w:ascii="Times New Roman" w:hAnsi="Times New Roman"/>
                <w:b w:val="0"/>
                <w:i w:val="0"/>
                <w:sz w:val="22"/>
              </w:rPr>
              <w:t>R7 pre-purchase query plus escrowed quorum-gated NIC reveal after an Algorithm 4 alert; Customs export-certificate genesis floor; eRL-conditioned annual inspection for VET-exempt classes as process reform.</w:t>
            </w:r>
          </w:p>
        </w:tc>
      </w:tr>
      <w:tr>
        <w:tc>
          <w:tcPr>
            <w:tcW w:type="dxa" w:w="1584"/>
          </w:tcPr>
          <w:p>
            <w:pPr>
              <w:spacing w:after="40"/>
            </w:pPr>
            <w:r/>
            <w:r>
              <w:rPr>
                <w:rFonts w:ascii="Times New Roman" w:hAnsi="Times New Roman"/>
                <w:b w:val="0"/>
                <w:i w:val="0"/>
                <w:sz w:val="22"/>
              </w:rPr>
              <w:t>38</w:t>
            </w:r>
          </w:p>
        </w:tc>
        <w:tc>
          <w:tcPr>
            <w:tcW w:type="dxa" w:w="1584"/>
          </w:tcPr>
          <w:p>
            <w:pPr>
              <w:spacing w:after="40"/>
            </w:pPr>
            <w:r/>
            <w:r>
              <w:rPr>
                <w:rFonts w:ascii="Times New Roman" w:hAnsi="Times New Roman"/>
                <w:b w:val="0"/>
                <w:i w:val="0"/>
                <w:sz w:val="22"/>
              </w:rPr>
              <w:t>Serial staged-accident claim rings</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Algorithm 5(a) flags claims citing neither evidence tier and 5(c) flags duplicates deterministically only within a shared evidence anchor; staged yet genuinely police-reported single claims, and cross-vehicle ring correlation, remain outside any rule.</w:t>
            </w:r>
          </w:p>
        </w:tc>
        <w:tc>
          <w:tcPr>
            <w:tcW w:type="dxa" w:w="1584"/>
          </w:tcPr>
          <w:p>
            <w:pPr>
              <w:spacing w:after="40"/>
            </w:pPr>
            <w:r/>
            <w:r>
              <w:rPr>
                <w:rFonts w:ascii="Times New Roman" w:hAnsi="Times New Roman"/>
                <w:b w:val="0"/>
                <w:i w:val="0"/>
                <w:sz w:val="22"/>
              </w:rPr>
              <w:t>Add a per-vehicle claim-frequency WARNING rule; position insurers' off-chain analytics as the ring consumer with the chain supplying commit ordering; ring attribution needs quorum-gated linkage post-flag.</w:t>
            </w:r>
          </w:p>
        </w:tc>
      </w:tr>
      <w:tr>
        <w:tc>
          <w:tcPr>
            <w:tcW w:type="dxa" w:w="1584"/>
          </w:tcPr>
          <w:p>
            <w:pPr>
              <w:spacing w:after="40"/>
            </w:pPr>
            <w:r/>
            <w:r>
              <w:rPr>
                <w:rFonts w:ascii="Times New Roman" w:hAnsi="Times New Roman"/>
                <w:b w:val="0"/>
                <w:i w:val="0"/>
                <w:sz w:val="22"/>
              </w:rPr>
              <w:t>39</w:t>
            </w:r>
          </w:p>
        </w:tc>
        <w:tc>
          <w:tcPr>
            <w:tcW w:type="dxa" w:w="1584"/>
          </w:tcPr>
          <w:p>
            <w:pPr>
              <w:spacing w:after="40"/>
            </w:pPr>
            <w:r/>
            <w:r>
              <w:rPr>
                <w:rFonts w:ascii="Times New Roman" w:hAnsi="Times New Roman"/>
                <w:b w:val="0"/>
                <w:i w:val="0"/>
                <w:sz w:val="22"/>
              </w:rPr>
              <w:t>Insider registration via straw registrants</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R1 prerequisite-record matching on the deterministic idx_chassis against a Customs-MSP-signed import record, unwritable by DMT identities, plus immutable commit ordering defeating backdating; the nominee beneficial-ownership layer stays unlinkable and the rule remains unimplemented.</w:t>
            </w:r>
          </w:p>
        </w:tc>
        <w:tc>
          <w:tcPr>
            <w:tcW w:type="dxa" w:w="1584"/>
          </w:tcPr>
          <w:p>
            <w:pPr>
              <w:spacing w:after="40"/>
            </w:pPr>
            <w:r/>
            <w:r>
              <w:rPr>
                <w:rFonts w:ascii="Times New Roman" w:hAnsi="Times New Roman"/>
                <w:b w:val="0"/>
                <w:i w:val="0"/>
                <w:sz w:val="22"/>
              </w:rPr>
              <w:t>Implement R1 two-path prerequisite registration and R4 uniqueness on idx_chassis/idx_engine; bound client-declared timestamps to endorsing-peer clock skew; gate legacy overrides by dual-human approval.</w:t>
            </w:r>
          </w:p>
        </w:tc>
      </w:tr>
      <w:tr>
        <w:tc>
          <w:tcPr>
            <w:tcW w:type="dxa" w:w="1584"/>
          </w:tcPr>
          <w:p>
            <w:pPr>
              <w:spacing w:after="40"/>
            </w:pPr>
            <w:r/>
          </w:p>
        </w:tc>
        <w:tc>
          <w:tcPr>
            <w:tcW w:type="dxa" w:w="1584"/>
          </w:tcPr>
          <w:p>
            <w:pPr>
              <w:spacing w:after="40"/>
            </w:pPr>
            <w:r/>
            <w:r>
              <w:rPr>
                <w:rFonts w:ascii="Times New Roman" w:hAnsi="Times New Roman"/>
                <w:b/>
                <w:i w:val="0"/>
                <w:sz w:val="22"/>
              </w:rPr>
              <w:t>Leasing/finance encumbrance fraud</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40</w:t>
            </w:r>
          </w:p>
        </w:tc>
        <w:tc>
          <w:tcPr>
            <w:tcW w:type="dxa" w:w="1584"/>
          </w:tcPr>
          <w:p>
            <w:pPr>
              <w:spacing w:after="40"/>
            </w:pPr>
            <w:r/>
            <w:r>
              <w:rPr>
                <w:rFonts w:ascii="Times New Roman" w:hAnsi="Times New Roman"/>
                <w:b w:val="0"/>
                <w:i w:val="0"/>
                <w:sz w:val="22"/>
              </w:rPr>
              <w:t>Sale of leased vehicle without settlement</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No encumbrance datum reaches the ledger, since the data model omits DMT's statutory absolute-owner endorsement; a transfer of an unsettled leased vehicle is therefore indistinguishable from a clean sale and Algorithm 2's theft check passes.</w:t>
            </w:r>
          </w:p>
        </w:tc>
        <w:tc>
          <w:tcPr>
            <w:tcW w:type="dxa" w:w="1584"/>
          </w:tcPr>
          <w:p>
            <w:pPr>
              <w:spacing w:after="40"/>
            </w:pPr>
            <w:r/>
            <w:r>
              <w:rPr>
                <w:rFonts w:ascii="Times New Roman" w:hAnsi="Times New Roman"/>
                <w:b w:val="0"/>
                <w:i w:val="0"/>
                <w:sz w:val="22"/>
              </w:rPr>
              <w:t>R8 encumbrance flag: DMT mirrors its existing absolute-owner endorsement on-chain with transfer block-on-flag, exposed as a boolean via the R7 pre-purchase portal; lessor membership as upgrade.</w:t>
            </w:r>
          </w:p>
        </w:tc>
      </w:tr>
      <w:tr>
        <w:tc>
          <w:tcPr>
            <w:tcW w:type="dxa" w:w="1584"/>
          </w:tcPr>
          <w:p>
            <w:pPr>
              <w:spacing w:after="40"/>
            </w:pPr>
            <w:r/>
            <w:r>
              <w:rPr>
                <w:rFonts w:ascii="Times New Roman" w:hAnsi="Times New Roman"/>
                <w:b w:val="0"/>
                <w:i w:val="0"/>
                <w:sz w:val="22"/>
              </w:rPr>
              <w:t>41</w:t>
            </w:r>
          </w:p>
        </w:tc>
        <w:tc>
          <w:tcPr>
            <w:tcW w:type="dxa" w:w="1584"/>
          </w:tcPr>
          <w:p>
            <w:pPr>
              <w:spacing w:after="40"/>
            </w:pPr>
            <w:r/>
            <w:r>
              <w:rPr>
                <w:rFonts w:ascii="Times New Roman" w:hAnsi="Times New Roman"/>
                <w:b w:val="0"/>
                <w:i w:val="0"/>
                <w:sz w:val="22"/>
              </w:rPr>
              <w:t>Encumbrance laundering via duplicate CR</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Duplicate-CR issuance is an entirely off-chain paper process generating no ledger event, and DMT is an authorised writer, so a corruptly cleaned title is a genuine record whose content is false.</w:t>
            </w:r>
          </w:p>
        </w:tc>
        <w:tc>
          <w:tcPr>
            <w:tcW w:type="dxa" w:w="1584"/>
          </w:tcPr>
          <w:p>
            <w:pPr>
              <w:spacing w:after="40"/>
            </w:pPr>
            <w:r/>
            <w:r>
              <w:rPr>
                <w:rFonts w:ascii="Times New Roman" w:hAnsi="Times New Roman"/>
                <w:b w:val="0"/>
                <w:i w:val="0"/>
                <w:sz w:val="22"/>
              </w:rPr>
              <w:t>R8 Step 2: admit CBSL-licensed lessors or a CBSL gateway with setEncumbrance/releaseEncumbrance scope so release requires the encumbering member's key; hash duplicate-CR issuance events on-chain.</w:t>
            </w:r>
          </w:p>
        </w:tc>
      </w:tr>
      <w:tr>
        <w:tc>
          <w:tcPr>
            <w:tcW w:type="dxa" w:w="1584"/>
          </w:tcPr>
          <w:p>
            <w:pPr>
              <w:spacing w:after="40"/>
            </w:pPr>
            <w:r/>
            <w:r>
              <w:rPr>
                <w:rFonts w:ascii="Times New Roman" w:hAnsi="Times New Roman"/>
                <w:b w:val="0"/>
                <w:i w:val="0"/>
                <w:sz w:val="22"/>
              </w:rPr>
              <w:t>42</w:t>
            </w:r>
          </w:p>
        </w:tc>
        <w:tc>
          <w:tcPr>
            <w:tcW w:type="dxa" w:w="1584"/>
          </w:tcPr>
          <w:p>
            <w:pPr>
              <w:spacing w:after="40"/>
            </w:pPr>
            <w:r/>
            <w:r>
              <w:rPr>
                <w:rFonts w:ascii="Times New Roman" w:hAnsi="Times New Roman"/>
                <w:b w:val="0"/>
                <w:i w:val="0"/>
                <w:sz w:val="22"/>
              </w:rPr>
              <w:t>'Open papers' sale of encumbered vehicle</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No transfer transaction is ever submitted, so no chaincode executes and no data is produced; prolonged unchanged pseudonymous ownership is the honest case as well, making this an oracle-boundary limit rather than a rule gap.</w:t>
            </w:r>
          </w:p>
        </w:tc>
        <w:tc>
          <w:tcPr>
            <w:tcW w:type="dxa" w:w="1584"/>
          </w:tcPr>
          <w:p>
            <w:pPr>
              <w:spacing w:after="40"/>
            </w:pPr>
            <w:r/>
            <w:r>
              <w:rPr>
                <w:rFonts w:ascii="Times New Roman" w:hAnsi="Times New Roman"/>
                <w:b w:val="0"/>
                <w:i w:val="0"/>
                <w:sz w:val="22"/>
              </w:rPr>
              <w:t>Out of scope for detection; mitigated by the R8 encumbrance boolean in the R7 pre-purchase query, a DMT OTP ownership-attestation service, and CGMT transfer-fee process reform.</w:t>
            </w:r>
          </w:p>
        </w:tc>
      </w:tr>
      <w:tr>
        <w:tc>
          <w:tcPr>
            <w:tcW w:type="dxa" w:w="1584"/>
          </w:tcPr>
          <w:p>
            <w:pPr>
              <w:spacing w:after="40"/>
            </w:pPr>
            <w:r/>
          </w:p>
        </w:tc>
        <w:tc>
          <w:tcPr>
            <w:tcW w:type="dxa" w:w="1584"/>
          </w:tcPr>
          <w:p>
            <w:pPr>
              <w:spacing w:after="40"/>
            </w:pPr>
            <w:r/>
            <w:r>
              <w:rPr>
                <w:rFonts w:ascii="Times New Roman" w:hAnsi="Times New Roman"/>
                <w:b/>
                <w:i w:val="0"/>
                <w:sz w:val="22"/>
              </w:rPr>
              <w:t>Accident/damage-history concealment via off-record repairs</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43</w:t>
            </w:r>
          </w:p>
        </w:tc>
        <w:tc>
          <w:tcPr>
            <w:tcW w:type="dxa" w:w="1584"/>
          </w:tcPr>
          <w:p>
            <w:pPr>
              <w:spacing w:after="40"/>
            </w:pPr>
            <w:r/>
            <w:r>
              <w:rPr>
                <w:rFonts w:ascii="Times New Roman" w:hAnsi="Times New Roman"/>
                <w:b w:val="0"/>
                <w:i w:val="0"/>
                <w:sz w:val="22"/>
              </w:rPr>
              <w:t>Off-record cash repair of crash damage</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Neither a claim nor a police report is produced, so Algorithm 5(a) and 5(b) have no artefact to cross-reference and the history is byte-identical to an undamaged vehicle; the evasion is non-reporting itself.</w:t>
            </w:r>
          </w:p>
        </w:tc>
        <w:tc>
          <w:tcPr>
            <w:tcW w:type="dxa" w:w="1584"/>
          </w:tcPr>
          <w:p>
            <w:pPr>
              <w:spacing w:after="40"/>
            </w:pPr>
            <w:r/>
            <w:r>
              <w:rPr>
                <w:rFonts w:ascii="Times New Roman" w:hAnsi="Times New Roman"/>
                <w:b w:val="0"/>
                <w:i w:val="0"/>
                <w:sz w:val="22"/>
              </w:rPr>
              <w:t>Out of scope; the interface must state 'no reported accidents'; add a mandatory pre-transfer inspection record hashed on-chain and surfaced through the R7 portal. VET-lane damage enum withdrawn.</w:t>
            </w:r>
          </w:p>
        </w:tc>
      </w:tr>
      <w:tr>
        <w:tc>
          <w:tcPr>
            <w:tcW w:type="dxa" w:w="1584"/>
          </w:tcPr>
          <w:p>
            <w:pPr>
              <w:spacing w:after="40"/>
            </w:pPr>
            <w:r/>
            <w:r>
              <w:rPr>
                <w:rFonts w:ascii="Times New Roman" w:hAnsi="Times New Roman"/>
                <w:b w:val="0"/>
                <w:i w:val="0"/>
                <w:sz w:val="22"/>
              </w:rPr>
              <w:t>44</w:t>
            </w:r>
          </w:p>
        </w:tc>
        <w:tc>
          <w:tcPr>
            <w:tcW w:type="dxa" w:w="1584"/>
          </w:tcPr>
          <w:p>
            <w:pPr>
              <w:spacing w:after="40"/>
            </w:pPr>
            <w:r/>
            <w:r>
              <w:rPr>
                <w:rFonts w:ascii="Times New Roman" w:hAnsi="Times New Roman"/>
                <w:b w:val="0"/>
                <w:i w:val="0"/>
                <w:sz w:val="22"/>
              </w:rPr>
              <w:t>Flood/water-damage laundering</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The third-party-only majority produces no artefact, while a comprehensively insured flood claim backed by an assessor attestation satisfies the two-tier evidence rule and passes 5(a) cleanly because the schema encodes no claimType or total-loss semantics.</w:t>
            </w:r>
          </w:p>
        </w:tc>
        <w:tc>
          <w:tcPr>
            <w:tcW w:type="dxa" w:w="1584"/>
          </w:tcPr>
          <w:p>
            <w:pPr>
              <w:spacing w:after="40"/>
            </w:pPr>
            <w:r/>
            <w:r>
              <w:rPr>
                <w:rFonts w:ascii="Times New Roman" w:hAnsi="Times New Roman"/>
                <w:b w:val="0"/>
                <w:i w:val="0"/>
                <w:sz w:val="22"/>
              </w:rPr>
              <w:t>Unified 5(a) claimType field; R6b permanent floodDamaged brand gated on TOTAL_LOSS with quorum-gated correction; DMT address-based flood-exposure INFO flag; pre-transfer flood-indicator inspection.</w:t>
            </w:r>
          </w:p>
        </w:tc>
      </w:tr>
      <w:tr>
        <w:tc>
          <w:tcPr>
            <w:tcW w:type="dxa" w:w="1584"/>
          </w:tcPr>
          <w:p>
            <w:pPr>
              <w:spacing w:after="40"/>
            </w:pPr>
            <w:r/>
            <w:r>
              <w:rPr>
                <w:rFonts w:ascii="Times New Roman" w:hAnsi="Times New Roman"/>
                <w:b w:val="0"/>
                <w:i w:val="0"/>
                <w:sz w:val="22"/>
              </w:rPr>
              <w:t>45</w:t>
            </w:r>
          </w:p>
        </w:tc>
        <w:tc>
          <w:tcPr>
            <w:tcW w:type="dxa" w:w="1584"/>
          </w:tcPr>
          <w:p>
            <w:pPr>
              <w:spacing w:after="40"/>
            </w:pPr>
            <w:r/>
            <w:r>
              <w:rPr>
                <w:rFonts w:ascii="Times New Roman" w:hAnsi="Times New Roman"/>
                <w:b w:val="0"/>
                <w:i w:val="0"/>
                <w:sz w:val="22"/>
              </w:rPr>
              <w:t>Total-loss buy-back and salvage rebuild</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The claim hash yields an Algorithm 5 INFO trail that some insured event occurred, but severity resides in the off-chain document reachable only by hash, so no rule distinguishes a windscreen claim from a write-off.</w:t>
            </w:r>
          </w:p>
        </w:tc>
        <w:tc>
          <w:tcPr>
            <w:tcW w:type="dxa" w:w="1584"/>
          </w:tcPr>
          <w:p>
            <w:pPr>
              <w:spacing w:after="40"/>
            </w:pPr>
            <w:r/>
            <w:r>
              <w:rPr>
                <w:rFonts w:ascii="Times New Roman" w:hAnsi="Times New Roman"/>
                <w:b w:val="0"/>
                <w:i w:val="0"/>
                <w:sz w:val="22"/>
              </w:rPr>
              <w:t>R6 write-off severity flag: mandatory settlementType and claimType enums on the insurer transaction, TOTAL_LOSS setting a permanent writtenOff brand blocking transfer pending rebuilt-inspection acknowledgment.</w:t>
            </w:r>
          </w:p>
        </w:tc>
      </w:tr>
      <w:tr>
        <w:tc>
          <w:tcPr>
            <w:tcW w:type="dxa" w:w="1584"/>
          </w:tcPr>
          <w:p>
            <w:pPr>
              <w:spacing w:after="40"/>
            </w:pPr>
            <w:r/>
          </w:p>
        </w:tc>
        <w:tc>
          <w:tcPr>
            <w:tcW w:type="dxa" w:w="1584"/>
          </w:tcPr>
          <w:p>
            <w:pPr>
              <w:spacing w:after="40"/>
            </w:pPr>
            <w:r/>
            <w:r>
              <w:rPr>
                <w:rFonts w:ascii="Times New Roman" w:hAnsi="Times New Roman"/>
                <w:b/>
                <w:i w:val="0"/>
                <w:sz w:val="22"/>
              </w:rPr>
              <w:t>Emission-test certificate fraud</w:t>
            </w:r>
          </w:p>
        </w:tc>
        <w:tc>
          <w:tcPr>
            <w:tcW w:type="dxa" w:w="1584"/>
          </w:tcPr>
          <w:p>
            <w:pPr>
              <w:spacing w:after="40"/>
            </w:pPr>
            <w:r/>
          </w:p>
        </w:tc>
        <w:tc>
          <w:tcPr>
            <w:tcW w:type="dxa" w:w="1584"/>
          </w:tcPr>
          <w:p>
            <w:pPr>
              <w:spacing w:after="40"/>
            </w:pPr>
            <w:r/>
          </w:p>
        </w:tc>
        <w:tc>
          <w:tcPr>
            <w:tcW w:type="dxa" w:w="1584"/>
          </w:tcPr>
          <w:p>
            <w:pPr>
              <w:spacing w:after="40"/>
            </w:pPr>
            <w:r/>
          </w:p>
        </w:tc>
      </w:tr>
      <w:tr>
        <w:tc>
          <w:tcPr>
            <w:tcW w:type="dxa" w:w="1584"/>
          </w:tcPr>
          <w:p>
            <w:pPr>
              <w:spacing w:after="40"/>
            </w:pPr>
            <w:r/>
            <w:r>
              <w:rPr>
                <w:rFonts w:ascii="Times New Roman" w:hAnsi="Times New Roman"/>
                <w:b w:val="0"/>
                <w:i w:val="0"/>
                <w:sz w:val="22"/>
              </w:rPr>
              <w:t>46</w:t>
            </w:r>
          </w:p>
        </w:tc>
        <w:tc>
          <w:tcPr>
            <w:tcW w:type="dxa" w:w="1584"/>
          </w:tcPr>
          <w:p>
            <w:pPr>
              <w:spacing w:after="40"/>
            </w:pPr>
            <w:r/>
            <w:r>
              <w:rPr>
                <w:rFonts w:ascii="Times New Roman" w:hAnsi="Times New Roman"/>
                <w:b w:val="0"/>
                <w:i w:val="0"/>
                <w:sz w:val="22"/>
              </w:rPr>
              <w:t>Bribed pass (VET certificate to failing vehicle)</w:t>
            </w:r>
          </w:p>
        </w:tc>
        <w:tc>
          <w:tcPr>
            <w:tcW w:type="dxa" w:w="1584"/>
          </w:tcPr>
          <w:p>
            <w:pPr>
              <w:spacing w:after="40"/>
            </w:pPr>
            <w:r/>
            <w:r>
              <w:rPr>
                <w:rFonts w:ascii="Times New Roman" w:hAnsi="Times New Roman"/>
                <w:b w:val="0"/>
                <w:i w:val="0"/>
                <w:sz w:val="22"/>
              </w:rPr>
              <w:t>Cannot</w:t>
            </w:r>
          </w:p>
        </w:tc>
        <w:tc>
          <w:tcPr>
            <w:tcW w:type="dxa" w:w="1584"/>
          </w:tcPr>
          <w:p>
            <w:pPr>
              <w:spacing w:after="40"/>
            </w:pPr>
            <w:r/>
            <w:r>
              <w:rPr>
                <w:rFonts w:ascii="Times New Roman" w:hAnsi="Times New Roman"/>
                <w:b w:val="0"/>
                <w:i w:val="0"/>
                <w:sz w:val="22"/>
              </w:rPr>
              <w:t>The emission centre is an authorised writer submitting only a signed result hash and a genuine odometer reading, so a corruptly issued pass is an authentic record with false content, on-chain indistinguishable from an honest pass.</w:t>
            </w:r>
          </w:p>
        </w:tc>
        <w:tc>
          <w:tcPr>
            <w:tcW w:type="dxa" w:w="1584"/>
          </w:tcPr>
          <w:p>
            <w:pPr>
              <w:spacing w:after="40"/>
            </w:pPr>
            <w:r/>
            <w:r>
              <w:rPr>
                <w:rFonts w:ascii="Times New Roman" w:hAnsi="Times New Roman"/>
                <w:b w:val="0"/>
                <w:i w:val="0"/>
                <w:sz w:val="22"/>
              </w:rPr>
              <w:t>Out of scope for chaincode; hardening by device-signed numeric analyser readings, a limit-comparison rule keyed on DMT-attested fuel, class and vintage, and Police roadside re-test cross-referencing.</w:t>
            </w:r>
          </w:p>
        </w:tc>
      </w:tr>
      <w:tr>
        <w:tc>
          <w:tcPr>
            <w:tcW w:type="dxa" w:w="1584"/>
          </w:tcPr>
          <w:p>
            <w:pPr>
              <w:spacing w:after="40"/>
            </w:pPr>
            <w:r/>
            <w:r>
              <w:rPr>
                <w:rFonts w:ascii="Times New Roman" w:hAnsi="Times New Roman"/>
                <w:b w:val="0"/>
                <w:i w:val="0"/>
                <w:sz w:val="22"/>
              </w:rPr>
              <w:t>47</w:t>
            </w:r>
          </w:p>
        </w:tc>
        <w:tc>
          <w:tcPr>
            <w:tcW w:type="dxa" w:w="1584"/>
          </w:tcPr>
          <w:p>
            <w:pPr>
              <w:spacing w:after="40"/>
            </w:pPr>
            <w:r/>
            <w:r>
              <w:rPr>
                <w:rFonts w:ascii="Times New Roman" w:hAnsi="Times New Roman"/>
                <w:b w:val="0"/>
                <w:i w:val="0"/>
                <w:sz w:val="22"/>
              </w:rPr>
              <w:t>Ghost test / clean piping</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Algorithm 4 supplies an incidental presence check: 4(c) raises a stagnation WARNING on a recycled reading, 4(a) a FRAUD ALERT below the last value, 4(b) on absurd jumps; a plausibly interpolated reading defeats all three.</w:t>
            </w:r>
          </w:p>
        </w:tc>
        <w:tc>
          <w:tcPr>
            <w:tcW w:type="dxa" w:w="1584"/>
          </w:tcPr>
          <w:p>
            <w:pPr>
              <w:spacing w:after="40"/>
            </w:pPr>
            <w:r/>
            <w:r>
              <w:rPr>
                <w:rFonts w:ascii="Times New Roman" w:hAnsi="Times New Roman"/>
                <w:b w:val="0"/>
                <w:i w:val="0"/>
                <w:sz w:val="22"/>
              </w:rPr>
              <w:t>Require a device-signed ANPR lane capture whose analyser session identifier chaincode equality-checks against the test submission, plus randomized cross-centre re-tests writing alerts against the issuing centre.</w:t>
            </w:r>
          </w:p>
        </w:tc>
      </w:tr>
      <w:tr>
        <w:tc>
          <w:tcPr>
            <w:tcW w:type="dxa" w:w="1584"/>
          </w:tcPr>
          <w:p>
            <w:pPr>
              <w:spacing w:after="40"/>
            </w:pPr>
            <w:r/>
            <w:r>
              <w:rPr>
                <w:rFonts w:ascii="Times New Roman" w:hAnsi="Times New Roman"/>
                <w:b w:val="0"/>
                <w:i w:val="0"/>
                <w:sz w:val="22"/>
              </w:rPr>
              <w:t>48</w:t>
            </w:r>
          </w:p>
        </w:tc>
        <w:tc>
          <w:tcPr>
            <w:tcW w:type="dxa" w:w="1584"/>
          </w:tcPr>
          <w:p>
            <w:pPr>
              <w:spacing w:after="40"/>
            </w:pPr>
            <w:r/>
            <w:r>
              <w:rPr>
                <w:rFonts w:ascii="Times New Roman" w:hAnsi="Times New Roman"/>
                <w:b w:val="0"/>
                <w:i w:val="0"/>
                <w:sz w:val="22"/>
              </w:rPr>
              <w:t>Counterfeit paper VET certificate</w:t>
            </w:r>
          </w:p>
        </w:tc>
        <w:tc>
          <w:tcPr>
            <w:tcW w:type="dxa" w:w="1584"/>
          </w:tcPr>
          <w:p>
            <w:pPr>
              <w:spacing w:after="40"/>
            </w:pPr>
            <w:r/>
            <w:r>
              <w:rPr>
                <w:rFonts w:ascii="Times New Roman" w:hAnsi="Times New Roman"/>
                <w:b w:val="0"/>
                <w:i w:val="0"/>
                <w:sz w:val="22"/>
              </w:rPr>
              <w:t>Partial</w:t>
            </w:r>
          </w:p>
        </w:tc>
        <w:tc>
          <w:tcPr>
            <w:tcW w:type="dxa" w:w="1584"/>
          </w:tcPr>
          <w:p>
            <w:pPr>
              <w:spacing w:after="40"/>
            </w:pPr>
            <w:r/>
            <w:r>
              <w:rPr>
                <w:rFonts w:ascii="Times New Roman" w:hAnsi="Times New Roman"/>
                <w:b w:val="0"/>
                <w:i w:val="0"/>
                <w:sz w:val="22"/>
              </w:rPr>
              <w:t>Absence of a matching operator-MSP-signed certificate hash in the vehicle's history is deterministically detectable and unforgeable, but the licence-issuance lookup is unimplemented and the issuing authority is not a consortium participant, so no check executes.</w:t>
            </w:r>
          </w:p>
        </w:tc>
        <w:tc>
          <w:tcPr>
            <w:tcW w:type="dxa" w:w="1584"/>
          </w:tcPr>
          <w:p>
            <w:pPr>
              <w:spacing w:after="40"/>
            </w:pPr>
            <w:r/>
            <w:r>
              <w:rPr>
                <w:rFonts w:ascii="Times New Roman" w:hAnsi="Times New Roman"/>
                <w:b w:val="0"/>
                <w:i w:val="0"/>
                <w:sz w:val="22"/>
              </w:rPr>
              <w:t>Admit the eRL system and divisional secretariats as query-only consortium consumers, make on-chain hash presence a licence-issuance precondition, and print the transaction identifier for portal-anchored verification.</w:t>
            </w:r>
          </w:p>
        </w:tc>
      </w:tr>
    </w:tbl>
    <w:p/>
    <w:p>
      <w:r>
        <w:br w:type="page"/>
      </w:r>
    </w:p>
    <w:p>
      <w:pPr>
        <w:pStyle w:val="Heading2"/>
      </w:pPr>
      <w:r>
        <w:t>Appendix D — Candidate Rule Additions (R1–R9)</w:t>
      </w:r>
    </w:p>
    <w:p>
      <w:pPr>
        <w:jc w:val="both"/>
      </w:pPr>
      <w:r>
        <w:rPr>
          <w:rFonts w:ascii="Times New Roman" w:hAnsi="Times New Roman"/>
          <w:b w:val="0"/>
          <w:i w:val="0"/>
          <w:sz w:val="24"/>
        </w:rPr>
        <w:t xml:space="preserve">The capability audit produced nine candidate rule additions, each reusing an existing chaincode pattern rather than introducing new architecture. Their status under the framing proposed in §8.1 is given in the final column: </w:t>
      </w:r>
      <w:r>
        <w:rPr>
          <w:rFonts w:ascii="Times New Roman" w:hAnsi="Times New Roman"/>
          <w:b w:val="0"/>
          <w:i/>
          <w:sz w:val="24"/>
        </w:rPr>
        <w:t>implement</w:t>
      </w:r>
      <w:r>
        <w:rPr>
          <w:rFonts w:ascii="Times New Roman" w:hAnsi="Times New Roman"/>
          <w:b w:val="0"/>
          <w:i w:val="0"/>
          <w:sz w:val="24"/>
        </w:rPr>
        <w:t xml:space="preserve"> denotes inclusion in the prototype, and </w:t>
      </w:r>
      <w:r>
        <w:rPr>
          <w:rFonts w:ascii="Times New Roman" w:hAnsi="Times New Roman"/>
          <w:b w:val="0"/>
          <w:i/>
          <w:sz w:val="24"/>
        </w:rPr>
        <w:t>specify</w:t>
      </w:r>
      <w:r>
        <w:rPr>
          <w:rFonts w:ascii="Times New Roman" w:hAnsi="Times New Roman"/>
          <w:b w:val="0"/>
          <w:i w:val="0"/>
          <w:sz w:val="24"/>
        </w:rPr>
        <w:t xml:space="preserve"> denotes a designed but unbuilt contribution, reported analytically.</w:t>
      </w:r>
    </w:p>
    <w:tbl>
      <w:tblPr>
        <w:tblStyle w:val="TableGrid"/>
        <w:tblW w:type="auto" w:w="0"/>
        <w:jc w:val="center"/>
        <w:tblLook w:firstColumn="1" w:firstRow="1" w:lastColumn="0" w:lastRow="0" w:noHBand="0" w:noVBand="1" w:val="04A0"/>
      </w:tblPr>
      <w:tblGrid>
        <w:gridCol w:w="1584"/>
        <w:gridCol w:w="1584"/>
        <w:gridCol w:w="1584"/>
        <w:gridCol w:w="1584"/>
        <w:gridCol w:w="1584"/>
      </w:tblGrid>
      <w:tr>
        <w:tc>
          <w:tcPr>
            <w:tcW w:type="dxa" w:w="1584"/>
            <w:shd w:val="clear" w:fill="D9E2F3"/>
          </w:tcPr>
          <w:p>
            <w:pPr>
              <w:spacing w:after="40"/>
            </w:pPr>
            <w:r/>
            <w:r>
              <w:rPr>
                <w:rFonts w:ascii="Times New Roman" w:hAnsi="Times New Roman"/>
                <w:b/>
                <w:i w:val="0"/>
                <w:sz w:val="22"/>
              </w:rPr>
              <w:t>#</w:t>
            </w:r>
          </w:p>
        </w:tc>
        <w:tc>
          <w:tcPr>
            <w:tcW w:type="dxa" w:w="1584"/>
            <w:shd w:val="clear" w:fill="D9E2F3"/>
          </w:tcPr>
          <w:p>
            <w:pPr>
              <w:spacing w:after="40"/>
            </w:pPr>
            <w:r/>
            <w:r>
              <w:rPr>
                <w:rFonts w:ascii="Times New Roman" w:hAnsi="Times New Roman"/>
                <w:b/>
                <w:i w:val="0"/>
                <w:sz w:val="22"/>
              </w:rPr>
              <w:t>Rule</w:t>
            </w:r>
          </w:p>
        </w:tc>
        <w:tc>
          <w:tcPr>
            <w:tcW w:type="dxa" w:w="1584"/>
            <w:shd w:val="clear" w:fill="D9E2F3"/>
          </w:tcPr>
          <w:p>
            <w:pPr>
              <w:spacing w:after="40"/>
            </w:pPr>
            <w:r/>
            <w:r>
              <w:rPr>
                <w:rFonts w:ascii="Times New Roman" w:hAnsi="Times New Roman"/>
                <w:b/>
                <w:i w:val="0"/>
                <w:sz w:val="22"/>
              </w:rPr>
              <w:t>Mechanism</w:t>
            </w:r>
          </w:p>
        </w:tc>
        <w:tc>
          <w:tcPr>
            <w:tcW w:type="dxa" w:w="1584"/>
            <w:shd w:val="clear" w:fill="D9E2F3"/>
          </w:tcPr>
          <w:p>
            <w:pPr>
              <w:spacing w:after="40"/>
            </w:pPr>
            <w:r/>
            <w:r>
              <w:rPr>
                <w:rFonts w:ascii="Times New Roman" w:hAnsi="Times New Roman"/>
                <w:b/>
                <w:i w:val="0"/>
                <w:sz w:val="22"/>
              </w:rPr>
              <w:t>Fraud addressed</w:t>
            </w:r>
          </w:p>
        </w:tc>
        <w:tc>
          <w:tcPr>
            <w:tcW w:type="dxa" w:w="1584"/>
            <w:shd w:val="clear" w:fill="D9E2F3"/>
          </w:tcPr>
          <w:p>
            <w:pPr>
              <w:spacing w:after="40"/>
            </w:pPr>
            <w:r/>
            <w:r>
              <w:rPr>
                <w:rFonts w:ascii="Times New Roman" w:hAnsi="Times New Roman"/>
                <w:b/>
                <w:i w:val="0"/>
                <w:sz w:val="22"/>
              </w:rPr>
              <w:t>Status</w:t>
            </w:r>
          </w:p>
        </w:tc>
      </w:tr>
      <w:tr>
        <w:tc>
          <w:tcPr>
            <w:tcW w:type="dxa" w:w="1584"/>
          </w:tcPr>
          <w:p>
            <w:pPr>
              <w:spacing w:after="40"/>
            </w:pPr>
            <w:r/>
            <w:r>
              <w:rPr>
                <w:rFonts w:ascii="Times New Roman" w:hAnsi="Times New Roman"/>
                <w:b w:val="0"/>
                <w:i w:val="0"/>
                <w:sz w:val="22"/>
              </w:rPr>
              <w:t>R1</w:t>
            </w:r>
          </w:p>
        </w:tc>
        <w:tc>
          <w:tcPr>
            <w:tcW w:type="dxa" w:w="1584"/>
          </w:tcPr>
          <w:p>
            <w:pPr>
              <w:spacing w:after="40"/>
            </w:pPr>
            <w:r/>
            <w:r>
              <w:rPr>
                <w:rFonts w:ascii="Times New Roman" w:hAnsi="Times New Roman"/>
                <w:b w:val="0"/>
                <w:i w:val="0"/>
                <w:sz w:val="22"/>
              </w:rPr>
              <w:t>Prerequisite-record registration</w:t>
            </w:r>
          </w:p>
        </w:tc>
        <w:tc>
          <w:tcPr>
            <w:tcW w:type="dxa" w:w="1584"/>
          </w:tcPr>
          <w:p>
            <w:pPr>
              <w:spacing w:after="40"/>
            </w:pPr>
            <w:r/>
            <w:r>
              <w:rPr>
                <w:rFonts w:ascii="Times New Roman" w:hAnsi="Times New Roman"/>
                <w:b w:val="0"/>
                <w:i w:val="0"/>
                <w:sz w:val="22"/>
              </w:rPr>
              <w:t>First registration is rejected unless the deterministic chassis index matches either a Customs-submitted import record or a build attestation from a registered local assembler; the two-path form is required because locally assembled vehicles clear Customs as parts, never per chassis</w:t>
            </w:r>
          </w:p>
        </w:tc>
        <w:tc>
          <w:tcPr>
            <w:tcW w:type="dxa" w:w="1584"/>
          </w:tcPr>
          <w:p>
            <w:pPr>
              <w:spacing w:after="40"/>
            </w:pPr>
            <w:r/>
            <w:r>
              <w:rPr>
                <w:rFonts w:ascii="Times New Roman" w:hAnsi="Times New Roman"/>
                <w:b w:val="0"/>
                <w:i w:val="0"/>
                <w:sz w:val="22"/>
              </w:rPr>
              <w:t>Insider registration of un-Customs-cleared vehicles (CIABOC); re-VINning; smuggled-vehicle re-papering</w:t>
            </w:r>
          </w:p>
        </w:tc>
        <w:tc>
          <w:tcPr>
            <w:tcW w:type="dxa" w:w="1584"/>
          </w:tcPr>
          <w:p>
            <w:pPr>
              <w:spacing w:after="40"/>
            </w:pPr>
            <w:r/>
            <w:r>
              <w:rPr>
                <w:rFonts w:ascii="Times New Roman" w:hAnsi="Times New Roman"/>
                <w:b w:val="0"/>
                <w:i w:val="0"/>
                <w:sz w:val="22"/>
              </w:rPr>
              <w:t>Implement</w:t>
            </w:r>
          </w:p>
        </w:tc>
      </w:tr>
      <w:tr>
        <w:tc>
          <w:tcPr>
            <w:tcW w:type="dxa" w:w="1584"/>
          </w:tcPr>
          <w:p>
            <w:pPr>
              <w:spacing w:after="40"/>
            </w:pPr>
            <w:r/>
            <w:r>
              <w:rPr>
                <w:rFonts w:ascii="Times New Roman" w:hAnsi="Times New Roman"/>
                <w:b w:val="0"/>
                <w:i w:val="0"/>
                <w:sz w:val="22"/>
              </w:rPr>
              <w:t>R2</w:t>
            </w:r>
          </w:p>
        </w:tc>
        <w:tc>
          <w:tcPr>
            <w:tcW w:type="dxa" w:w="1584"/>
          </w:tcPr>
          <w:p>
            <w:pPr>
              <w:spacing w:after="40"/>
            </w:pPr>
            <w:r/>
            <w:r>
              <w:rPr>
                <w:rFonts w:ascii="Times New Roman" w:hAnsi="Times New Roman"/>
                <w:b w:val="0"/>
                <w:i w:val="0"/>
                <w:sz w:val="22"/>
              </w:rPr>
              <w:t>Engine re-attestation at physical touchpoints</w:t>
            </w:r>
          </w:p>
        </w:tc>
        <w:tc>
          <w:tcPr>
            <w:tcW w:type="dxa" w:w="1584"/>
          </w:tcPr>
          <w:p>
            <w:pPr>
              <w:spacing w:after="40"/>
            </w:pPr>
            <w:r/>
            <w:r>
              <w:rPr>
                <w:rFonts w:ascii="Times New Roman" w:hAnsi="Times New Roman"/>
                <w:b w:val="0"/>
                <w:i w:val="0"/>
                <w:sz w:val="22"/>
              </w:rPr>
              <w:t>The emission centre submits the engine number physically observed; chaincode compares the make-scoped engine index against the registered value and routes a mismatch to a review queue rather than raising an immediate alert</w:t>
            </w:r>
          </w:p>
        </w:tc>
        <w:tc>
          <w:tcPr>
            <w:tcW w:type="dxa" w:w="1584"/>
          </w:tcPr>
          <w:p>
            <w:pPr>
              <w:spacing w:after="40"/>
            </w:pPr>
            <w:r/>
            <w:r>
              <w:rPr>
                <w:rFonts w:ascii="Times New Roman" w:hAnsi="Times New Roman"/>
                <w:b w:val="0"/>
                <w:i w:val="0"/>
                <w:sz w:val="22"/>
              </w:rPr>
              <w:t>Undeclared engine swap, for vehicles that are liable to emission testing</w:t>
            </w:r>
          </w:p>
        </w:tc>
        <w:tc>
          <w:tcPr>
            <w:tcW w:type="dxa" w:w="1584"/>
          </w:tcPr>
          <w:p>
            <w:pPr>
              <w:spacing w:after="40"/>
            </w:pPr>
            <w:r/>
            <w:r>
              <w:rPr>
                <w:rFonts w:ascii="Times New Roman" w:hAnsi="Times New Roman"/>
                <w:b w:val="0"/>
                <w:i w:val="0"/>
                <w:sz w:val="22"/>
              </w:rPr>
              <w:t>Specify (implement if schedule permits)</w:t>
            </w:r>
          </w:p>
        </w:tc>
      </w:tr>
      <w:tr>
        <w:tc>
          <w:tcPr>
            <w:tcW w:type="dxa" w:w="1584"/>
          </w:tcPr>
          <w:p>
            <w:pPr>
              <w:spacing w:after="40"/>
            </w:pPr>
            <w:r/>
            <w:r>
              <w:rPr>
                <w:rFonts w:ascii="Times New Roman" w:hAnsi="Times New Roman"/>
                <w:b w:val="0"/>
                <w:i w:val="0"/>
                <w:sz w:val="22"/>
              </w:rPr>
              <w:t>R3</w:t>
            </w:r>
          </w:p>
        </w:tc>
        <w:tc>
          <w:tcPr>
            <w:tcW w:type="dxa" w:w="1584"/>
          </w:tcPr>
          <w:p>
            <w:pPr>
              <w:spacing w:after="40"/>
            </w:pPr>
            <w:r/>
            <w:r>
              <w:rPr>
                <w:rFonts w:ascii="Times New Roman" w:hAnsi="Times New Roman"/>
                <w:b w:val="0"/>
                <w:i w:val="0"/>
                <w:sz w:val="22"/>
              </w:rPr>
              <w:t>Engine amendment with tiered provenance</w:t>
            </w:r>
          </w:p>
        </w:tc>
        <w:tc>
          <w:tcPr>
            <w:tcW w:type="dxa" w:w="1584"/>
          </w:tcPr>
          <w:p>
            <w:pPr>
              <w:spacing w:after="40"/>
            </w:pPr>
            <w:r/>
            <w:r>
              <w:rPr>
                <w:rFonts w:ascii="Times New Roman" w:hAnsi="Times New Roman"/>
                <w:b w:val="0"/>
                <w:i w:val="0"/>
                <w:sz w:val="22"/>
              </w:rPr>
              <w:t>An engine change becomes an on-chain transaction admitted only against a Customs-verified import record or a donor-linked release from a retired vehicle; bulk reconditioned engines are admitted but permanently labelled as declared-only</w:t>
            </w:r>
          </w:p>
        </w:tc>
        <w:tc>
          <w:tcPr>
            <w:tcW w:type="dxa" w:w="1584"/>
          </w:tcPr>
          <w:p>
            <w:pPr>
              <w:spacing w:after="40"/>
            </w:pPr>
            <w:r/>
            <w:r>
              <w:rPr>
                <w:rFonts w:ascii="Times New Roman" w:hAnsi="Times New Roman"/>
                <w:b w:val="0"/>
                <w:i w:val="0"/>
                <w:sz w:val="22"/>
              </w:rPr>
              <w:t>Declared engine swap re-papered with a smuggled or stolen engine</w:t>
            </w:r>
          </w:p>
        </w:tc>
        <w:tc>
          <w:tcPr>
            <w:tcW w:type="dxa" w:w="1584"/>
          </w:tcPr>
          <w:p>
            <w:pPr>
              <w:spacing w:after="40"/>
            </w:pPr>
            <w:r/>
            <w:r>
              <w:rPr>
                <w:rFonts w:ascii="Times New Roman" w:hAnsi="Times New Roman"/>
                <w:b w:val="0"/>
                <w:i w:val="0"/>
                <w:sz w:val="22"/>
              </w:rPr>
              <w:t>Specify</w:t>
            </w:r>
          </w:p>
        </w:tc>
      </w:tr>
      <w:tr>
        <w:tc>
          <w:tcPr>
            <w:tcW w:type="dxa" w:w="1584"/>
          </w:tcPr>
          <w:p>
            <w:pPr>
              <w:spacing w:after="40"/>
            </w:pPr>
            <w:r/>
            <w:r>
              <w:rPr>
                <w:rFonts w:ascii="Times New Roman" w:hAnsi="Times New Roman"/>
                <w:b w:val="0"/>
                <w:i w:val="0"/>
                <w:sz w:val="22"/>
              </w:rPr>
              <w:t>R4</w:t>
            </w:r>
          </w:p>
        </w:tc>
        <w:tc>
          <w:tcPr>
            <w:tcW w:type="dxa" w:w="1584"/>
          </w:tcPr>
          <w:p>
            <w:pPr>
              <w:spacing w:after="40"/>
            </w:pPr>
            <w:r/>
            <w:r>
              <w:rPr>
                <w:rFonts w:ascii="Times New Roman" w:hAnsi="Times New Roman"/>
                <w:b w:val="0"/>
                <w:i w:val="0"/>
                <w:sz w:val="22"/>
              </w:rPr>
              <w:t>Duplicate-identity rejection</w:t>
            </w:r>
          </w:p>
        </w:tc>
        <w:tc>
          <w:tcPr>
            <w:tcW w:type="dxa" w:w="1584"/>
          </w:tcPr>
          <w:p>
            <w:pPr>
              <w:spacing w:after="40"/>
            </w:pPr>
            <w:r/>
            <w:r>
              <w:rPr>
                <w:rFonts w:ascii="Times New Roman" w:hAnsi="Times New Roman"/>
                <w:b w:val="0"/>
                <w:i w:val="0"/>
                <w:sz w:val="22"/>
              </w:rPr>
              <w:t>Registration or amendment is rejected where the deterministic chassis or engine index already exists on a non-retired vehicle; an index belonging to a retired vehicle raises a resurrection alert</w:t>
            </w:r>
          </w:p>
        </w:tc>
        <w:tc>
          <w:tcPr>
            <w:tcW w:type="dxa" w:w="1584"/>
          </w:tcPr>
          <w:p>
            <w:pPr>
              <w:spacing w:after="40"/>
            </w:pPr>
            <w:r/>
            <w:r>
              <w:rPr>
                <w:rFonts w:ascii="Times New Roman" w:hAnsi="Times New Roman"/>
                <w:b w:val="0"/>
                <w:i w:val="0"/>
                <w:sz w:val="22"/>
              </w:rPr>
              <w:t>COPA-style identity insertion; naive cloning and double registration</w:t>
            </w:r>
          </w:p>
        </w:tc>
        <w:tc>
          <w:tcPr>
            <w:tcW w:type="dxa" w:w="1584"/>
          </w:tcPr>
          <w:p>
            <w:pPr>
              <w:spacing w:after="40"/>
            </w:pPr>
            <w:r/>
            <w:r>
              <w:rPr>
                <w:rFonts w:ascii="Times New Roman" w:hAnsi="Times New Roman"/>
                <w:b w:val="0"/>
                <w:i w:val="0"/>
                <w:sz w:val="22"/>
              </w:rPr>
              <w:t>Implement</w:t>
            </w:r>
          </w:p>
        </w:tc>
      </w:tr>
      <w:tr>
        <w:tc>
          <w:tcPr>
            <w:tcW w:type="dxa" w:w="1584"/>
          </w:tcPr>
          <w:p>
            <w:pPr>
              <w:spacing w:after="40"/>
            </w:pPr>
            <w:r/>
            <w:r>
              <w:rPr>
                <w:rFonts w:ascii="Times New Roman" w:hAnsi="Times New Roman"/>
                <w:b w:val="0"/>
                <w:i w:val="0"/>
                <w:sz w:val="22"/>
              </w:rPr>
              <w:t>R5</w:t>
            </w:r>
          </w:p>
        </w:tc>
        <w:tc>
          <w:tcPr>
            <w:tcW w:type="dxa" w:w="1584"/>
          </w:tcPr>
          <w:p>
            <w:pPr>
              <w:spacing w:after="40"/>
            </w:pPr>
            <w:r/>
            <w:r>
              <w:rPr>
                <w:rFonts w:ascii="Times New Roman" w:hAnsi="Times New Roman"/>
                <w:b w:val="0"/>
                <w:i w:val="0"/>
                <w:sz w:val="22"/>
              </w:rPr>
              <w:t>Retired-identity terminal state</w:t>
            </w:r>
          </w:p>
        </w:tc>
        <w:tc>
          <w:tcPr>
            <w:tcW w:type="dxa" w:w="1584"/>
          </w:tcPr>
          <w:p>
            <w:pPr>
              <w:spacing w:after="40"/>
            </w:pPr>
            <w:r/>
            <w:r>
              <w:rPr>
                <w:rFonts w:ascii="Times New Roman" w:hAnsi="Times New Roman"/>
                <w:b w:val="0"/>
                <w:i w:val="0"/>
                <w:sz w:val="22"/>
              </w:rPr>
              <w:t>Scrapping or export writes a terminal status; any subsequent event on that identity raises an automatic alert. The export path is evidenced by Customs; the scrapping path currently has no reporting oracle in Sri Lanka</w:t>
            </w:r>
          </w:p>
        </w:tc>
        <w:tc>
          <w:tcPr>
            <w:tcW w:type="dxa" w:w="1584"/>
          </w:tcPr>
          <w:p>
            <w:pPr>
              <w:spacing w:after="40"/>
            </w:pPr>
            <w:r/>
            <w:r>
              <w:rPr>
                <w:rFonts w:ascii="Times New Roman" w:hAnsi="Times New Roman"/>
                <w:b w:val="0"/>
                <w:i w:val="0"/>
                <w:sz w:val="22"/>
              </w:rPr>
              <w:t>Ringing using exported or scrapped donor identities</w:t>
            </w:r>
          </w:p>
        </w:tc>
        <w:tc>
          <w:tcPr>
            <w:tcW w:type="dxa" w:w="1584"/>
          </w:tcPr>
          <w:p>
            <w:pPr>
              <w:spacing w:after="40"/>
            </w:pPr>
            <w:r/>
            <w:r>
              <w:rPr>
                <w:rFonts w:ascii="Times New Roman" w:hAnsi="Times New Roman"/>
                <w:b w:val="0"/>
                <w:i w:val="0"/>
                <w:sz w:val="22"/>
              </w:rPr>
              <w:t>Specify</w:t>
            </w:r>
          </w:p>
        </w:tc>
      </w:tr>
      <w:tr>
        <w:tc>
          <w:tcPr>
            <w:tcW w:type="dxa" w:w="1584"/>
          </w:tcPr>
          <w:p>
            <w:pPr>
              <w:spacing w:after="40"/>
            </w:pPr>
            <w:r/>
            <w:r>
              <w:rPr>
                <w:rFonts w:ascii="Times New Roman" w:hAnsi="Times New Roman"/>
                <w:b w:val="0"/>
                <w:i w:val="0"/>
                <w:sz w:val="22"/>
              </w:rPr>
              <w:t>R6</w:t>
            </w:r>
          </w:p>
        </w:tc>
        <w:tc>
          <w:tcPr>
            <w:tcW w:type="dxa" w:w="1584"/>
          </w:tcPr>
          <w:p>
            <w:pPr>
              <w:spacing w:after="40"/>
            </w:pPr>
            <w:r/>
            <w:r>
              <w:rPr>
                <w:rFonts w:ascii="Times New Roman" w:hAnsi="Times New Roman"/>
                <w:b w:val="0"/>
                <w:i w:val="0"/>
                <w:sz w:val="22"/>
              </w:rPr>
              <w:t>Write-off transfer gate</w:t>
            </w:r>
          </w:p>
        </w:tc>
        <w:tc>
          <w:tcPr>
            <w:tcW w:type="dxa" w:w="1584"/>
          </w:tcPr>
          <w:p>
            <w:pPr>
              <w:spacing w:after="40"/>
            </w:pPr>
            <w:r/>
            <w:r>
              <w:rPr>
                <w:rFonts w:ascii="Times New Roman" w:hAnsi="Times New Roman"/>
                <w:b w:val="0"/>
                <w:i w:val="0"/>
                <w:sz w:val="22"/>
              </w:rPr>
              <w:t>A police or insurer write-off flag blocks ownership transfer until a physical re-inspection record exists, and marks the vehicle permanently as salvage-rebuilt</w:t>
            </w:r>
          </w:p>
        </w:tc>
        <w:tc>
          <w:tcPr>
            <w:tcW w:type="dxa" w:w="1584"/>
          </w:tcPr>
          <w:p>
            <w:pPr>
              <w:spacing w:after="40"/>
            </w:pPr>
            <w:r/>
            <w:r>
              <w:rPr>
                <w:rFonts w:ascii="Times New Roman" w:hAnsi="Times New Roman"/>
                <w:b w:val="0"/>
                <w:i w:val="0"/>
                <w:sz w:val="22"/>
              </w:rPr>
              <w:t>Cut-and-shut; total-loss and flood-damage laundering, for the insured and claim-filed subset</w:t>
            </w:r>
          </w:p>
        </w:tc>
        <w:tc>
          <w:tcPr>
            <w:tcW w:type="dxa" w:w="1584"/>
          </w:tcPr>
          <w:p>
            <w:pPr>
              <w:spacing w:after="40"/>
            </w:pPr>
            <w:r/>
            <w:r>
              <w:rPr>
                <w:rFonts w:ascii="Times New Roman" w:hAnsi="Times New Roman"/>
                <w:b w:val="0"/>
                <w:i w:val="0"/>
                <w:sz w:val="22"/>
              </w:rPr>
              <w:t>Implement</w:t>
            </w:r>
          </w:p>
        </w:tc>
      </w:tr>
      <w:tr>
        <w:tc>
          <w:tcPr>
            <w:tcW w:type="dxa" w:w="1584"/>
          </w:tcPr>
          <w:p>
            <w:pPr>
              <w:spacing w:after="40"/>
            </w:pPr>
            <w:r/>
            <w:r>
              <w:rPr>
                <w:rFonts w:ascii="Times New Roman" w:hAnsi="Times New Roman"/>
                <w:b w:val="0"/>
                <w:i w:val="0"/>
                <w:sz w:val="22"/>
              </w:rPr>
              <w:t>R7</w:t>
            </w:r>
          </w:p>
        </w:tc>
        <w:tc>
          <w:tcPr>
            <w:tcW w:type="dxa" w:w="1584"/>
          </w:tcPr>
          <w:p>
            <w:pPr>
              <w:spacing w:after="40"/>
            </w:pPr>
            <w:r/>
            <w:r>
              <w:rPr>
                <w:rFonts w:ascii="Times New Roman" w:hAnsi="Times New Roman"/>
                <w:b w:val="0"/>
                <w:i w:val="0"/>
                <w:sz w:val="22"/>
              </w:rPr>
              <w:t>Pre-purchase disclosure</w:t>
            </w:r>
          </w:p>
        </w:tc>
        <w:tc>
          <w:tcPr>
            <w:tcW w:type="dxa" w:w="1584"/>
          </w:tcPr>
          <w:p>
            <w:pPr>
              <w:spacing w:after="40"/>
            </w:pPr>
            <w:r/>
            <w:r>
              <w:rPr>
                <w:rFonts w:ascii="Times New Roman" w:hAnsi="Times New Roman"/>
                <w:b w:val="0"/>
                <w:i w:val="0"/>
                <w:sz w:val="22"/>
              </w:rPr>
              <w:t>The consortium query portal returns the latest odometer reading, open alerts, evidence tiers and the checks-not-performed list before payment; the transfer chaincode repeats the disclosure at lodgement as a recorded backstop</w:t>
            </w:r>
          </w:p>
        </w:tc>
        <w:tc>
          <w:tcPr>
            <w:tcW w:type="dxa" w:w="1584"/>
          </w:tcPr>
          <w:p>
            <w:pPr>
              <w:spacing w:after="40"/>
            </w:pPr>
            <w:r/>
            <w:r>
              <w:rPr>
                <w:rFonts w:ascii="Times New Roman" w:hAnsi="Times New Roman"/>
                <w:b w:val="0"/>
                <w:i w:val="0"/>
                <w:sz w:val="22"/>
              </w:rPr>
              <w:t>Converts after-the-fact odometer and history detection into pre-purchase disclosure, which is the only point at which a Sri Lankan private sale can still be prevented</w:t>
            </w:r>
          </w:p>
        </w:tc>
        <w:tc>
          <w:tcPr>
            <w:tcW w:type="dxa" w:w="1584"/>
          </w:tcPr>
          <w:p>
            <w:pPr>
              <w:spacing w:after="40"/>
            </w:pPr>
            <w:r/>
            <w:r>
              <w:rPr>
                <w:rFonts w:ascii="Times New Roman" w:hAnsi="Times New Roman"/>
                <w:b w:val="0"/>
                <w:i w:val="0"/>
                <w:sz w:val="22"/>
              </w:rPr>
              <w:t>Implement</w:t>
            </w:r>
          </w:p>
        </w:tc>
      </w:tr>
      <w:tr>
        <w:tc>
          <w:tcPr>
            <w:tcW w:type="dxa" w:w="1584"/>
          </w:tcPr>
          <w:p>
            <w:pPr>
              <w:spacing w:after="40"/>
            </w:pPr>
            <w:r/>
            <w:r>
              <w:rPr>
                <w:rFonts w:ascii="Times New Roman" w:hAnsi="Times New Roman"/>
                <w:b w:val="0"/>
                <w:i w:val="0"/>
                <w:sz w:val="22"/>
              </w:rPr>
              <w:t>R8</w:t>
            </w:r>
          </w:p>
        </w:tc>
        <w:tc>
          <w:tcPr>
            <w:tcW w:type="dxa" w:w="1584"/>
          </w:tcPr>
          <w:p>
            <w:pPr>
              <w:spacing w:after="40"/>
            </w:pPr>
            <w:r/>
            <w:r>
              <w:rPr>
                <w:rFonts w:ascii="Times New Roman" w:hAnsi="Times New Roman"/>
                <w:b w:val="0"/>
                <w:i w:val="0"/>
                <w:sz w:val="22"/>
              </w:rPr>
              <w:t>Encumbrance flag</w:t>
            </w:r>
          </w:p>
        </w:tc>
        <w:tc>
          <w:tcPr>
            <w:tcW w:type="dxa" w:w="1584"/>
          </w:tcPr>
          <w:p>
            <w:pPr>
              <w:spacing w:after="40"/>
            </w:pPr>
            <w:r/>
            <w:r>
              <w:rPr>
                <w:rFonts w:ascii="Times New Roman" w:hAnsi="Times New Roman"/>
                <w:b w:val="0"/>
                <w:i w:val="0"/>
                <w:sz w:val="22"/>
              </w:rPr>
              <w:t>A financier-signed settlement release, recorded on-chain, is required before the transfer of a vehicle carrying an absolute-owner endorsement</w:t>
            </w:r>
          </w:p>
        </w:tc>
        <w:tc>
          <w:tcPr>
            <w:tcW w:type="dxa" w:w="1584"/>
          </w:tcPr>
          <w:p>
            <w:pPr>
              <w:spacing w:after="40"/>
            </w:pPr>
            <w:r/>
            <w:r>
              <w:rPr>
                <w:rFonts w:ascii="Times New Roman" w:hAnsi="Times New Roman"/>
                <w:b w:val="0"/>
                <w:i w:val="0"/>
                <w:sz w:val="22"/>
              </w:rPr>
              <w:t>Sale of a leased or hire-purchase vehicle without settlement</w:t>
            </w:r>
          </w:p>
        </w:tc>
        <w:tc>
          <w:tcPr>
            <w:tcW w:type="dxa" w:w="1584"/>
          </w:tcPr>
          <w:p>
            <w:pPr>
              <w:spacing w:after="40"/>
            </w:pPr>
            <w:r/>
            <w:r>
              <w:rPr>
                <w:rFonts w:ascii="Times New Roman" w:hAnsi="Times New Roman"/>
                <w:b w:val="0"/>
                <w:i w:val="0"/>
                <w:sz w:val="22"/>
              </w:rPr>
              <w:t>Specify (requires financiers as consortium members)</w:t>
            </w:r>
          </w:p>
        </w:tc>
      </w:tr>
      <w:tr>
        <w:tc>
          <w:tcPr>
            <w:tcW w:type="dxa" w:w="1584"/>
          </w:tcPr>
          <w:p>
            <w:pPr>
              <w:spacing w:after="40"/>
            </w:pPr>
            <w:r/>
            <w:r>
              <w:rPr>
                <w:rFonts w:ascii="Times New Roman" w:hAnsi="Times New Roman"/>
                <w:b w:val="0"/>
                <w:i w:val="0"/>
                <w:sz w:val="22"/>
              </w:rPr>
              <w:t>R9</w:t>
            </w:r>
          </w:p>
        </w:tc>
        <w:tc>
          <w:tcPr>
            <w:tcW w:type="dxa" w:w="1584"/>
          </w:tcPr>
          <w:p>
            <w:pPr>
              <w:spacing w:after="40"/>
            </w:pPr>
            <w:r/>
            <w:r>
              <w:rPr>
                <w:rFonts w:ascii="Times New Roman" w:hAnsi="Times New Roman"/>
                <w:b w:val="0"/>
                <w:i w:val="0"/>
                <w:sz w:val="22"/>
              </w:rPr>
              <w:t>Clearance-to-transfer alert</w:t>
            </w:r>
          </w:p>
        </w:tc>
        <w:tc>
          <w:tcPr>
            <w:tcW w:type="dxa" w:w="1584"/>
          </w:tcPr>
          <w:p>
            <w:pPr>
              <w:spacing w:after="40"/>
            </w:pPr>
            <w:r/>
            <w:r>
              <w:rPr>
                <w:rFonts w:ascii="Times New Roman" w:hAnsi="Times New Roman"/>
                <w:b w:val="0"/>
                <w:i w:val="0"/>
                <w:sz w:val="22"/>
              </w:rPr>
              <w:t>A transfer committed shortly after a theft-flag clearance on the same vehicle, measured by block commit order rather than the client-set transaction timestamp, raises a review alert with the clearance event attached</w:t>
            </w:r>
          </w:p>
        </w:tc>
        <w:tc>
          <w:tcPr>
            <w:tcW w:type="dxa" w:w="1584"/>
          </w:tcPr>
          <w:p>
            <w:pPr>
              <w:spacing w:after="40"/>
            </w:pPr>
            <w:r/>
            <w:r>
              <w:rPr>
                <w:rFonts w:ascii="Times New Roman" w:hAnsi="Times New Roman"/>
                <w:b w:val="0"/>
                <w:i w:val="0"/>
                <w:sz w:val="22"/>
              </w:rPr>
              <w:t>Corrupt clearance followed by immediate resale</w:t>
            </w:r>
          </w:p>
        </w:tc>
        <w:tc>
          <w:tcPr>
            <w:tcW w:type="dxa" w:w="1584"/>
          </w:tcPr>
          <w:p>
            <w:pPr>
              <w:spacing w:after="40"/>
            </w:pPr>
            <w:r/>
            <w:r>
              <w:rPr>
                <w:rFonts w:ascii="Times New Roman" w:hAnsi="Times New Roman"/>
                <w:b w:val="0"/>
                <w:i w:val="0"/>
                <w:sz w:val="22"/>
              </w:rPr>
              <w:t>Specify</w:t>
            </w:r>
          </w:p>
        </w:tc>
      </w:tr>
    </w:tbl>
    <w:p/>
    <w:sectPr w:rsidR="00FC693F" w:rsidRPr="0006063C" w:rsidSect="00034616">
      <w:pgSz w:w="12240" w:h="15840"/>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F476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F476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val="0"/>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