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83" w:lineRule="auto"/>
      </w:pPr>
      <w:r>
        <w:rPr>
          <w:b/>
          <w:i w:val="0"/>
          <w:color w:val="7A0010"/>
          <w:sz w:val="16"/>
          <w:rFonts w:ascii="IBM Plex Sans" w:hAnsi="IBM Plex Sans" w:cs="IBM Plex Sans"/>
        </w:rPr>
        <w:t>V4 COMPANY  ·  GRUPO OLX  ·  DESTRAVA RECEITA, CICLO 1</w:t>
      </w:r>
    </w:p>
    <w:p>
      <w:pPr>
        <w:spacing w:before="0" w:after="120" w:line="283" w:lineRule="auto"/>
      </w:pPr>
      <w:r>
        <w:rPr>
          <w:b/>
          <w:i w:val="0"/>
          <w:color w:val="1A1416"/>
          <w:sz w:val="52"/>
          <w:rFonts w:ascii="IBM Plex Sans" w:hAnsi="IBM Plex Sans" w:cs="IBM Plex Sans"/>
        </w:rPr>
        <w:t>Mapa dos Números</w:t>
      </w:r>
    </w:p>
    <w:p>
      <w:pPr>
        <w:spacing w:before="0" w:after="160" w:line="283" w:lineRule="auto"/>
      </w:pPr>
      <w:r>
        <w:rPr>
          <w:b w:val="0"/>
          <w:i w:val="0"/>
          <w:color w:val="5E5458"/>
          <w:sz w:val="24"/>
          <w:rFonts w:ascii="IBM Plex Sans" w:hAnsi="IBM Plex Sans" w:cs="IBM Plex Sans"/>
        </w:rPr>
        <w:t>O que o DR-E precisa medir, o que já está medido, e o que falta para ter o resto</w:t>
      </w:r>
    </w:p>
    <w:p>
      <w:pPr>
        <w:spacing w:before="40" w:after="200"/>
        <w:pBdr>
          <w:bottom w:val="single" w:sz="18" w:space="1" w:color="1A1416"/>
        </w:pBdr>
      </w:pPr>
    </w:p>
    <w:p>
      <w:pPr>
        <w:spacing w:after="80"/>
      </w:pPr>
      <w:r>
        <w:rPr>
          <w:b w:val="0"/>
          <w:i w:val="0"/>
          <w:color w:val="8F858A"/>
          <w:sz w:val="17"/>
          <w:rFonts w:ascii="IBM Plex Mono" w:hAnsi="IBM Plex Mono" w:cs="IBM Plex Mono"/>
        </w:rPr>
        <w:t>14/09/2026  ·  78 indicadores catalogados  ·  26 com número hoje  ·  Ciclo 1, fase Identificar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8D0D2"/>
          <w:left w:val="single" w:sz="4" w:color="D8D0D2"/>
          <w:bottom w:val="single" w:sz="4" w:color="D8D0D2"/>
          <w:right w:val="single" w:sz="4" w:color="D8D0D2"/>
          <w:insideH w:val="single" w:sz="4" w:color="D8D0D2"/>
          <w:insideV w:val="single" w:sz="4" w:color="D8D0D2"/>
        </w:tblBorders>
      </w:tblPr>
      <w:tblGrid>
        <w:gridCol w:w="9858"/>
      </w:tblGrid>
      <w:tr>
        <w:tc>
          <w:tcPr>
            <w:tcW w:type="dxa" w:w="9858"/>
            <w:shd w:val="clear" w:color="auto" w:fill="FBEFF0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60"/>
            </w:pPr>
            <w:r/>
            <w:r>
              <w:rPr>
                <w:b/>
                <w:i w:val="0"/>
                <w:color w:val="7A0010"/>
                <w:sz w:val="16"/>
                <w:rFonts w:ascii="IBM Plex Sans" w:hAnsi="IBM Plex Sans" w:cs="IBM Plex Sans"/>
              </w:rPr>
              <w:t>COMO LER ESTE DOCUMENTO</w:t>
            </w:r>
          </w:p>
          <w:p>
            <w:pPr>
              <w:spacing w:after="60" w:line="283" w:lineRule="auto"/>
            </w:pPr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O catálogo diz o que precisa ser medido para diagnosticar as travas de receita do negócio B2B. A coluna de cobertura diz onde cada indicador está hoje, e é ela que separa o que já temos do que ainda depende de alguém.</w:t>
            </w:r>
          </w:p>
          <w:p>
            <w:pPr>
              <w:spacing w:after="60" w:line="283" w:lineRule="auto"/>
            </w:pPr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Marcação de origem: [D] é número declarado pelo Grupo OLX e ainda não apurado pela V4; [E] é estimativa da V4. Número sem marca foi apurado na ferramenta.</w:t>
            </w:r>
          </w:p>
          <w:p>
            <w:pPr>
              <w:spacing w:after="60" w:line="283" w:lineRule="auto"/>
            </w:pPr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Onde um campo aparece vazio, ele está assim por falta de dado, não por omissão. A regra do método é que campo sem fonte fica vazio e vira pendência com dono e prazo, nunca um valor aproximado.</w:t>
            </w:r>
          </w:p>
          <w:p>
            <w:pPr>
              <w:spacing w:after="0" w:line="283" w:lineRule="auto"/>
            </w:pPr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Nenhum número deste documento foi digitado à mão. Todos saem de dados/outputs/mapa-de-numeros.json, que por sua vez lê o estado do repositório.</w:t>
            </w:r>
          </w:p>
        </w:tc>
      </w:tr>
    </w:tbl>
    <w:p>
      <w:pPr>
        <w:spacing w:before="0" w:after="40" w:line="283" w:lineRule="auto"/>
      </w:pPr>
    </w:p>
    <w:p>
      <w:pPr>
        <w:spacing w:before="400" w:after="80"/>
      </w:pPr>
      <w:r>
        <w:rPr>
          <w:b/>
          <w:i w:val="0"/>
          <w:color w:val="970013"/>
          <w:sz w:val="26"/>
          <w:rFonts w:ascii="IBM Plex Mono" w:hAnsi="IBM Plex Mono" w:cs="IBM Plex Mono"/>
        </w:rPr>
        <w:t xml:space="preserve">01   </w:t>
      </w:r>
      <w:r>
        <w:rPr>
          <w:b/>
          <w:i w:val="0"/>
          <w:color w:val="1A1416"/>
          <w:sz w:val="30"/>
          <w:rFonts w:ascii="IBM Plex Sans" w:hAnsi="IBM Plex Sans" w:cs="IBM Plex Sans"/>
        </w:rPr>
        <w:t>O placar</w:t>
      </w:r>
    </w:p>
    <w:p>
      <w:pPr>
        <w:spacing w:before="40" w:after="200"/>
        <w:pBdr>
          <w:bottom w:val="single" w:sz="8" w:space="1" w:color="CFC6C8"/>
        </w:pBdr>
      </w:pPr>
    </w:p>
    <w:p>
      <w:pPr>
        <w:spacing w:before="0" w:after="120" w:line="283" w:lineRule="auto"/>
      </w:pPr>
      <w:r>
        <w:rPr>
          <w:b/>
          <w:i w:val="0"/>
          <w:color w:val="1A1416"/>
          <w:sz w:val="22"/>
          <w:rFonts w:ascii="IBM Plex Sans" w:hAnsi="IBM Plex Sans" w:cs="IBM Plex Sans"/>
        </w:rPr>
        <w:t>78 indicadores catalogados. 26 têm número hoje. 52 não têm.</w:t>
      </w:r>
    </w:p>
    <w:p>
      <w:pPr>
        <w:spacing w:before="0" w:after="160" w:line="283" w:lineRule="auto"/>
      </w:pPr>
      <w:r>
        <w:rPr>
          <w:b w:val="0"/>
          <w:i w:val="0"/>
          <w:color w:val="5E5458"/>
          <w:sz w:val="20"/>
          <w:rFonts w:ascii="IBM Plex Sans" w:hAnsi="IBM Plex Sans" w:cs="IBM Plex Sans"/>
        </w:rPr>
        <w:t>A leitura que importa não é quantos faltam, é onde eles estão presos: a maior fila não é de dado que a OLX precisa produzir, é de ferramenta que já foi concedida e ninguém abriu.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0D2"/>
          <w:left w:val="single" w:sz="4" w:color="D8D0D2"/>
          <w:bottom w:val="single" w:sz="4" w:color="D8D0D2"/>
          <w:right w:val="single" w:sz="4" w:color="D8D0D2"/>
          <w:insideH w:val="single" w:sz="4" w:color="D8D0D2"/>
          <w:insideV w:val="single" w:sz="4" w:color="D8D0D2"/>
        </w:tblBorders>
      </w:tblPr>
      <w:tblGrid>
        <w:gridCol w:w="3286"/>
        <w:gridCol w:w="3286"/>
        <w:gridCol w:w="3286"/>
      </w:tblGrid>
      <w:tr>
        <w:tc>
          <w:tcPr>
            <w:tcW w:type="dxa" w:w="1474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IBM Plex Sans" w:hAnsi="IBM Plex Sans" w:cs="IBM Plex Sans"/>
              </w:rPr>
              <w:t>COBERTURA</w:t>
            </w:r>
          </w:p>
        </w:tc>
        <w:tc>
          <w:tcPr>
            <w:tcW w:type="dxa" w:w="737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IBM Plex Sans" w:hAnsi="IBM Plex Sans" w:cs="IBM Plex Sans"/>
              </w:rPr>
              <w:t>QTD.</w:t>
            </w:r>
          </w:p>
        </w:tc>
        <w:tc>
          <w:tcPr>
            <w:tcW w:type="dxa" w:w="7313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IBM Plex Sans" w:hAnsi="IBM Plex Sans" w:cs="IBM Plex Sans"/>
              </w:rPr>
              <w:t>O QUE SIGNIFICA</w:t>
            </w:r>
          </w:p>
        </w:tc>
      </w:tr>
      <w:tr>
        <w:tc>
          <w:tcPr>
            <w:tcW w:type="dxa" w:w="147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2F6B4F"/>
                <w:sz w:val="18"/>
                <w:rFonts w:ascii="IBM Plex Mono" w:hAnsi="IBM Plex Mono" w:cs="IBM Plex Mono"/>
              </w:rPr>
              <w:t>Medido</w:t>
            </w:r>
          </w:p>
        </w:tc>
        <w:tc>
          <w:tcPr>
            <w:tcW w:type="dxa" w:w="73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9</w:t>
            </w:r>
          </w:p>
        </w:tc>
        <w:tc>
          <w:tcPr>
            <w:tcW w:type="dxa" w:w="7313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Dado em mãos, versionado no repositório, com fonte rastreável e conferida.</w:t>
            </w:r>
          </w:p>
        </w:tc>
      </w:tr>
      <w:tr>
        <w:tc>
          <w:tcPr>
            <w:tcW w:type="dxa" w:w="147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2F6B4F"/>
                <w:sz w:val="18"/>
                <w:rFonts w:ascii="IBM Plex Mono" w:hAnsi="IBM Plex Mono" w:cs="IBM Plex Mono"/>
              </w:rPr>
              <w:t>Concedido</w:t>
            </w:r>
          </w:p>
        </w:tc>
        <w:tc>
          <w:tcPr>
            <w:tcW w:type="dxa" w:w="73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3</w:t>
            </w:r>
          </w:p>
        </w:tc>
        <w:tc>
          <w:tcPr>
            <w:tcW w:type="dxa" w:w="7313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A fonte foi aberta e testada: ela respondeu. Falta só extrair, e isso é trabalho da V4.</w:t>
            </w:r>
          </w:p>
        </w:tc>
      </w:tr>
      <w:tr>
        <w:tc>
          <w:tcPr>
            <w:tcW w:type="dxa" w:w="147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8A5A00"/>
                <w:sz w:val="18"/>
                <w:rFonts w:ascii="IBM Plex Mono" w:hAnsi="IBM Plex Mono" w:cs="IBM Plex Mono"/>
              </w:rPr>
              <w:t>A conferir</w:t>
            </w:r>
          </w:p>
        </w:tc>
        <w:tc>
          <w:tcPr>
            <w:tcW w:type="dxa" w:w="73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23</w:t>
            </w:r>
          </w:p>
        </w:tc>
        <w:tc>
          <w:tcPr>
            <w:tcW w:type="dxa" w:w="7313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O acesso foi declarado concedido em 10/09 e nunca aberto na ferramenta. Pode estar no nível errado, como já aconteceu duas vezes neste projeto.</w:t>
            </w:r>
          </w:p>
        </w:tc>
      </w:tr>
      <w:tr>
        <w:tc>
          <w:tcPr>
            <w:tcW w:type="dxa" w:w="147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8A5A00"/>
                <w:sz w:val="18"/>
                <w:rFonts w:ascii="IBM Plex Mono" w:hAnsi="IBM Plex Mono" w:cs="IBM Plex Mono"/>
              </w:rPr>
              <w:t>Parcial</w:t>
            </w:r>
          </w:p>
        </w:tc>
        <w:tc>
          <w:tcPr>
            <w:tcW w:type="dxa" w:w="73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14</w:t>
            </w:r>
          </w:p>
        </w:tc>
        <w:tc>
          <w:tcPr>
            <w:tcW w:type="dxa" w:w="7313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Temos parte: série incompleta, ou o recorte errado, como mídia que mistura B2C e B2B.</w:t>
            </w:r>
          </w:p>
        </w:tc>
      </w:tr>
      <w:tr>
        <w:tc>
          <w:tcPr>
            <w:tcW w:type="dxa" w:w="147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8A5A00"/>
                <w:sz w:val="18"/>
                <w:rFonts w:ascii="IBM Plex Mono" w:hAnsi="IBM Plex Mono" w:cs="IBM Plex Mono"/>
              </w:rPr>
              <w:t>Declarado</w:t>
            </w:r>
          </w:p>
        </w:tc>
        <w:tc>
          <w:tcPr>
            <w:tcW w:type="dxa" w:w="73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4</w:t>
            </w:r>
          </w:p>
        </w:tc>
        <w:tc>
          <w:tcPr>
            <w:tcW w:type="dxa" w:w="7313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Existe só como número dito em reunião, sem lastro auditável. Vale como hipótese, não como base de meta.</w:t>
            </w:r>
          </w:p>
        </w:tc>
      </w:tr>
      <w:tr>
        <w:tc>
          <w:tcPr>
            <w:tcW w:type="dxa" w:w="147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A32218"/>
                <w:sz w:val="18"/>
                <w:rFonts w:ascii="IBM Plex Mono" w:hAnsi="IBM Plex Mono" w:cs="IBM Plex Mono"/>
              </w:rPr>
              <w:t>Falta</w:t>
            </w:r>
          </w:p>
        </w:tc>
        <w:tc>
          <w:tcPr>
            <w:tcW w:type="dxa" w:w="73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25</w:t>
            </w:r>
          </w:p>
        </w:tc>
        <w:tc>
          <w:tcPr>
            <w:tcW w:type="dxa" w:w="7313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Nem fonte nem dado. Depende de entrega da OLX ou de uma decisão que ainda não foi tomada.</w:t>
            </w:r>
          </w:p>
        </w:tc>
      </w:tr>
    </w:tbl>
    <w:p>
      <w:pPr>
        <w:spacing w:before="0" w:after="40" w:line="283" w:lineRule="auto"/>
      </w:pPr>
    </w:p>
    <w:p>
      <w:pPr>
        <w:spacing w:before="280" w:after="40"/>
      </w:pPr>
      <w:r>
        <w:rPr>
          <w:b/>
          <w:i w:val="0"/>
          <w:color w:val="1A1416"/>
          <w:sz w:val="23"/>
          <w:rFonts w:ascii="IBM Plex Sans" w:hAnsi="IBM Plex Sans" w:cs="IBM Plex Sans"/>
        </w:rPr>
        <w:t>Por prioridade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0D2"/>
          <w:left w:val="single" w:sz="4" w:color="D8D0D2"/>
          <w:bottom w:val="single" w:sz="4" w:color="D8D0D2"/>
          <w:right w:val="single" w:sz="4" w:color="D8D0D2"/>
          <w:insideH w:val="single" w:sz="4" w:color="D8D0D2"/>
          <w:insideV w:val="single" w:sz="4" w:color="D8D0D2"/>
        </w:tblBorders>
      </w:tblPr>
      <w:tblGrid>
        <w:gridCol w:w="3286"/>
        <w:gridCol w:w="3286"/>
        <w:gridCol w:w="3286"/>
      </w:tblGrid>
      <w:tr>
        <w:tc>
          <w:tcPr>
            <w:tcW w:type="dxa" w:w="1474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IBM Plex Sans" w:hAnsi="IBM Plex Sans" w:cs="IBM Plex Sans"/>
              </w:rPr>
              <w:t>PRIORIDADE</w:t>
            </w:r>
          </w:p>
        </w:tc>
        <w:tc>
          <w:tcPr>
            <w:tcW w:type="dxa" w:w="737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IBM Plex Sans" w:hAnsi="IBM Plex Sans" w:cs="IBM Plex Sans"/>
              </w:rPr>
              <w:t>QTD.</w:t>
            </w:r>
          </w:p>
        </w:tc>
        <w:tc>
          <w:tcPr>
            <w:tcW w:type="dxa" w:w="7313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IBM Plex Sans" w:hAnsi="IBM Plex Sans" w:cs="IBM Plex Sans"/>
              </w:rPr>
              <w:t>O QUE ESSA FAIXA SIGNIFICA</w:t>
            </w:r>
          </w:p>
        </w:tc>
      </w:tr>
      <w:tr>
        <w:tc>
          <w:tcPr>
            <w:tcW w:type="dxa" w:w="147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A32218"/>
                <w:sz w:val="18"/>
                <w:rFonts w:ascii="IBM Plex Mono" w:hAnsi="IBM Plex Mono" w:cs="IBM Plex Mono"/>
              </w:rPr>
              <w:t>P0</w:t>
            </w:r>
          </w:p>
        </w:tc>
        <w:tc>
          <w:tcPr>
            <w:tcW w:type="dxa" w:w="73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51</w:t>
            </w:r>
          </w:p>
        </w:tc>
        <w:tc>
          <w:tcPr>
            <w:tcW w:type="dxa" w:w="7313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Bloqueia o Comitê 1. Sem esses, a restrição é nomeada sem lastro.</w:t>
            </w:r>
          </w:p>
        </w:tc>
      </w:tr>
      <w:tr>
        <w:tc>
          <w:tcPr>
            <w:tcW w:type="dxa" w:w="147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8A5A00"/>
                <w:sz w:val="18"/>
                <w:rFonts w:ascii="IBM Plex Mono" w:hAnsi="IBM Plex Mono" w:cs="IBM Plex Mono"/>
              </w:rPr>
              <w:t>P1</w:t>
            </w:r>
          </w:p>
        </w:tc>
        <w:tc>
          <w:tcPr>
            <w:tcW w:type="dxa" w:w="73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24</w:t>
            </w:r>
          </w:p>
        </w:tc>
        <w:tc>
          <w:tcPr>
            <w:tcW w:type="dxa" w:w="7313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Sustenta o material sob escrutínio. A falta não impede decidir, impede defender.</w:t>
            </w:r>
          </w:p>
        </w:tc>
      </w:tr>
      <w:tr>
        <w:tc>
          <w:tcPr>
            <w:tcW w:type="dxa" w:w="147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2F6B4F"/>
                <w:sz w:val="18"/>
                <w:rFonts w:ascii="IBM Plex Mono" w:hAnsi="IBM Plex Mono" w:cs="IBM Plex Mono"/>
              </w:rPr>
              <w:t>P2</w:t>
            </w:r>
          </w:p>
        </w:tc>
        <w:tc>
          <w:tcPr>
            <w:tcW w:type="dxa" w:w="73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3</w:t>
            </w:r>
          </w:p>
        </w:tc>
        <w:tc>
          <w:tcPr>
            <w:tcW w:type="dxa" w:w="7313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Desejável. Entra no Ciclo 2 sem custo para o Ciclo 1.</w:t>
            </w:r>
          </w:p>
        </w:tc>
      </w:tr>
    </w:tbl>
    <w:p>
      <w:pPr>
        <w:spacing w:before="0" w:after="40" w:line="283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8D0D2"/>
          <w:left w:val="single" w:sz="4" w:color="D8D0D2"/>
          <w:bottom w:val="single" w:sz="4" w:color="D8D0D2"/>
          <w:right w:val="single" w:sz="4" w:color="D8D0D2"/>
          <w:insideH w:val="single" w:sz="4" w:color="D8D0D2"/>
          <w:insideV w:val="single" w:sz="4" w:color="D8D0D2"/>
        </w:tblBorders>
      </w:tblPr>
      <w:tblGrid>
        <w:gridCol w:w="9858"/>
      </w:tblGrid>
      <w:tr>
        <w:tc>
          <w:tcPr>
            <w:tcW w:type="dxa" w:w="9858"/>
            <w:shd w:val="clear" w:color="auto" w:fill="FBEFF0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60"/>
            </w:pPr>
            <w:r/>
            <w:r>
              <w:rPr>
                <w:b/>
                <w:i w:val="0"/>
                <w:color w:val="7A0010"/>
                <w:sz w:val="16"/>
                <w:rFonts w:ascii="IBM Plex Sans" w:hAnsi="IBM Plex Sans" w:cs="IBM Plex Sans"/>
              </w:rPr>
              <w:t>18 INDICADORES P0 ESTÃO PRESOS NUM ACESSO QUE NINGUÉM ABRIU</w:t>
            </w:r>
          </w:p>
          <w:p>
            <w:pPr>
              <w:spacing w:after="60" w:line="283" w:lineRule="auto"/>
            </w:pPr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O lote completo de acessos foi declarado entregue em 10/09: CRM comercial, Salesforce Marketing Cloud, Search Console, Mouseflow, Unbounce e as duas contas de Meta. A conferência item a item, abrindo cada ferramenta, ainda não foi feita.</w:t>
            </w:r>
          </w:p>
          <w:p>
            <w:pPr>
              <w:spacing w:after="60" w:line="283" w:lineRule="auto"/>
            </w:pPr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Isso não é formalidade. Duas vezes neste projeto o acesso chegou e não servia: o GA4 veio em nível Leitor, que não abre a configuração onde mora a causa, e o Meta veio com nenhum ativo conectado. Por isso esses indicadores não contam como concedidos.</w:t>
            </w:r>
          </w:p>
          <w:p>
            <w:pPr>
              <w:spacing w:after="0" w:line="283" w:lineRule="auto"/>
            </w:pPr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Vinte deles dependem de uma fonte só, o CRM comercial, que é de onde sai quase todo o funil. Se o acesso for real, três dos quatro números que faltam para o forecast saem sem pedir nada à OLX.</w:t>
            </w:r>
          </w:p>
        </w:tc>
      </w:tr>
    </w:tbl>
    <w:p>
      <w:pPr>
        <w:spacing w:before="0" w:after="40" w:line="283" w:lineRule="auto"/>
      </w:pPr>
    </w:p>
    <w:p>
      <w:r>
        <w:br w:type="page"/>
      </w:r>
    </w:p>
    <w:p>
      <w:pPr>
        <w:spacing w:before="400" w:after="80"/>
      </w:pPr>
      <w:r>
        <w:rPr>
          <w:b/>
          <w:i w:val="0"/>
          <w:color w:val="970013"/>
          <w:sz w:val="26"/>
          <w:rFonts w:ascii="IBM Plex Mono" w:hAnsi="IBM Plex Mono" w:cs="IBM Plex Mono"/>
        </w:rPr>
        <w:t xml:space="preserve">02   </w:t>
      </w:r>
      <w:r>
        <w:rPr>
          <w:b/>
          <w:i w:val="0"/>
          <w:color w:val="1A1416"/>
          <w:sz w:val="30"/>
          <w:rFonts w:ascii="IBM Plex Sans" w:hAnsi="IBM Plex Sans" w:cs="IBM Plex Sans"/>
        </w:rPr>
        <w:t>O que já temos, com número</w:t>
      </w:r>
    </w:p>
    <w:p>
      <w:pPr>
        <w:spacing w:before="40" w:after="200"/>
        <w:pBdr>
          <w:bottom w:val="single" w:sz="8" w:space="1" w:color="CFC6C8"/>
        </w:pBdr>
      </w:pPr>
    </w:p>
    <w:p>
      <w:pPr>
        <w:spacing w:before="0" w:after="160" w:line="283" w:lineRule="auto"/>
      </w:pPr>
      <w:r>
        <w:rPr>
          <w:b w:val="0"/>
          <w:i w:val="0"/>
          <w:color w:val="5E5458"/>
          <w:sz w:val="20"/>
          <w:rFonts w:ascii="IBM Plex Sans" w:hAnsi="IBM Plex Sans" w:cs="IBM Plex Sans"/>
        </w:rPr>
        <w:t>Os 26 indicadores que carregam valor hoje, e de onde cada valor vem. Dois grupos foram apurados na ferramenta nos últimos três dias; os declarados continuam valendo como hipótese, não como base de meta.</w:t>
      </w:r>
    </w:p>
    <w:p>
      <w:pPr>
        <w:spacing w:before="280" w:after="40"/>
      </w:pPr>
      <w:r>
        <w:rPr>
          <w:b/>
          <w:i w:val="0"/>
          <w:color w:val="1A1416"/>
          <w:sz w:val="23"/>
          <w:rFonts w:ascii="IBM Plex Sans" w:hAnsi="IBM Plex Sans" w:cs="IBM Plex Sans"/>
        </w:rPr>
        <w:t>Mídia paga, apurado no V4MOS em 14/09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0D2"/>
          <w:left w:val="single" w:sz="4" w:color="D8D0D2"/>
          <w:bottom w:val="single" w:sz="4" w:color="D8D0D2"/>
          <w:right w:val="single" w:sz="4" w:color="D8D0D2"/>
          <w:insideH w:val="single" w:sz="4" w:color="D8D0D2"/>
          <w:insideV w:val="single" w:sz="4" w:color="D8D0D2"/>
        </w:tblBorders>
      </w:tblPr>
      <w:tblGrid>
        <w:gridCol w:w="3286"/>
        <w:gridCol w:w="3286"/>
        <w:gridCol w:w="3286"/>
      </w:tblGrid>
      <w:tr>
        <w:tc>
          <w:tcPr>
            <w:tcW w:type="dxa" w:w="2608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IBM Plex Sans" w:hAnsi="IBM Plex Sans" w:cs="IBM Plex Sans"/>
              </w:rPr>
              <w:t>INDICADOR</w:t>
            </w:r>
          </w:p>
        </w:tc>
        <w:tc>
          <w:tcPr>
            <w:tcW w:type="dxa" w:w="2041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IBM Plex Sans" w:hAnsi="IBM Plex Sans" w:cs="IBM Plex Sans"/>
              </w:rPr>
              <w:t>VALOR</w:t>
            </w:r>
          </w:p>
        </w:tc>
        <w:tc>
          <w:tcPr>
            <w:tcW w:type="dxa" w:w="4876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IBM Plex Sans" w:hAnsi="IBM Plex Sans" w:cs="IBM Plex Sans"/>
              </w:rPr>
              <w:t>LEITURA</w:t>
            </w:r>
          </w:p>
        </w:tc>
      </w:tr>
      <w:tr>
        <w:tc>
          <w:tcPr>
            <w:tcW w:type="dxa" w:w="260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Investimento em mídia paga B2B</w:t>
            </w:r>
          </w:p>
        </w:tc>
        <w:tc>
          <w:tcPr>
            <w:tcW w:type="dxa" w:w="204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R$ 10,12 mi</w:t>
            </w:r>
          </w:p>
        </w:tc>
        <w:tc>
          <w:tcPr>
            <w:tcW w:type="dxa" w:w="487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Meta R$ 7,38 mi e Google R$ 2,75 mi. Não separa B2B de B2C. V4MOS · jan/2025 a set/2026</w:t>
            </w:r>
          </w:p>
        </w:tc>
      </w:tr>
      <w:tr>
        <w:tc>
          <w:tcPr>
            <w:tcW w:type="dxa" w:w="260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Impressões</w:t>
            </w:r>
          </w:p>
        </w:tc>
        <w:tc>
          <w:tcPr>
            <w:tcW w:type="dxa" w:w="204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1,94 bi</w:t>
            </w:r>
          </w:p>
        </w:tc>
        <w:tc>
          <w:tcPr>
            <w:tcW w:type="dxa" w:w="487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Meta 1,88 bi e Google 56,4 mi. Não separa B2B de B2C. V4MOS · jan/2025 a set/2026</w:t>
            </w:r>
          </w:p>
        </w:tc>
      </w:tr>
      <w:tr>
        <w:tc>
          <w:tcPr>
            <w:tcW w:type="dxa" w:w="260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Alcance (público único)</w:t>
            </w:r>
          </w:p>
        </w:tc>
        <w:tc>
          <w:tcPr>
            <w:tcW w:type="dxa" w:w="204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1,41 bi</w:t>
            </w:r>
          </w:p>
        </w:tc>
        <w:tc>
          <w:tcPr>
            <w:tcW w:type="dxa" w:w="487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Só o Meta devolve alcance. Não separa B2B de B2C. V4MOS · jan/2025 a set/2026</w:t>
            </w:r>
          </w:p>
        </w:tc>
      </w:tr>
      <w:tr>
        <w:tc>
          <w:tcPr>
            <w:tcW w:type="dxa" w:w="260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Frequência média</w:t>
            </w:r>
          </w:p>
        </w:tc>
        <w:tc>
          <w:tcPr>
            <w:tcW w:type="dxa" w:w="204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1,33 x</w:t>
            </w:r>
          </w:p>
        </w:tc>
        <w:tc>
          <w:tcPr>
            <w:tcW w:type="dxa" w:w="487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1,88 bi de impressões sobre 1,41 bi de alcance, só Meta. V4MOS · jan/2025 a set/2026</w:t>
            </w:r>
          </w:p>
        </w:tc>
      </w:tr>
      <w:tr>
        <w:tc>
          <w:tcPr>
            <w:tcW w:type="dxa" w:w="260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CPM</w:t>
            </w:r>
          </w:p>
        </w:tc>
        <w:tc>
          <w:tcPr>
            <w:tcW w:type="dxa" w:w="204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R$ 3,91 Meta · R$ 48,68 Google</w:t>
            </w:r>
          </w:p>
        </w:tc>
        <w:tc>
          <w:tcPr>
            <w:tcW w:type="dxa" w:w="487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A distância de 12x entre as contas é sinal de leilão e formato diferentes, não de eficiência. V4MOS · jan/2025 a set/2026</w:t>
            </w:r>
          </w:p>
        </w:tc>
      </w:tr>
      <w:tr>
        <w:tc>
          <w:tcPr>
            <w:tcW w:type="dxa" w:w="260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Cliques pagos</w:t>
            </w:r>
          </w:p>
        </w:tc>
        <w:tc>
          <w:tcPr>
            <w:tcW w:type="dxa" w:w="204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39,58 mi</w:t>
            </w:r>
          </w:p>
        </w:tc>
        <w:tc>
          <w:tcPr>
            <w:tcW w:type="dxa" w:w="487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Meta 29,41 mi e Google 10,17 mi. Não separa B2B de B2C. V4MOS · jan/2025 a set/2026</w:t>
            </w:r>
          </w:p>
        </w:tc>
      </w:tr>
      <w:tr>
        <w:tc>
          <w:tcPr>
            <w:tcW w:type="dxa" w:w="260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CTR de campanhas B2B</w:t>
            </w:r>
          </w:p>
        </w:tc>
        <w:tc>
          <w:tcPr>
            <w:tcW w:type="dxa" w:w="204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1,56% Meta · 18,03% Google</w:t>
            </w:r>
          </w:p>
        </w:tc>
        <w:tc>
          <w:tcPr>
            <w:tcW w:type="dxa" w:w="487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Onze vezes de diferença: as duas contas contam clique de forma diferente, e isso precisa ser resolvido antes de somar. V4MOS · jan/2025 a set/2026</w:t>
            </w:r>
          </w:p>
        </w:tc>
      </w:tr>
      <w:tr>
        <w:tc>
          <w:tcPr>
            <w:tcW w:type="dxa" w:w="260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CPC</w:t>
            </w:r>
          </w:p>
        </w:tc>
        <w:tc>
          <w:tcPr>
            <w:tcW w:type="dxa" w:w="204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R$ 0,25 Meta · R$ 0,27 Google</w:t>
            </w:r>
          </w:p>
        </w:tc>
        <w:tc>
          <w:tcPr>
            <w:tcW w:type="dxa" w:w="487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Praticamente iguais, apesar do CPM 12x maior no Google. Não separa B2B de B2C. V4MOS · jan/2025 a set/2026</w:t>
            </w:r>
          </w:p>
        </w:tc>
      </w:tr>
      <w:tr>
        <w:tc>
          <w:tcPr>
            <w:tcW w:type="dxa" w:w="260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Criativos ativos e variações testadas/mês</w:t>
            </w:r>
          </w:p>
        </w:tc>
        <w:tc>
          <w:tcPr>
            <w:tcW w:type="dxa" w:w="204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1.079 anúncios em 90 campanhas</w:t>
            </w:r>
          </w:p>
        </w:tc>
        <w:tc>
          <w:tcPr>
            <w:tcW w:type="dxa" w:w="487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Com gasto, impressão, alcance, CTR e CPM por peça. V4MOS · jan/2025 a set/2026</w:t>
            </w:r>
          </w:p>
        </w:tc>
      </w:tr>
    </w:tbl>
    <w:p>
      <w:pPr>
        <w:spacing w:before="0" w:after="40" w:line="283" w:lineRule="auto"/>
      </w:pPr>
    </w:p>
    <w:p>
      <w:pPr>
        <w:spacing w:before="280" w:after="40"/>
      </w:pPr>
      <w:r>
        <w:rPr>
          <w:b/>
          <w:i w:val="0"/>
          <w:color w:val="1A1416"/>
          <w:sz w:val="23"/>
          <w:rFonts w:ascii="IBM Plex Sans" w:hAnsi="IBM Plex Sans" w:cs="IBM Plex Sans"/>
        </w:rPr>
        <w:t>Comportamento e tráfego, apurado no GA4 em 14/09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0D2"/>
          <w:left w:val="single" w:sz="4" w:color="D8D0D2"/>
          <w:bottom w:val="single" w:sz="4" w:color="D8D0D2"/>
          <w:right w:val="single" w:sz="4" w:color="D8D0D2"/>
          <w:insideH w:val="single" w:sz="4" w:color="D8D0D2"/>
          <w:insideV w:val="single" w:sz="4" w:color="D8D0D2"/>
        </w:tblBorders>
      </w:tblPr>
      <w:tblGrid>
        <w:gridCol w:w="3286"/>
        <w:gridCol w:w="3286"/>
        <w:gridCol w:w="3286"/>
      </w:tblGrid>
      <w:tr>
        <w:tc>
          <w:tcPr>
            <w:tcW w:type="dxa" w:w="2608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IBM Plex Sans" w:hAnsi="IBM Plex Sans" w:cs="IBM Plex Sans"/>
              </w:rPr>
              <w:t>INDICADOR</w:t>
            </w:r>
          </w:p>
        </w:tc>
        <w:tc>
          <w:tcPr>
            <w:tcW w:type="dxa" w:w="2041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IBM Plex Sans" w:hAnsi="IBM Plex Sans" w:cs="IBM Plex Sans"/>
              </w:rPr>
              <w:t>VALOR</w:t>
            </w:r>
          </w:p>
        </w:tc>
        <w:tc>
          <w:tcPr>
            <w:tcW w:type="dxa" w:w="4876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IBM Plex Sans" w:hAnsi="IBM Plex Sans" w:cs="IBM Plex Sans"/>
              </w:rPr>
              <w:t>LEITURA</w:t>
            </w:r>
          </w:p>
        </w:tc>
      </w:tr>
      <w:tr>
        <w:tc>
          <w:tcPr>
            <w:tcW w:type="dxa" w:w="260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Sessões orgânicas nos domínios B2B</w:t>
            </w:r>
          </w:p>
        </w:tc>
        <w:tc>
          <w:tcPr>
            <w:tcW w:type="dxa" w:w="204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97.369 sessões</w:t>
            </w:r>
          </w:p>
        </w:tc>
        <w:tc>
          <w:tcPr>
            <w:tcW w:type="dxa" w:w="487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Organic Search 94.381 mais social, vídeo e shopping. GA4 503925542, *.grupoolx.com.br · jan/2025 a set/2026</w:t>
            </w:r>
          </w:p>
        </w:tc>
      </w:tr>
      <w:tr>
        <w:tc>
          <w:tcPr>
            <w:tcW w:type="dxa" w:w="260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Sessões totais nos domínios B2B</w:t>
            </w:r>
          </w:p>
        </w:tc>
        <w:tc>
          <w:tcPr>
            <w:tcW w:type="dxa" w:w="204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987.566 sessões</w:t>
            </w:r>
          </w:p>
        </w:tc>
        <w:tc>
          <w:tcPr>
            <w:tcW w:type="dxa" w:w="487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Soma dos domínios *.grupoolx.com.br. GA4 503925542, *.grupoolx.com.br · jan/2025 a set/2026</w:t>
            </w:r>
          </w:p>
        </w:tc>
      </w:tr>
      <w:tr>
        <w:tc>
          <w:tcPr>
            <w:tcW w:type="dxa" w:w="260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Distribuição de sessões por origem</w:t>
            </w:r>
          </w:p>
        </w:tc>
        <w:tc>
          <w:tcPr>
            <w:tcW w:type="dxa" w:w="204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Direto 52,4% · Referral 36,4% · Orgânico 9,9% · Pago 0,8%</w:t>
            </w:r>
          </w:p>
        </w:tc>
        <w:tc>
          <w:tcPr>
            <w:tcW w:type="dxa" w:w="487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O slide FLUXOS declarava Pago 16%: o medido é 20 vezes menor. GA4 503925542, *.grupoolx.com.br · jan/2025 a set/2026</w:t>
            </w:r>
          </w:p>
        </w:tc>
      </w:tr>
      <w:tr>
        <w:tc>
          <w:tcPr>
            <w:tcW w:type="dxa" w:w="260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Taxa de engajamento</w:t>
            </w:r>
          </w:p>
        </w:tc>
        <w:tc>
          <w:tcPr>
            <w:tcW w:type="dxa" w:w="204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12,2% em ads. · 52,4% em imoveis. · 41,8% em autos.</w:t>
            </w:r>
          </w:p>
        </w:tc>
        <w:tc>
          <w:tcPr>
            <w:tcW w:type="dxa" w:w="487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O maior domínio B2B é o menos engajado. GA4 503925542, *.grupoolx.com.br · jan/2025 a set/2026</w:t>
            </w:r>
          </w:p>
        </w:tc>
      </w:tr>
      <w:tr>
        <w:tc>
          <w:tcPr>
            <w:tcW w:type="dxa" w:w="260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Tempo médio de sessão</w:t>
            </w:r>
          </w:p>
        </w:tc>
        <w:tc>
          <w:tcPr>
            <w:tcW w:type="dxa" w:w="204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31s em ads. · 144s em imoveis. · 109s em autos.</w:t>
            </w:r>
          </w:p>
        </w:tc>
        <w:tc>
          <w:tcPr>
            <w:tcW w:type="dxa" w:w="487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GA4 503925542, *.grupoolx.com.br · jan/2025 a set/2026</w:t>
            </w:r>
          </w:p>
        </w:tc>
      </w:tr>
      <w:tr>
        <w:tc>
          <w:tcPr>
            <w:tcW w:type="dxa" w:w="260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Taxa de rejeição das LPs B2B</w:t>
            </w:r>
          </w:p>
        </w:tc>
        <w:tc>
          <w:tcPr>
            <w:tcW w:type="dxa" w:w="204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87,8% em ads.grupoolx.com.br</w:t>
            </w:r>
          </w:p>
        </w:tc>
        <w:tc>
          <w:tcPr>
            <w:tcW w:type="dxa" w:w="487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780.662 sessões e 1,03 página por sessão: quase todo mundo ve uma página e sai. GA4 503925542, *.grupoolx.com.br · jan/2025 a set/2026</w:t>
            </w:r>
          </w:p>
        </w:tc>
      </w:tr>
      <w:tr>
        <w:tc>
          <w:tcPr>
            <w:tcW w:type="dxa" w:w="260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Páginas por sessão</w:t>
            </w:r>
          </w:p>
        </w:tc>
        <w:tc>
          <w:tcPr>
            <w:tcW w:type="dxa" w:w="204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1,03 em ads. · 1,85 em imoveis. · 1,15 em autos.</w:t>
            </w:r>
          </w:p>
        </w:tc>
        <w:tc>
          <w:tcPr>
            <w:tcW w:type="dxa" w:w="487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GA4 503925542, *.grupoolx.com.br · jan/2025 a set/2026</w:t>
            </w:r>
          </w:p>
        </w:tc>
      </w:tr>
      <w:tr>
        <w:tc>
          <w:tcPr>
            <w:tcW w:type="dxa" w:w="260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Consumo de material de apoio</w:t>
            </w:r>
          </w:p>
        </w:tc>
        <w:tc>
          <w:tcPr>
            <w:tcW w:type="dxa" w:w="204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1.100 downloads</w:t>
            </w:r>
          </w:p>
        </w:tc>
        <w:tc>
          <w:tcPr>
            <w:tcW w:type="dxa" w:w="487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Evento file_download em 21 meses. GA4 503925542, *.grupoolx.com.br · jan/2025 a set/2026</w:t>
            </w:r>
          </w:p>
        </w:tc>
      </w:tr>
      <w:tr>
        <w:tc>
          <w:tcPr>
            <w:tcW w:type="dxa" w:w="260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Taxa de scroll nas LPs B2B</w:t>
            </w:r>
          </w:p>
        </w:tc>
        <w:tc>
          <w:tcPr>
            <w:tcW w:type="dxa" w:w="204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11,8%</w:t>
            </w:r>
          </w:p>
        </w:tc>
        <w:tc>
          <w:tcPr>
            <w:tcW w:type="dxa" w:w="487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129.701 eventos scroll sobre 1.100.467 page_view. GA4 503925542, *.grupoolx.com.br · jan/2025 a set/2026</w:t>
            </w:r>
          </w:p>
        </w:tc>
      </w:tr>
      <w:tr>
        <w:tc>
          <w:tcPr>
            <w:tcW w:type="dxa" w:w="260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Leads gerados</w:t>
            </w:r>
          </w:p>
        </w:tc>
        <w:tc>
          <w:tcPr>
            <w:tcW w:type="dxa" w:w="204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1.089 envios de formulario</w:t>
            </w:r>
          </w:p>
        </w:tc>
        <w:tc>
          <w:tcPr>
            <w:tcW w:type="dxa" w:w="487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Evento form_submit em 21 meses, com 76,1% de conclusão sobre 1.431 form_start. NÃO é lead de CRM: é o que o site registra, e dá 0,11% das sessões. GA4 503925542, *.grupoolx.com.br · jan/2025 a set/20…</w:t>
            </w:r>
          </w:p>
        </w:tc>
      </w:tr>
    </w:tbl>
    <w:p>
      <w:pPr>
        <w:spacing w:before="0" w:after="40" w:line="283" w:lineRule="auto"/>
      </w:pPr>
    </w:p>
    <w:p>
      <w:pPr>
        <w:spacing w:before="280" w:after="40"/>
      </w:pPr>
      <w:r>
        <w:rPr>
          <w:b/>
          <w:i w:val="0"/>
          <w:color w:val="1A1416"/>
          <w:sz w:val="23"/>
          <w:rFonts w:ascii="IBM Plex Sans" w:hAnsi="IBM Plex Sans" w:cs="IBM Plex Sans"/>
        </w:rPr>
        <w:t>Declarado em reunião, sem lastro auditável</w:t>
      </w:r>
      <w:r>
        <w:rPr>
          <w:b/>
          <w:i w:val="0"/>
          <w:color w:val="8A5A00"/>
          <w:sz w:val="17"/>
          <w:rFonts w:ascii="IBM Plex Mono" w:hAnsi="IBM Plex Mono" w:cs="IBM Plex Mono"/>
        </w:rPr>
        <w:t xml:space="preserve">   [D]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0D2"/>
          <w:left w:val="single" w:sz="4" w:color="D8D0D2"/>
          <w:bottom w:val="single" w:sz="4" w:color="D8D0D2"/>
          <w:right w:val="single" w:sz="4" w:color="D8D0D2"/>
          <w:insideH w:val="single" w:sz="4" w:color="D8D0D2"/>
          <w:insideV w:val="single" w:sz="4" w:color="D8D0D2"/>
        </w:tblBorders>
      </w:tblPr>
      <w:tblGrid>
        <w:gridCol w:w="3286"/>
        <w:gridCol w:w="3286"/>
        <w:gridCol w:w="3286"/>
      </w:tblGrid>
      <w:tr>
        <w:tc>
          <w:tcPr>
            <w:tcW w:type="dxa" w:w="2608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IBM Plex Sans" w:hAnsi="IBM Plex Sans" w:cs="IBM Plex Sans"/>
              </w:rPr>
              <w:t>INDICADOR</w:t>
            </w:r>
          </w:p>
        </w:tc>
        <w:tc>
          <w:tcPr>
            <w:tcW w:type="dxa" w:w="2041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IBM Plex Sans" w:hAnsi="IBM Plex Sans" w:cs="IBM Plex Sans"/>
              </w:rPr>
              <w:t>VALOR</w:t>
            </w:r>
          </w:p>
        </w:tc>
        <w:tc>
          <w:tcPr>
            <w:tcW w:type="dxa" w:w="4876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IBM Plex Sans" w:hAnsi="IBM Plex Sans" w:cs="IBM Plex Sans"/>
              </w:rPr>
              <w:t>QUEM DECLAROU, E A RESSALVA</w:t>
            </w:r>
          </w:p>
        </w:tc>
      </w:tr>
      <w:tr>
        <w:tc>
          <w:tcPr>
            <w:tcW w:type="dxa" w:w="260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Custo por lead, por MQL e por SQL</w:t>
            </w:r>
          </w:p>
        </w:tc>
        <w:tc>
          <w:tcPr>
            <w:tcW w:type="dxa" w:w="204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R$ 9.294 por envio de formulario</w:t>
            </w:r>
          </w:p>
        </w:tc>
        <w:tc>
          <w:tcPr>
            <w:tcW w:type="dxa" w:w="487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R$ 10,12 mi de mídia sobre 1.089 form_submit. O número é absurdo de propósito: compara a mídia inteira, B2C junto, com a conversão de um punhado de domínios. Ele mede o buraco de atribuição, não o CP…</w:t>
            </w:r>
          </w:p>
        </w:tc>
      </w:tr>
      <w:tr>
        <w:tc>
          <w:tcPr>
            <w:tcW w:type="dxa" w:w="260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Taxa de aprovação de cadastro e crédito</w:t>
            </w:r>
          </w:p>
        </w:tc>
        <w:tc>
          <w:tcPr>
            <w:tcW w:type="dxa" w:w="204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80%</w:t>
            </w:r>
          </w:p>
        </w:tc>
        <w:tc>
          <w:tcPr>
            <w:tcW w:type="dxa" w:w="487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Carolina Dallolio, 28/08. O denominador é 'contratou e gerou cobrança', mais estreito do que o slide sugere.</w:t>
            </w:r>
          </w:p>
        </w:tc>
      </w:tr>
      <w:tr>
        <w:tc>
          <w:tcPr>
            <w:tcW w:type="dxa" w:w="260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Churn de logos</w:t>
            </w:r>
          </w:p>
        </w:tc>
        <w:tc>
          <w:tcPr>
            <w:tcW w:type="dxa" w:w="204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8 a 10% ao mês</w:t>
            </w:r>
          </w:p>
        </w:tc>
        <w:tc>
          <w:tcPr>
            <w:tcW w:type="dxa" w:w="487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Carolina Dallolio, 28/08. Não se sabe se é de logo ou de receita, e a diferença muda o ranking das alavancas.</w:t>
            </w:r>
          </w:p>
        </w:tc>
      </w:tr>
      <w:tr>
        <w:tc>
          <w:tcPr>
            <w:tcW w:type="dxa" w:w="260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Gross revenue churn</w:t>
            </w:r>
          </w:p>
        </w:tc>
        <w:tc>
          <w:tcPr>
            <w:tcW w:type="dxa" w:w="204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8 a 10% ao mês</w:t>
            </w:r>
          </w:p>
        </w:tc>
        <w:tc>
          <w:tcPr>
            <w:tcW w:type="dxa" w:w="487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Mesmo número, mesma ambiguidade. Para ser de receita sobre Classifieds B&amp;A, exigiria R$ 4,07 mi de contrato novo por mês, 114% da carteira ao ano.</w:t>
            </w:r>
          </w:p>
        </w:tc>
      </w:tr>
      <w:tr>
        <w:tc>
          <w:tcPr>
            <w:tcW w:type="dxa" w:w="260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Contração e downgrade</w:t>
            </w:r>
          </w:p>
        </w:tc>
        <w:tc>
          <w:tcPr>
            <w:tcW w:type="dxa" w:w="204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sem número</w:t>
            </w:r>
          </w:p>
        </w:tc>
        <w:tc>
          <w:tcPr>
            <w:tcW w:type="dxa" w:w="487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Iuna Scheffler no kick-off de 24/08: 'as nossas entradas não estão compensando o churn mais downgrade' em Imóveis.</w:t>
            </w:r>
          </w:p>
        </w:tc>
      </w:tr>
      <w:tr>
        <w:tc>
          <w:tcPr>
            <w:tcW w:type="dxa" w:w="260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Permanência média</w:t>
            </w:r>
          </w:p>
        </w:tc>
        <w:tc>
          <w:tcPr>
            <w:tcW w:type="dxa" w:w="204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~11 meses [E]</w:t>
            </w:r>
          </w:p>
        </w:tc>
        <w:tc>
          <w:tcPr>
            <w:tcW w:type="dxa" w:w="487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Derivado do churn de 9% ao mês declarado. Vira outro número se o churn for de logo, e por isso está marcado como estimativa.</w:t>
            </w:r>
          </w:p>
        </w:tc>
      </w:tr>
      <w:tr>
        <w:tc>
          <w:tcPr>
            <w:tcW w:type="dxa" w:w="260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MER (Marketing Efficiency Ratio)</w:t>
            </w:r>
          </w:p>
        </w:tc>
        <w:tc>
          <w:tcPr>
            <w:tcW w:type="dxa" w:w="204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~186 x [E]</w:t>
            </w:r>
          </w:p>
        </w:tc>
        <w:tc>
          <w:tcPr>
            <w:tcW w:type="dxa" w:w="487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R$ 1,88 bi de receita em 19 meses sobre R$ 10,12 mi de mídia em 21. As janelas não batem e a receita é do grupo inteiro contra mídia que inclui B2C: serve de ordem de grandeza, não de indicador.</w:t>
            </w:r>
          </w:p>
        </w:tc>
      </w:tr>
    </w:tbl>
    <w:p>
      <w:pPr>
        <w:spacing w:before="0" w:after="40" w:line="283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8D0D2"/>
          <w:left w:val="single" w:sz="4" w:color="D8D0D2"/>
          <w:bottom w:val="single" w:sz="4" w:color="D8D0D2"/>
          <w:right w:val="single" w:sz="4" w:color="D8D0D2"/>
          <w:insideH w:val="single" w:sz="4" w:color="D8D0D2"/>
          <w:insideV w:val="single" w:sz="4" w:color="D8D0D2"/>
        </w:tblBorders>
      </w:tblPr>
      <w:tblGrid>
        <w:gridCol w:w="9858"/>
      </w:tblGrid>
      <w:tr>
        <w:tc>
          <w:tcPr>
            <w:tcW w:type="dxa" w:w="9858"/>
            <w:shd w:val="clear" w:color="auto" w:fill="FBEFF0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60"/>
            </w:pPr>
            <w:r/>
            <w:r>
              <w:rPr>
                <w:b/>
                <w:i w:val="0"/>
                <w:color w:val="7A0010"/>
                <w:sz w:val="16"/>
                <w:rFonts w:ascii="IBM Plex Sans" w:hAnsi="IBM Plex Sans" w:cs="IBM Plex Sans"/>
              </w:rPr>
              <w:t>A DISTÂNCIA ENTRE O DECLARADO E O MEDIDO É O PRIMEIRO ACHADO DO MAPA</w:t>
            </w:r>
          </w:p>
          <w:p>
            <w:pPr>
              <w:spacing w:after="60" w:line="283" w:lineRule="auto"/>
            </w:pPr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O slide de 28/08 declara que o canal Pago responde por 16% da origem do contato. O GA4, sobre 987.566 sessões nos domínios B2B em 21 meses, mede Pago em 0,8%. Vinte vezes de diferença.</w:t>
            </w:r>
          </w:p>
          <w:p>
            <w:pPr>
              <w:spacing w:after="60" w:line="283" w:lineRule="auto"/>
            </w:pPr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As duas leituras não medem a mesma coisa, origem de contato contra origem de sessão, e parte da distância é isso. Mas o próprio slide anota que campanha paga para WhatsApp entra como Direto, e a auditoria de rastreamento achou o evento de compra preso ao gatilho errado. A hipótese simples é que o pago existe e não está sendo atribuído.</w:t>
            </w:r>
          </w:p>
          <w:p>
            <w:pPr>
              <w:spacing w:after="0" w:line="283" w:lineRule="auto"/>
            </w:pPr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No mesmo período, R$ 10.121.333 de mídia rodaram nas duas contas. Nenhuma delas separa B2B de B2C, então esse número ainda não é o investimento do recorte contratado.</w:t>
            </w:r>
          </w:p>
        </w:tc>
      </w:tr>
    </w:tbl>
    <w:p>
      <w:pPr>
        <w:spacing w:before="0" w:after="40" w:line="283" w:lineRule="auto"/>
      </w:pPr>
    </w:p>
    <w:p>
      <w:r>
        <w:br w:type="page"/>
      </w:r>
    </w:p>
    <w:p>
      <w:pPr>
        <w:spacing w:before="400" w:after="80"/>
      </w:pPr>
      <w:r>
        <w:rPr>
          <w:b/>
          <w:i w:val="0"/>
          <w:color w:val="970013"/>
          <w:sz w:val="26"/>
          <w:rFonts w:ascii="IBM Plex Mono" w:hAnsi="IBM Plex Mono" w:cs="IBM Plex Mono"/>
        </w:rPr>
        <w:t xml:space="preserve">03   </w:t>
      </w:r>
      <w:r>
        <w:rPr>
          <w:b/>
          <w:i w:val="0"/>
          <w:color w:val="1A1416"/>
          <w:sz w:val="30"/>
          <w:rFonts w:ascii="IBM Plex Sans" w:hAnsi="IBM Plex Sans" w:cs="IBM Plex Sans"/>
        </w:rPr>
        <w:t>Os sete números que decidem o Comitê 1</w:t>
      </w:r>
    </w:p>
    <w:p>
      <w:pPr>
        <w:spacing w:before="40" w:after="200"/>
        <w:pBdr>
          <w:bottom w:val="single" w:sz="8" w:space="1" w:color="CFC6C8"/>
        </w:pBdr>
      </w:pPr>
    </w:p>
    <w:p>
      <w:pPr>
        <w:spacing w:before="0" w:after="160" w:line="283" w:lineRule="auto"/>
      </w:pPr>
      <w:r>
        <w:rPr>
          <w:b w:val="0"/>
          <w:i w:val="0"/>
          <w:color w:val="5E5458"/>
          <w:sz w:val="20"/>
          <w:rFonts w:ascii="IBM Plex Sans" w:hAnsi="IBM Plex Sans" w:cs="IBM Plex Sans"/>
        </w:rPr>
        <w:t>Nenhum deles depende de ferramenta nova. Quatro foram prometidos no kick-off para 09/09, com dono nomeado, e nenhum chegou.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0D2"/>
          <w:left w:val="single" w:sz="4" w:color="D8D0D2"/>
          <w:bottom w:val="single" w:sz="4" w:color="D8D0D2"/>
          <w:right w:val="single" w:sz="4" w:color="D8D0D2"/>
          <w:insideH w:val="single" w:sz="4" w:color="D8D0D2"/>
          <w:insideV w:val="single" w:sz="4" w:color="D8D0D2"/>
        </w:tblBorders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454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IBM Plex Sans" w:hAnsi="IBM Plex Sans" w:cs="IBM Plex Sans"/>
              </w:rPr>
              <w:t>#</w:t>
            </w:r>
          </w:p>
        </w:tc>
        <w:tc>
          <w:tcPr>
            <w:tcW w:type="dxa" w:w="2438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IBM Plex Sans" w:hAnsi="IBM Plex Sans" w:cs="IBM Plex Sans"/>
              </w:rPr>
              <w:t>O NÚMERO</w:t>
            </w:r>
          </w:p>
        </w:tc>
        <w:tc>
          <w:tcPr>
            <w:tcW w:type="dxa" w:w="3742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IBM Plex Sans" w:hAnsi="IBM Plex Sans" w:cs="IBM Plex Sans"/>
              </w:rPr>
              <w:t>PARA QUE SERVE</w:t>
            </w:r>
          </w:p>
        </w:tc>
        <w:tc>
          <w:tcPr>
            <w:tcW w:type="dxa" w:w="1644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IBM Plex Sans" w:hAnsi="IBM Plex Sans" w:cs="IBM Plex Sans"/>
              </w:rPr>
              <w:t>DONO</w:t>
            </w:r>
          </w:p>
        </w:tc>
        <w:tc>
          <w:tcPr>
            <w:tcW w:type="dxa" w:w="1247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IBM Plex Sans" w:hAnsi="IBM Plex Sans" w:cs="IBM Plex Sans"/>
              </w:rPr>
              <w:t>PRAZO</w:t>
            </w:r>
          </w:p>
        </w:tc>
      </w:tr>
      <w:tr>
        <w:tc>
          <w:tcPr>
            <w:tcW w:type="dxa" w:w="45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1</w:t>
            </w:r>
          </w:p>
        </w:tc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Ticket médio de entrada, por vertical e segmento</w:t>
            </w:r>
          </w:p>
        </w:tc>
        <w:tc>
          <w:tcPr>
            <w:tcW w:type="dxa" w:w="3742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Converte contrato novo em receita. Sem ele, N não vira R$ e o forecast não sai do lugar.</w:t>
            </w:r>
          </w:p>
        </w:tc>
        <w:tc>
          <w:tcPr>
            <w:tcW w:type="dxa" w:w="164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Matheus Rodrigues + Iuna Scheffler</w:t>
            </w:r>
          </w:p>
        </w:tc>
        <w:tc>
          <w:tcPr>
            <w:tcW w:type="dxa" w:w="124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A32218"/>
                <w:sz w:val="18"/>
                <w:rFonts w:ascii="IBM Plex Mono" w:hAnsi="IBM Plex Mono" w:cs="IBM Plex Mono"/>
              </w:rPr>
              <w:t>09/09, vencido</w:t>
            </w:r>
          </w:p>
        </w:tc>
      </w:tr>
      <w:tr>
        <w:tc>
          <w:tcPr>
            <w:tcW w:type="dxa" w:w="45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2</w:t>
            </w:r>
          </w:p>
        </w:tc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Base ativa de anunciantes, por vertical, mês a mês</w:t>
            </w:r>
          </w:p>
        </w:tc>
        <w:tc>
          <w:tcPr>
            <w:tcW w:type="dxa" w:w="3742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É o denominador de churn, de CAC e de LTV ao mesmo tempo. Três indicadores presos num número só.</w:t>
            </w:r>
          </w:p>
        </w:tc>
        <w:tc>
          <w:tcPr>
            <w:tcW w:type="dxa" w:w="164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Leonardo Rosa</w:t>
            </w:r>
          </w:p>
        </w:tc>
        <w:tc>
          <w:tcPr>
            <w:tcW w:type="dxa" w:w="124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A32218"/>
                <w:sz w:val="18"/>
                <w:rFonts w:ascii="IBM Plex Mono" w:hAnsi="IBM Plex Mono" w:cs="IBM Plex Mono"/>
              </w:rPr>
              <w:t>09/09, vencido</w:t>
            </w:r>
          </w:p>
        </w:tc>
      </w:tr>
      <w:tr>
        <w:tc>
          <w:tcPr>
            <w:tcW w:type="dxa" w:w="45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3</w:t>
            </w:r>
          </w:p>
        </w:tc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Contratos novos por mês, por canal e por vertical</w:t>
            </w:r>
          </w:p>
        </w:tc>
        <w:tc>
          <w:tcPr>
            <w:tcW w:type="dxa" w:w="3742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É o N de onde tudo desce, e é o denominador que falta para o CAC existir.</w:t>
            </w:r>
          </w:p>
        </w:tc>
        <w:tc>
          <w:tcPr>
            <w:tcW w:type="dxa" w:w="164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Leonardo Rosa + Carolina Dallolio</w:t>
            </w:r>
          </w:p>
        </w:tc>
        <w:tc>
          <w:tcPr>
            <w:tcW w:type="dxa" w:w="124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A32218"/>
                <w:sz w:val="18"/>
                <w:rFonts w:ascii="IBM Plex Mono" w:hAnsi="IBM Plex Mono" w:cs="IBM Plex Mono"/>
              </w:rPr>
              <w:t>09/09, vencido</w:t>
            </w:r>
          </w:p>
        </w:tc>
      </w:tr>
      <w:tr>
        <w:tc>
          <w:tcPr>
            <w:tcW w:type="dxa" w:w="45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4</w:t>
            </w:r>
          </w:p>
        </w:tc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P&amp;L por vertical, com mídia e imposto abertos</w:t>
            </w:r>
          </w:p>
        </w:tc>
        <w:tc>
          <w:tcPr>
            <w:tcW w:type="dxa" w:w="3742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Converte receita em truput. A meta do projeto é margem de contribuição do mês 12 sobre a do mês 0: sem P&amp;L ela não tem denominador.</w:t>
            </w:r>
          </w:p>
        </w:tc>
        <w:tc>
          <w:tcPr>
            <w:tcW w:type="dxa" w:w="164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Matheus Rodrigues</w:t>
            </w:r>
          </w:p>
        </w:tc>
        <w:tc>
          <w:tcPr>
            <w:tcW w:type="dxa" w:w="124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A32218"/>
                <w:sz w:val="18"/>
                <w:rFonts w:ascii="IBM Plex Mono" w:hAnsi="IBM Plex Mono" w:cs="IBM Plex Mono"/>
              </w:rPr>
              <w:t>09/09, vencido</w:t>
            </w:r>
          </w:p>
        </w:tc>
      </w:tr>
      <w:tr>
        <w:tc>
          <w:tcPr>
            <w:tcW w:type="dxa" w:w="45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5</w:t>
            </w:r>
          </w:p>
        </w:tc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Churn desambiguado: de logo ou de receita</w:t>
            </w:r>
          </w:p>
        </w:tc>
        <w:tc>
          <w:tcPr>
            <w:tcW w:type="dxa" w:w="3742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Muda o ranking das alavancas. Para ser de receita sobre Classifieds B&amp;A, exigiria R$ 4,07 mi de contrato novo por mês, 114% da carteira ao ano.</w:t>
            </w:r>
          </w:p>
        </w:tc>
        <w:tc>
          <w:tcPr>
            <w:tcW w:type="dxa" w:w="164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Iuna Scheffler + Carolina Dallolio</w:t>
            </w:r>
          </w:p>
        </w:tc>
        <w:tc>
          <w:tcPr>
            <w:tcW w:type="dxa" w:w="124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8A5A00"/>
                <w:sz w:val="18"/>
                <w:rFonts w:ascii="IBM Plex Mono" w:hAnsi="IBM Plex Mono" w:cs="IBM Plex Mono"/>
              </w:rPr>
              <w:t>pendência 22, em aberto</w:t>
            </w:r>
          </w:p>
        </w:tc>
      </w:tr>
      <w:tr>
        <w:tc>
          <w:tcPr>
            <w:tcW w:type="dxa" w:w="45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6</w:t>
            </w:r>
          </w:p>
        </w:tc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Net de receita de Imóveis, mês a mês</w:t>
            </w:r>
          </w:p>
        </w:tc>
        <w:tc>
          <w:tcPr>
            <w:tcW w:type="dxa" w:w="3742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Dimensiona a meta zero. A série A1 mostra Classifieds B&amp;A crescendo 6,4%, o que não confirma o net negativo declarado no kick-off.</w:t>
            </w:r>
          </w:p>
        </w:tc>
        <w:tc>
          <w:tcPr>
            <w:tcW w:type="dxa" w:w="164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Iuna Scheffler</w:t>
            </w:r>
          </w:p>
        </w:tc>
        <w:tc>
          <w:tcPr>
            <w:tcW w:type="dxa" w:w="124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A32218"/>
                <w:sz w:val="18"/>
                <w:rFonts w:ascii="IBM Plex Mono" w:hAnsi="IBM Plex Mono" w:cs="IBM Plex Mono"/>
              </w:rPr>
              <w:t>10/09, vencido</w:t>
            </w:r>
          </w:p>
        </w:tc>
      </w:tr>
      <w:tr>
        <w:tc>
          <w:tcPr>
            <w:tcW w:type="dxa" w:w="45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7</w:t>
            </w:r>
          </w:p>
        </w:tc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Metas 2026 por etapa do fluxo, receita por vertical, overview do ano</w:t>
            </w:r>
          </w:p>
        </w:tc>
        <w:tc>
          <w:tcPr>
            <w:tcW w:type="dxa" w:w="3742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É a âncora contra a qual a meta do projeto é comparada. Sem ela, a régua existe e o número não.</w:t>
            </w:r>
          </w:p>
        </w:tc>
        <w:tc>
          <w:tcPr>
            <w:tcW w:type="dxa" w:w="164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Matheus Rodrigues + Iuna Scheffler</w:t>
            </w:r>
          </w:p>
        </w:tc>
        <w:tc>
          <w:tcPr>
            <w:tcW w:type="dxa" w:w="124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A32218"/>
                <w:sz w:val="18"/>
                <w:rFonts w:ascii="IBM Plex Mono" w:hAnsi="IBM Plex Mono" w:cs="IBM Plex Mono"/>
              </w:rPr>
              <w:t>09/09, vencido</w:t>
            </w:r>
          </w:p>
        </w:tc>
      </w:tr>
    </w:tbl>
    <w:p>
      <w:pPr>
        <w:spacing w:before="0" w:after="40" w:line="283" w:lineRule="auto"/>
      </w:pPr>
    </w:p>
    <w:p>
      <w:pPr>
        <w:spacing w:before="400" w:after="80"/>
      </w:pPr>
      <w:r>
        <w:rPr>
          <w:b/>
          <w:i w:val="0"/>
          <w:color w:val="970013"/>
          <w:sz w:val="26"/>
          <w:rFonts w:ascii="IBM Plex Mono" w:hAnsi="IBM Plex Mono" w:cs="IBM Plex Mono"/>
        </w:rPr>
        <w:t xml:space="preserve">04   </w:t>
      </w:r>
      <w:r>
        <w:rPr>
          <w:b/>
          <w:i w:val="0"/>
          <w:color w:val="1A1416"/>
          <w:sz w:val="30"/>
          <w:rFonts w:ascii="IBM Plex Sans" w:hAnsi="IBM Plex Sans" w:cs="IBM Plex Sans"/>
        </w:rPr>
        <w:t>A conta que não fecha: unit economics</w:t>
      </w:r>
    </w:p>
    <w:p>
      <w:pPr>
        <w:spacing w:before="40" w:after="200"/>
        <w:pBdr>
          <w:bottom w:val="single" w:sz="8" w:space="1" w:color="CFC6C8"/>
        </w:pBdr>
      </w:pPr>
    </w:p>
    <w:p>
      <w:pPr>
        <w:spacing w:before="0" w:after="160" w:line="283" w:lineRule="auto"/>
      </w:pPr>
      <w:r>
        <w:rPr>
          <w:b w:val="0"/>
          <w:i w:val="0"/>
          <w:color w:val="5E5458"/>
          <w:sz w:val="20"/>
          <w:rFonts w:ascii="IBM Plex Sans" w:hAnsi="IBM Plex Sans" w:cs="IBM Plex Sans"/>
        </w:rPr>
        <w:t>É o bloco que responde se o negócio compra cliente barato ou caro, e ele está inteiramente vazio. Não por falta de ferramenta: falta o denominador.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0D2"/>
          <w:left w:val="single" w:sz="4" w:color="D8D0D2"/>
          <w:bottom w:val="single" w:sz="4" w:color="D8D0D2"/>
          <w:right w:val="single" w:sz="4" w:color="D8D0D2"/>
          <w:insideH w:val="single" w:sz="4" w:color="D8D0D2"/>
          <w:insideV w:val="single" w:sz="4" w:color="D8D0D2"/>
        </w:tblBorders>
      </w:tblPr>
      <w:tblGrid>
        <w:gridCol w:w="3286"/>
        <w:gridCol w:w="3286"/>
        <w:gridCol w:w="3286"/>
      </w:tblGrid>
      <w:tr>
        <w:tc>
          <w:tcPr>
            <w:tcW w:type="dxa" w:w="2494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IBM Plex Sans" w:hAnsi="IBM Plex Sans" w:cs="IBM Plex Sans"/>
              </w:rPr>
              <w:t>INDICADOR</w:t>
            </w:r>
          </w:p>
        </w:tc>
        <w:tc>
          <w:tcPr>
            <w:tcW w:type="dxa" w:w="1247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IBM Plex Sans" w:hAnsi="IBM Plex Sans" w:cs="IBM Plex Sans"/>
              </w:rPr>
              <w:t>COBERTURA</w:t>
            </w:r>
          </w:p>
        </w:tc>
        <w:tc>
          <w:tcPr>
            <w:tcW w:type="dxa" w:w="5783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IBM Plex Sans" w:hAnsi="IBM Plex Sans" w:cs="IBM Plex Sans"/>
              </w:rPr>
              <w:t>POR QUE AINDA NÃO EXISTE</w:t>
            </w:r>
          </w:p>
        </w:tc>
      </w:tr>
      <w:tr>
        <w:tc>
          <w:tcPr>
            <w:tcW w:type="dxa" w:w="249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CAC blended</w:t>
            </w:r>
          </w:p>
        </w:tc>
        <w:tc>
          <w:tcPr>
            <w:tcW w:type="dxa" w:w="124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A32218"/>
                <w:sz w:val="18"/>
                <w:rFonts w:ascii="IBM Plex Mono" w:hAnsi="IBM Plex Mono" w:cs="IBM Plex Mono"/>
              </w:rPr>
              <w:t>Falta</w:t>
            </w:r>
          </w:p>
        </w:tc>
        <w:tc>
          <w:tcPr>
            <w:tcW w:type="dxa" w:w="5783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Numerador parcial e denominador ausente.</w:t>
            </w:r>
          </w:p>
        </w:tc>
      </w:tr>
      <w:tr>
        <w:tc>
          <w:tcPr>
            <w:tcW w:type="dxa" w:w="249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CAC pago</w:t>
            </w:r>
          </w:p>
        </w:tc>
        <w:tc>
          <w:tcPr>
            <w:tcW w:type="dxa" w:w="124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8A5A00"/>
                <w:sz w:val="18"/>
                <w:rFonts w:ascii="IBM Plex Mono" w:hAnsi="IBM Plex Mono" w:cs="IBM Plex Mono"/>
              </w:rPr>
              <w:t>Parcial</w:t>
            </w:r>
          </w:p>
        </w:tc>
        <w:tc>
          <w:tcPr>
            <w:tcW w:type="dxa" w:w="5783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A mídia do Google está medida mas misturada com B2C; novos clientes por canal ainda não existe.</w:t>
            </w:r>
          </w:p>
        </w:tc>
      </w:tr>
      <w:tr>
        <w:tc>
          <w:tcPr>
            <w:tcW w:type="dxa" w:w="249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CAC por segmento</w:t>
            </w:r>
          </w:p>
        </w:tc>
        <w:tc>
          <w:tcPr>
            <w:tcW w:type="dxa" w:w="124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A32218"/>
                <w:sz w:val="18"/>
                <w:rFonts w:ascii="IBM Plex Mono" w:hAnsi="IBM Plex Mono" w:cs="IBM Plex Mono"/>
              </w:rPr>
              <w:t>Falta</w:t>
            </w:r>
          </w:p>
        </w:tc>
        <w:tc>
          <w:tcPr>
            <w:tcW w:type="dxa" w:w="5783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Exige segmentação de cliente que o item A6 nunca entregou.</w:t>
            </w:r>
          </w:p>
        </w:tc>
      </w:tr>
      <w:tr>
        <w:tc>
          <w:tcPr>
            <w:tcW w:type="dxa" w:w="249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LTV / CAC</w:t>
            </w:r>
          </w:p>
        </w:tc>
        <w:tc>
          <w:tcPr>
            <w:tcW w:type="dxa" w:w="124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A32218"/>
                <w:sz w:val="18"/>
                <w:rFonts w:ascii="IBM Plex Mono" w:hAnsi="IBM Plex Mono" w:cs="IBM Plex Mono"/>
              </w:rPr>
              <w:t>Falta</w:t>
            </w:r>
          </w:p>
        </w:tc>
        <w:tc>
          <w:tcPr>
            <w:tcW w:type="dxa" w:w="5783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Os dois lados da razão estão ausentes.</w:t>
            </w:r>
          </w:p>
        </w:tc>
      </w:tr>
      <w:tr>
        <w:tc>
          <w:tcPr>
            <w:tcW w:type="dxa" w:w="249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CAC payback</w:t>
            </w:r>
          </w:p>
        </w:tc>
        <w:tc>
          <w:tcPr>
            <w:tcW w:type="dxa" w:w="124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A32218"/>
                <w:sz w:val="18"/>
                <w:rFonts w:ascii="IBM Plex Mono" w:hAnsi="IBM Plex Mono" w:cs="IBM Plex Mono"/>
              </w:rPr>
              <w:t>Falta</w:t>
            </w:r>
          </w:p>
        </w:tc>
        <w:tc>
          <w:tcPr>
            <w:tcW w:type="dxa" w:w="5783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Depende de CAC e de margem.</w:t>
            </w:r>
          </w:p>
        </w:tc>
      </w:tr>
      <w:tr>
        <w:tc>
          <w:tcPr>
            <w:tcW w:type="dxa" w:w="249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Margem de contribuição por anunciante</w:t>
            </w:r>
          </w:p>
        </w:tc>
        <w:tc>
          <w:tcPr>
            <w:tcW w:type="dxa" w:w="124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A32218"/>
                <w:sz w:val="18"/>
                <w:rFonts w:ascii="IBM Plex Mono" w:hAnsi="IBM Plex Mono" w:cs="IBM Plex Mono"/>
              </w:rPr>
              <w:t>Falta</w:t>
            </w:r>
          </w:p>
        </w:tc>
        <w:tc>
          <w:tcPr>
            <w:tcW w:type="dxa" w:w="5783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Não há P&amp;L por vertical. A leitura de margem perto de 100% é estimativa, não medição.</w:t>
            </w:r>
          </w:p>
        </w:tc>
      </w:tr>
      <w:tr>
        <w:tc>
          <w:tcPr>
            <w:tcW w:type="dxa" w:w="249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ROAS por canal</w:t>
            </w:r>
          </w:p>
        </w:tc>
        <w:tc>
          <w:tcPr>
            <w:tcW w:type="dxa" w:w="124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A32218"/>
                <w:sz w:val="18"/>
                <w:rFonts w:ascii="IBM Plex Mono" w:hAnsi="IBM Plex Mono" w:cs="IBM Plex Mono"/>
              </w:rPr>
              <w:t>Falta</w:t>
            </w:r>
          </w:p>
        </w:tc>
        <w:tc>
          <w:tcPr>
            <w:tcW w:type="dxa" w:w="5783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Exige receita atribuida por canal, o que a atribuição atual não sustenta.</w:t>
            </w:r>
          </w:p>
        </w:tc>
      </w:tr>
      <w:tr>
        <w:tc>
          <w:tcPr>
            <w:tcW w:type="dxa" w:w="249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MER (Marketing Efficiency Ratio)</w:t>
            </w:r>
          </w:p>
        </w:tc>
        <w:tc>
          <w:tcPr>
            <w:tcW w:type="dxa" w:w="124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8A5A00"/>
                <w:sz w:val="18"/>
                <w:rFonts w:ascii="IBM Plex Mono" w:hAnsi="IBM Plex Mono" w:cs="IBM Plex Mono"/>
              </w:rPr>
              <w:t>Parcial</w:t>
            </w:r>
          </w:p>
        </w:tc>
        <w:tc>
          <w:tcPr>
            <w:tcW w:type="dxa" w:w="5783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A receita total está medida na série A1; a mídia total é parcial. Dá para calcular com ressalva declarada.</w:t>
            </w:r>
          </w:p>
        </w:tc>
      </w:tr>
      <w:tr>
        <w:tc>
          <w:tcPr>
            <w:tcW w:type="dxa" w:w="249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Custo do time comercial sobre receita nova</w:t>
            </w:r>
          </w:p>
        </w:tc>
        <w:tc>
          <w:tcPr>
            <w:tcW w:type="dxa" w:w="124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A32218"/>
                <w:sz w:val="18"/>
                <w:rFonts w:ascii="IBM Plex Mono" w:hAnsi="IBM Plex Mono" w:cs="IBM Plex Mono"/>
              </w:rPr>
              <w:t>Falta</w:t>
            </w:r>
          </w:p>
        </w:tc>
        <w:tc>
          <w:tcPr>
            <w:tcW w:type="dxa" w:w="5783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RH e financeiro. Sem acesso.</w:t>
            </w:r>
          </w:p>
        </w:tc>
      </w:tr>
    </w:tbl>
    <w:p>
      <w:pPr>
        <w:spacing w:before="0" w:after="40" w:line="283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8D0D2"/>
          <w:left w:val="single" w:sz="4" w:color="D8D0D2"/>
          <w:bottom w:val="single" w:sz="4" w:color="D8D0D2"/>
          <w:right w:val="single" w:sz="4" w:color="D8D0D2"/>
          <w:insideH w:val="single" w:sz="4" w:color="D8D0D2"/>
          <w:insideV w:val="single" w:sz="4" w:color="D8D0D2"/>
        </w:tblBorders>
      </w:tblPr>
      <w:tblGrid>
        <w:gridCol w:w="9858"/>
      </w:tblGrid>
      <w:tr>
        <w:tc>
          <w:tcPr>
            <w:tcW w:type="dxa" w:w="9858"/>
            <w:shd w:val="clear" w:color="auto" w:fill="FBEFF0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60"/>
            </w:pPr>
            <w:r/>
            <w:r>
              <w:rPr>
                <w:b/>
                <w:i w:val="0"/>
                <w:color w:val="7A0010"/>
                <w:sz w:val="16"/>
                <w:rFonts w:ascii="IBM Plex Sans" w:hAnsi="IBM Plex Sans" w:cs="IBM Plex Sans"/>
              </w:rPr>
              <w:t>AS TRÊS PERGUNTAS QUE ESTE BLOCO RESPONDE, E O ESTADO DE CADA UMA</w:t>
            </w:r>
          </w:p>
          <w:p>
            <w:pPr>
              <w:spacing w:after="60" w:line="283" w:lineRule="auto"/>
            </w:pPr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Conhecemos a margem de contribuição? Não. O que existe é uma declaração de kick-off, margem bruta perto de 100%, sem COGS de produto, com mídia e imposto como únicos ofensores, e sem abertura por linha. Margem bruta não é margem de contribuição, e o P&amp;L por vertical que converteria uma na outra não chegou.</w:t>
            </w:r>
          </w:p>
          <w:p>
            <w:pPr>
              <w:spacing w:after="60" w:line="283" w:lineRule="auto"/>
            </w:pPr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Conhecemos o CAC e o custo por venda separadamente? Não, e a Trava de Cegueira pontua essa dimensão em 0 de 5. O investimento é mensurável; a contagem de clientes novos não existe em camada nenhuma. Falta o denominador, não a ferramenta.</w:t>
            </w:r>
          </w:p>
          <w:p>
            <w:pPr>
              <w:spacing w:after="0" w:line="283" w:lineRule="auto"/>
            </w:pPr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Dá para apurar por canal de aquisição? Hoje não, por três bloqueios independentes: a atribuição do canal Direto está furada por declaração do próprio cliente, o investimento de mídia vive fora do dashboard de funil, e nenhuma das contas separa B2B de B2C. Resolver um sem os outros dois não produz CAC por canal.</w:t>
            </w:r>
          </w:p>
        </w:tc>
      </w:tr>
    </w:tbl>
    <w:p>
      <w:pPr>
        <w:spacing w:before="0" w:after="40" w:line="283" w:lineRule="auto"/>
      </w:pPr>
    </w:p>
    <w:p>
      <w:r>
        <w:br w:type="page"/>
      </w:r>
    </w:p>
    <w:p>
      <w:pPr>
        <w:spacing w:before="400" w:after="80"/>
      </w:pPr>
      <w:r>
        <w:rPr>
          <w:b/>
          <w:i w:val="0"/>
          <w:color w:val="970013"/>
          <w:sz w:val="26"/>
          <w:rFonts w:ascii="IBM Plex Mono" w:hAnsi="IBM Plex Mono" w:cs="IBM Plex Mono"/>
        </w:rPr>
        <w:t xml:space="preserve">05   </w:t>
      </w:r>
      <w:r>
        <w:rPr>
          <w:b/>
          <w:i w:val="0"/>
          <w:color w:val="1A1416"/>
          <w:sz w:val="30"/>
          <w:rFonts w:ascii="IBM Plex Sans" w:hAnsi="IBM Plex Sans" w:cs="IBM Plex Sans"/>
        </w:rPr>
        <w:t>O catálogo, trava por trava</w:t>
      </w:r>
    </w:p>
    <w:p>
      <w:pPr>
        <w:spacing w:before="40" w:after="200"/>
        <w:pBdr>
          <w:bottom w:val="single" w:sz="8" w:space="1" w:color="CFC6C8"/>
        </w:pBdr>
      </w:pPr>
    </w:p>
    <w:p>
      <w:pPr>
        <w:spacing w:before="0" w:after="160" w:line="283" w:lineRule="auto"/>
      </w:pPr>
      <w:r>
        <w:rPr>
          <w:b w:val="0"/>
          <w:i w:val="0"/>
          <w:color w:val="5E5458"/>
          <w:sz w:val="20"/>
          <w:rFonts w:ascii="IBM Plex Sans" w:hAnsi="IBM Plex Sans" w:cs="IBM Plex Sans"/>
        </w:rPr>
        <w:t>As sete travas de receita, na ordem em que o método as percorre, de cima do funil para baixo. A coluna Hoje traz o valor quando ele existe, e o estado quando não existe.</w:t>
      </w:r>
    </w:p>
    <w:p>
      <w:pPr>
        <w:spacing w:before="280" w:after="40"/>
      </w:pPr>
      <w:r>
        <w:rPr>
          <w:b/>
          <w:i w:val="0"/>
          <w:color w:val="1A1416"/>
          <w:sz w:val="23"/>
          <w:rFonts w:ascii="IBM Plex Sans" w:hAnsi="IBM Plex Sans" w:cs="IBM Plex Sans"/>
        </w:rPr>
        <w:t>T7 Exposição  ·  quanta gente certa vê a oferta</w:t>
      </w:r>
      <w:r>
        <w:rPr>
          <w:b/>
          <w:i w:val="0"/>
          <w:color w:val="5E5458"/>
          <w:sz w:val="17"/>
          <w:rFonts w:ascii="IBM Plex Mono" w:hAnsi="IBM Plex Mono" w:cs="IBM Plex Mono"/>
        </w:rPr>
        <w:t xml:space="preserve">   6/10 com número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0D2"/>
          <w:left w:val="single" w:sz="4" w:color="D8D0D2"/>
          <w:bottom w:val="single" w:sz="4" w:color="D8D0D2"/>
          <w:right w:val="single" w:sz="4" w:color="D8D0D2"/>
          <w:insideH w:val="single" w:sz="4" w:color="D8D0D2"/>
          <w:insideV w:val="single" w:sz="4" w:color="D8D0D2"/>
        </w:tblBorders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2268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IBM Plex Sans" w:hAnsi="IBM Plex Sans" w:cs="IBM Plex Sans"/>
              </w:rPr>
              <w:t>INDICADOR</w:t>
            </w:r>
          </w:p>
        </w:tc>
        <w:tc>
          <w:tcPr>
            <w:tcW w:type="dxa" w:w="454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IBM Plex Sans" w:hAnsi="IBM Plex Sans" w:cs="IBM Plex Sans"/>
              </w:rPr>
              <w:t>P</w:t>
            </w:r>
          </w:p>
        </w:tc>
        <w:tc>
          <w:tcPr>
            <w:tcW w:type="dxa" w:w="1077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IBM Plex Sans" w:hAnsi="IBM Plex Sans" w:cs="IBM Plex Sans"/>
              </w:rPr>
              <w:t>COBERTURA</w:t>
            </w:r>
          </w:p>
        </w:tc>
        <w:tc>
          <w:tcPr>
            <w:tcW w:type="dxa" w:w="1871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IBM Plex Sans" w:hAnsi="IBM Plex Sans" w:cs="IBM Plex Sans"/>
              </w:rPr>
              <w:t>HOJE</w:t>
            </w:r>
          </w:p>
        </w:tc>
        <w:tc>
          <w:tcPr>
            <w:tcW w:type="dxa" w:w="3855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IBM Plex Sans" w:hAnsi="IBM Plex Sans" w:cs="IBM Plex Sans"/>
              </w:rPr>
              <w:t>O QUE FALTA PARA TER</w:t>
            </w:r>
          </w:p>
        </w:tc>
      </w:tr>
      <w:t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Investimento em mídia paga B2B</w:t>
            </w:r>
          </w:p>
        </w:tc>
        <w:tc>
          <w:tcPr>
            <w:tcW w:type="dxa" w:w="45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P0</w:t>
            </w:r>
          </w:p>
        </w:tc>
        <w:tc>
          <w:tcPr>
            <w:tcW w:type="dxa" w:w="107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8A5A00"/>
                <w:sz w:val="18"/>
                <w:rFonts w:ascii="IBM Plex Mono" w:hAnsi="IBM Plex Mono" w:cs="IBM Plex Mono"/>
              </w:rPr>
              <w:t>Parcial</w:t>
            </w:r>
          </w:p>
        </w:tc>
        <w:tc>
          <w:tcPr>
            <w:tcW w:type="dxa" w:w="187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R$ 10,12 mi</w:t>
            </w:r>
          </w:p>
        </w:tc>
        <w:tc>
          <w:tcPr>
            <w:tcW w:type="dxa" w:w="385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Coleta de 14/09 sobre jan/2025 a set/2026: Meta R$ 7,38 mi em 90 campanhas e Google R$ 2,75 mi em 23. O Meta pesa 2,7 vezes o Google, o que inverte a leitura que o projeto tinha quando ele …</w:t>
            </w:r>
          </w:p>
        </w:tc>
      </w:tr>
      <w:t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Impressões</w:t>
            </w:r>
          </w:p>
        </w:tc>
        <w:tc>
          <w:tcPr>
            <w:tcW w:type="dxa" w:w="45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P0</w:t>
            </w:r>
          </w:p>
        </w:tc>
        <w:tc>
          <w:tcPr>
            <w:tcW w:type="dxa" w:w="107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8A5A00"/>
                <w:sz w:val="18"/>
                <w:rFonts w:ascii="IBM Plex Mono" w:hAnsi="IBM Plex Mono" w:cs="IBM Plex Mono"/>
              </w:rPr>
              <w:t>Parcial</w:t>
            </w:r>
          </w:p>
        </w:tc>
        <w:tc>
          <w:tcPr>
            <w:tcW w:type="dxa" w:w="187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1,94 bi</w:t>
            </w:r>
          </w:p>
        </w:tc>
        <w:tc>
          <w:tcPr>
            <w:tcW w:type="dxa" w:w="385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1,88 bi no Meta e 56,4 mi no Google, jan/2025 a set/2026. O Google só tem 11 meses com dado: faltam nov/2025 a abr/2026 inteiros. Nenhuma das duas contas separa B2B de B2C, então isto ainda…</w:t>
            </w:r>
          </w:p>
        </w:tc>
      </w:tr>
      <w:t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Alcance (público único)</w:t>
            </w:r>
          </w:p>
        </w:tc>
        <w:tc>
          <w:tcPr>
            <w:tcW w:type="dxa" w:w="45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P1</w:t>
            </w:r>
          </w:p>
        </w:tc>
        <w:tc>
          <w:tcPr>
            <w:tcW w:type="dxa" w:w="107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8A5A00"/>
                <w:sz w:val="18"/>
                <w:rFonts w:ascii="IBM Plex Mono" w:hAnsi="IBM Plex Mono" w:cs="IBM Plex Mono"/>
              </w:rPr>
              <w:t>Parcial</w:t>
            </w:r>
          </w:p>
        </w:tc>
        <w:tc>
          <w:tcPr>
            <w:tcW w:type="dxa" w:w="187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1,41 bi</w:t>
            </w:r>
          </w:p>
        </w:tc>
        <w:tc>
          <w:tcPr>
            <w:tcW w:type="dxa" w:w="385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1,41 bi de alcance no Meta, com série mensal contínua de 21 meses. Nenhuma das duas contas separa B2B de B2C, então isto ainda não é o número do recorte contratado.</w:t>
            </w:r>
          </w:p>
        </w:tc>
      </w:tr>
      <w:t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Frequência média</w:t>
            </w:r>
          </w:p>
        </w:tc>
        <w:tc>
          <w:tcPr>
            <w:tcW w:type="dxa" w:w="45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P1</w:t>
            </w:r>
          </w:p>
        </w:tc>
        <w:tc>
          <w:tcPr>
            <w:tcW w:type="dxa" w:w="107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8A5A00"/>
                <w:sz w:val="18"/>
                <w:rFonts w:ascii="IBM Plex Mono" w:hAnsi="IBM Plex Mono" w:cs="IBM Plex Mono"/>
              </w:rPr>
              <w:t>Parcial</w:t>
            </w:r>
          </w:p>
        </w:tc>
        <w:tc>
          <w:tcPr>
            <w:tcW w:type="dxa" w:w="187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1,33 x</w:t>
            </w:r>
          </w:p>
        </w:tc>
        <w:tc>
          <w:tcPr>
            <w:tcW w:type="dxa" w:w="385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Derivável no Meta: 1,88 bi de impressões sobre 1,41 bi de alcance, 1,33 vezes na praça inteira. Nenhuma das duas contas separa B2B de B2C, então isto ainda não é o número do recorte contrat…</w:t>
            </w:r>
          </w:p>
        </w:tc>
      </w:tr>
      <w:t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CPM</w:t>
            </w:r>
          </w:p>
        </w:tc>
        <w:tc>
          <w:tcPr>
            <w:tcW w:type="dxa" w:w="45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P1</w:t>
            </w:r>
          </w:p>
        </w:tc>
        <w:tc>
          <w:tcPr>
            <w:tcW w:type="dxa" w:w="107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8A5A00"/>
                <w:sz w:val="18"/>
                <w:rFonts w:ascii="IBM Plex Mono" w:hAnsi="IBM Plex Mono" w:cs="IBM Plex Mono"/>
              </w:rPr>
              <w:t>Parcial</w:t>
            </w:r>
          </w:p>
        </w:tc>
        <w:tc>
          <w:tcPr>
            <w:tcW w:type="dxa" w:w="187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R$ 3,91 Meta · R$ 48,68 Google</w:t>
            </w:r>
          </w:p>
        </w:tc>
        <w:tc>
          <w:tcPr>
            <w:tcW w:type="dxa" w:w="385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R$ 3,91 no Meta na janela de 21 meses, e derivável no Google. O Google só tem 11 meses com dado: faltam nov/2025 a abr/2026 inteiros. Nenhuma das duas contas separa B2B de B2C, então isto a…</w:t>
            </w:r>
          </w:p>
        </w:tc>
      </w:tr>
      <w:t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Sessões orgânicas nos domínios B2B</w:t>
            </w:r>
          </w:p>
        </w:tc>
        <w:tc>
          <w:tcPr>
            <w:tcW w:type="dxa" w:w="45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P0</w:t>
            </w:r>
          </w:p>
        </w:tc>
        <w:tc>
          <w:tcPr>
            <w:tcW w:type="dxa" w:w="107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2F6B4F"/>
                <w:sz w:val="18"/>
                <w:rFonts w:ascii="IBM Plex Mono" w:hAnsi="IBM Plex Mono" w:cs="IBM Plex Mono"/>
              </w:rPr>
              <w:t>Medido</w:t>
            </w:r>
          </w:p>
        </w:tc>
        <w:tc>
          <w:tcPr>
            <w:tcW w:type="dxa" w:w="187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97.369 sessões</w:t>
            </w:r>
          </w:p>
        </w:tc>
        <w:tc>
          <w:tcPr>
            <w:tcW w:type="dxa" w:w="385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GA4 responde pela API nas 26 propriedades. Falta a OLX confirmar quais domínios estão no escopo B2B (item C1).</w:t>
            </w:r>
          </w:p>
        </w:tc>
      </w:tr>
      <w:t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Posição média nas keywords B2B estratégicas</w:t>
            </w:r>
          </w:p>
        </w:tc>
        <w:tc>
          <w:tcPr>
            <w:tcW w:type="dxa" w:w="45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P1</w:t>
            </w:r>
          </w:p>
        </w:tc>
        <w:tc>
          <w:tcPr>
            <w:tcW w:type="dxa" w:w="107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8A5A00"/>
                <w:sz w:val="18"/>
                <w:rFonts w:ascii="IBM Plex Mono" w:hAnsi="IBM Plex Mono" w:cs="IBM Plex Mono"/>
              </w:rPr>
              <w:t>A conferir</w:t>
            </w:r>
          </w:p>
        </w:tc>
        <w:tc>
          <w:tcPr>
            <w:tcW w:type="dxa" w:w="187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-</w:t>
            </w:r>
          </w:p>
        </w:tc>
        <w:tc>
          <w:tcPr>
            <w:tcW w:type="dxa" w:w="385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Declarado concedido no lote de 10/09 e NUNCA conferido na ferramenta, resíduo da pendência 18. O projeto já levou dois calotes assim: o GA4 chegou em nível Leitor e o Meta chegou com 'nenhu…</w:t>
            </w:r>
          </w:p>
        </w:tc>
      </w:tr>
      <w:t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Share of search vs. concorrentes B2B</w:t>
            </w:r>
          </w:p>
        </w:tc>
        <w:tc>
          <w:tcPr>
            <w:tcW w:type="dxa" w:w="45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P1</w:t>
            </w:r>
          </w:p>
        </w:tc>
        <w:tc>
          <w:tcPr>
            <w:tcW w:type="dxa" w:w="107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A32218"/>
                <w:sz w:val="18"/>
                <w:rFonts w:ascii="IBM Plex Mono" w:hAnsi="IBM Plex Mono" w:cs="IBM Plex Mono"/>
              </w:rPr>
              <w:t>Falta</w:t>
            </w:r>
          </w:p>
        </w:tc>
        <w:tc>
          <w:tcPr>
            <w:tcW w:type="dxa" w:w="187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-</w:t>
            </w:r>
          </w:p>
        </w:tc>
        <w:tc>
          <w:tcPr>
            <w:tcW w:type="dxa" w:w="385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Exige Trends mais uma lista de concorrentes diretos que ninguém definiu ainda.</w:t>
            </w:r>
          </w:p>
        </w:tc>
      </w:tr>
      <w:t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Menções em respostas de IA generativa</w:t>
            </w:r>
          </w:p>
        </w:tc>
        <w:tc>
          <w:tcPr>
            <w:tcW w:type="dxa" w:w="45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P2</w:t>
            </w:r>
          </w:p>
        </w:tc>
        <w:tc>
          <w:tcPr>
            <w:tcW w:type="dxa" w:w="107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A32218"/>
                <w:sz w:val="18"/>
                <w:rFonts w:ascii="IBM Plex Mono" w:hAnsi="IBM Plex Mono" w:cs="IBM Plex Mono"/>
              </w:rPr>
              <w:t>Falta</w:t>
            </w:r>
          </w:p>
        </w:tc>
        <w:tc>
          <w:tcPr>
            <w:tcW w:type="dxa" w:w="187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-</w:t>
            </w:r>
          </w:p>
        </w:tc>
        <w:tc>
          <w:tcPr>
            <w:tcW w:type="dxa" w:w="385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Não há monitoramento GEO. Itens D1 e D2 do checklist em branco.</w:t>
            </w:r>
          </w:p>
        </w:tc>
      </w:tr>
      <w:t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Base endereçável mapeada</w:t>
            </w:r>
          </w:p>
        </w:tc>
        <w:tc>
          <w:tcPr>
            <w:tcW w:type="dxa" w:w="45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P0</w:t>
            </w:r>
          </w:p>
        </w:tc>
        <w:tc>
          <w:tcPr>
            <w:tcW w:type="dxa" w:w="107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A32218"/>
                <w:sz w:val="18"/>
                <w:rFonts w:ascii="IBM Plex Mono" w:hAnsi="IBM Plex Mono" w:cs="IBM Plex Mono"/>
              </w:rPr>
              <w:t>Falta</w:t>
            </w:r>
          </w:p>
        </w:tc>
        <w:tc>
          <w:tcPr>
            <w:tcW w:type="dxa" w:w="187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-</w:t>
            </w:r>
          </w:p>
        </w:tc>
        <w:tc>
          <w:tcPr>
            <w:tcW w:type="dxa" w:w="385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Item A6 do checklist sem nenhuma entrega. Não existe dimensionamento do mercado alvo.</w:t>
            </w:r>
          </w:p>
        </w:tc>
      </w:tr>
    </w:tbl>
    <w:p>
      <w:pPr>
        <w:spacing w:before="0" w:after="40" w:line="283" w:lineRule="auto"/>
      </w:pPr>
    </w:p>
    <w:p>
      <w:pPr>
        <w:spacing w:before="280" w:after="40"/>
      </w:pPr>
      <w:r>
        <w:rPr>
          <w:b/>
          <w:i w:val="0"/>
          <w:color w:val="1A1416"/>
          <w:sz w:val="23"/>
          <w:rFonts w:ascii="IBM Plex Sans" w:hAnsi="IBM Plex Sans" w:cs="IBM Plex Sans"/>
        </w:rPr>
        <w:t>T6 Atenção  ·  quantos param para olhar</w:t>
      </w:r>
      <w:r>
        <w:rPr>
          <w:b/>
          <w:i w:val="0"/>
          <w:color w:val="5E5458"/>
          <w:sz w:val="17"/>
          <w:rFonts w:ascii="IBM Plex Mono" w:hAnsi="IBM Plex Mono" w:cs="IBM Plex Mono"/>
        </w:rPr>
        <w:t xml:space="preserve">   9/9 com número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0D2"/>
          <w:left w:val="single" w:sz="4" w:color="D8D0D2"/>
          <w:bottom w:val="single" w:sz="4" w:color="D8D0D2"/>
          <w:right w:val="single" w:sz="4" w:color="D8D0D2"/>
          <w:insideH w:val="single" w:sz="4" w:color="D8D0D2"/>
          <w:insideV w:val="single" w:sz="4" w:color="D8D0D2"/>
        </w:tblBorders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2268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IBM Plex Sans" w:hAnsi="IBM Plex Sans" w:cs="IBM Plex Sans"/>
              </w:rPr>
              <w:t>INDICADOR</w:t>
            </w:r>
          </w:p>
        </w:tc>
        <w:tc>
          <w:tcPr>
            <w:tcW w:type="dxa" w:w="454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IBM Plex Sans" w:hAnsi="IBM Plex Sans" w:cs="IBM Plex Sans"/>
              </w:rPr>
              <w:t>P</w:t>
            </w:r>
          </w:p>
        </w:tc>
        <w:tc>
          <w:tcPr>
            <w:tcW w:type="dxa" w:w="1077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IBM Plex Sans" w:hAnsi="IBM Plex Sans" w:cs="IBM Plex Sans"/>
              </w:rPr>
              <w:t>COBERTURA</w:t>
            </w:r>
          </w:p>
        </w:tc>
        <w:tc>
          <w:tcPr>
            <w:tcW w:type="dxa" w:w="1871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IBM Plex Sans" w:hAnsi="IBM Plex Sans" w:cs="IBM Plex Sans"/>
              </w:rPr>
              <w:t>HOJE</w:t>
            </w:r>
          </w:p>
        </w:tc>
        <w:tc>
          <w:tcPr>
            <w:tcW w:type="dxa" w:w="3855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IBM Plex Sans" w:hAnsi="IBM Plex Sans" w:cs="IBM Plex Sans"/>
              </w:rPr>
              <w:t>O QUE FALTA PARA TER</w:t>
            </w:r>
          </w:p>
        </w:tc>
      </w:tr>
      <w:t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Cliques pagos</w:t>
            </w:r>
          </w:p>
        </w:tc>
        <w:tc>
          <w:tcPr>
            <w:tcW w:type="dxa" w:w="45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P0</w:t>
            </w:r>
          </w:p>
        </w:tc>
        <w:tc>
          <w:tcPr>
            <w:tcW w:type="dxa" w:w="107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8A5A00"/>
                <w:sz w:val="18"/>
                <w:rFonts w:ascii="IBM Plex Mono" w:hAnsi="IBM Plex Mono" w:cs="IBM Plex Mono"/>
              </w:rPr>
              <w:t>Parcial</w:t>
            </w:r>
          </w:p>
        </w:tc>
        <w:tc>
          <w:tcPr>
            <w:tcW w:type="dxa" w:w="187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39,58 mi</w:t>
            </w:r>
          </w:p>
        </w:tc>
        <w:tc>
          <w:tcPr>
            <w:tcW w:type="dxa" w:w="385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29,4 mi no Meta e 10,17 mi no Google, jan/2025 a set/2026. O Google só tem 11 meses com dado: faltam nov/2025 a abr/2026 inteiros. Nenhuma das duas contas separa B2B de B2C, então isto aind…</w:t>
            </w:r>
          </w:p>
        </w:tc>
      </w:tr>
      <w:t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CTR de campanhas B2B</w:t>
            </w:r>
          </w:p>
        </w:tc>
        <w:tc>
          <w:tcPr>
            <w:tcW w:type="dxa" w:w="45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P0</w:t>
            </w:r>
          </w:p>
        </w:tc>
        <w:tc>
          <w:tcPr>
            <w:tcW w:type="dxa" w:w="107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8A5A00"/>
                <w:sz w:val="18"/>
                <w:rFonts w:ascii="IBM Plex Mono" w:hAnsi="IBM Plex Mono" w:cs="IBM Plex Mono"/>
              </w:rPr>
              <w:t>Parcial</w:t>
            </w:r>
          </w:p>
        </w:tc>
        <w:tc>
          <w:tcPr>
            <w:tcW w:type="dxa" w:w="187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1,56% Meta · 18,03% Google</w:t>
            </w:r>
          </w:p>
        </w:tc>
        <w:tc>
          <w:tcPr>
            <w:tcW w:type="dxa" w:w="385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1,56% no Meta contra 18,03% no Google. A distância de mais de dez vezes não é qualidade: é sinal de que as duas contas contam clique de forma diferente, e isso precisa ser resolvido antes d…</w:t>
            </w:r>
          </w:p>
        </w:tc>
      </w:tr>
      <w:t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CPC</w:t>
            </w:r>
          </w:p>
        </w:tc>
        <w:tc>
          <w:tcPr>
            <w:tcW w:type="dxa" w:w="45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P1</w:t>
            </w:r>
          </w:p>
        </w:tc>
        <w:tc>
          <w:tcPr>
            <w:tcW w:type="dxa" w:w="107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8A5A00"/>
                <w:sz w:val="18"/>
                <w:rFonts w:ascii="IBM Plex Mono" w:hAnsi="IBM Plex Mono" w:cs="IBM Plex Mono"/>
              </w:rPr>
              <w:t>Parcial</w:t>
            </w:r>
          </w:p>
        </w:tc>
        <w:tc>
          <w:tcPr>
            <w:tcW w:type="dxa" w:w="187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R$ 0,25 Meta · R$ 0,27 Google</w:t>
            </w:r>
          </w:p>
        </w:tc>
        <w:tc>
          <w:tcPr>
            <w:tcW w:type="dxa" w:w="385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Derivável das duas contas na janela de 21 meses. O Google só tem 11 meses com dado: faltam nov/2025 a abr/2026 inteiros. Nenhuma das duas contas separa B2B de B2C, então isto ainda não é o …</w:t>
            </w:r>
          </w:p>
        </w:tc>
      </w:tr>
      <w:t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Sessões totais nos domínios B2B</w:t>
            </w:r>
          </w:p>
        </w:tc>
        <w:tc>
          <w:tcPr>
            <w:tcW w:type="dxa" w:w="45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P0</w:t>
            </w:r>
          </w:p>
        </w:tc>
        <w:tc>
          <w:tcPr>
            <w:tcW w:type="dxa" w:w="107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2F6B4F"/>
                <w:sz w:val="18"/>
                <w:rFonts w:ascii="IBM Plex Mono" w:hAnsi="IBM Plex Mono" w:cs="IBM Plex Mono"/>
              </w:rPr>
              <w:t>Medido</w:t>
            </w:r>
          </w:p>
        </w:tc>
        <w:tc>
          <w:tcPr>
            <w:tcW w:type="dxa" w:w="187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987.566 sessões</w:t>
            </w:r>
          </w:p>
        </w:tc>
        <w:tc>
          <w:tcPr>
            <w:tcW w:type="dxa" w:w="385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GA4 liberado. Extração presa ao escopo de domínios do item C1.</w:t>
            </w:r>
          </w:p>
        </w:tc>
      </w:tr>
      <w:t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Distribuição de sessões por origem</w:t>
            </w:r>
          </w:p>
        </w:tc>
        <w:tc>
          <w:tcPr>
            <w:tcW w:type="dxa" w:w="45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P0</w:t>
            </w:r>
          </w:p>
        </w:tc>
        <w:tc>
          <w:tcPr>
            <w:tcW w:type="dxa" w:w="107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2F6B4F"/>
                <w:sz w:val="18"/>
                <w:rFonts w:ascii="IBM Plex Mono" w:hAnsi="IBM Plex Mono" w:cs="IBM Plex Mono"/>
              </w:rPr>
              <w:t>Medido</w:t>
            </w:r>
          </w:p>
        </w:tc>
        <w:tc>
          <w:tcPr>
            <w:tcW w:type="dxa" w:w="187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Direto 52,4% · Referral 36,4% · Orgânico 9,9% · Pago 0,8%</w:t>
            </w:r>
          </w:p>
        </w:tc>
        <w:tc>
          <w:tcPr>
            <w:tcW w:type="dxa" w:w="385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Mix CRM 29 · Direto 36 · Pago 16 · Orgânico 5 · Outros 11, do slide FLUXOS, que não está versionado e que admite perda de atribuição no próprio texto.</w:t>
            </w:r>
          </w:p>
        </w:tc>
      </w:tr>
      <w:t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Taxa de engajamento</w:t>
            </w:r>
          </w:p>
        </w:tc>
        <w:tc>
          <w:tcPr>
            <w:tcW w:type="dxa" w:w="45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P1</w:t>
            </w:r>
          </w:p>
        </w:tc>
        <w:tc>
          <w:tcPr>
            <w:tcW w:type="dxa" w:w="107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2F6B4F"/>
                <w:sz w:val="18"/>
                <w:rFonts w:ascii="IBM Plex Mono" w:hAnsi="IBM Plex Mono" w:cs="IBM Plex Mono"/>
              </w:rPr>
              <w:t>Medido</w:t>
            </w:r>
          </w:p>
        </w:tc>
        <w:tc>
          <w:tcPr>
            <w:tcW w:type="dxa" w:w="187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12,2% em ads. · 52,4% em imoveis. · 41,8% em autos.</w:t>
            </w:r>
          </w:p>
        </w:tc>
        <w:tc>
          <w:tcPr>
            <w:tcW w:type="dxa" w:w="385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GA4.</w:t>
            </w:r>
          </w:p>
        </w:tc>
      </w:tr>
      <w:t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Tempo médio de sessão</w:t>
            </w:r>
          </w:p>
        </w:tc>
        <w:tc>
          <w:tcPr>
            <w:tcW w:type="dxa" w:w="45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P1</w:t>
            </w:r>
          </w:p>
        </w:tc>
        <w:tc>
          <w:tcPr>
            <w:tcW w:type="dxa" w:w="107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2F6B4F"/>
                <w:sz w:val="18"/>
                <w:rFonts w:ascii="IBM Plex Mono" w:hAnsi="IBM Plex Mono" w:cs="IBM Plex Mono"/>
              </w:rPr>
              <w:t>Medido</w:t>
            </w:r>
          </w:p>
        </w:tc>
        <w:tc>
          <w:tcPr>
            <w:tcW w:type="dxa" w:w="187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31s em ads. · 144s em imoveis. · 109s em autos.</w:t>
            </w:r>
          </w:p>
        </w:tc>
        <w:tc>
          <w:tcPr>
            <w:tcW w:type="dxa" w:w="385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GA4.</w:t>
            </w:r>
          </w:p>
        </w:tc>
      </w:tr>
      <w:t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Taxa de rejeição das LPs B2B</w:t>
            </w:r>
          </w:p>
        </w:tc>
        <w:tc>
          <w:tcPr>
            <w:tcW w:type="dxa" w:w="45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P1</w:t>
            </w:r>
          </w:p>
        </w:tc>
        <w:tc>
          <w:tcPr>
            <w:tcW w:type="dxa" w:w="107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2F6B4F"/>
                <w:sz w:val="18"/>
                <w:rFonts w:ascii="IBM Plex Mono" w:hAnsi="IBM Plex Mono" w:cs="IBM Plex Mono"/>
              </w:rPr>
              <w:t>Medido</w:t>
            </w:r>
          </w:p>
        </w:tc>
        <w:tc>
          <w:tcPr>
            <w:tcW w:type="dxa" w:w="187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87,8% em ads.grupoolx.com.br</w:t>
            </w:r>
          </w:p>
        </w:tc>
        <w:tc>
          <w:tcPr>
            <w:tcW w:type="dxa" w:w="385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GA4 mais Unbounce, liberado em 10/09.</w:t>
            </w:r>
          </w:p>
        </w:tc>
      </w:tr>
      <w:t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Criativos ativos e variações testadas/mês</w:t>
            </w:r>
          </w:p>
        </w:tc>
        <w:tc>
          <w:tcPr>
            <w:tcW w:type="dxa" w:w="45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P2</w:t>
            </w:r>
          </w:p>
        </w:tc>
        <w:tc>
          <w:tcPr>
            <w:tcW w:type="dxa" w:w="107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8A5A00"/>
                <w:sz w:val="18"/>
                <w:rFonts w:ascii="IBM Plex Mono" w:hAnsi="IBM Plex Mono" w:cs="IBM Plex Mono"/>
              </w:rPr>
              <w:t>Parcial</w:t>
            </w:r>
          </w:p>
        </w:tc>
        <w:tc>
          <w:tcPr>
            <w:tcW w:type="dxa" w:w="187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1.079 anúncios em 90 campanhas</w:t>
            </w:r>
          </w:p>
        </w:tc>
        <w:tc>
          <w:tcPr>
            <w:tcW w:type="dxa" w:w="385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1.079 anúncios do Meta com gasto, impressão, alcance, CTR e CPM por peça, contra as 8 peças de uma única campanha que existiam antes de 12/09. O detalhe completo está em dados/cache/, fora …</w:t>
            </w:r>
          </w:p>
        </w:tc>
      </w:tr>
    </w:tbl>
    <w:p>
      <w:pPr>
        <w:spacing w:before="0" w:after="40" w:line="283" w:lineRule="auto"/>
      </w:pPr>
    </w:p>
    <w:p>
      <w:pPr>
        <w:spacing w:before="280" w:after="40"/>
      </w:pPr>
      <w:r>
        <w:rPr>
          <w:b/>
          <w:i w:val="0"/>
          <w:color w:val="1A1416"/>
          <w:sz w:val="23"/>
          <w:rFonts w:ascii="IBM Plex Sans" w:hAnsi="IBM Plex Sans" w:cs="IBM Plex Sans"/>
        </w:rPr>
        <w:t>T5 Interesse  ·  quantos se aprofundam</w:t>
      </w:r>
      <w:r>
        <w:rPr>
          <w:b/>
          <w:i w:val="0"/>
          <w:color w:val="5E5458"/>
          <w:sz w:val="17"/>
          <w:rFonts w:ascii="IBM Plex Mono" w:hAnsi="IBM Plex Mono" w:cs="IBM Plex Mono"/>
        </w:rPr>
        <w:t xml:space="preserve">   3/8 com número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0D2"/>
          <w:left w:val="single" w:sz="4" w:color="D8D0D2"/>
          <w:bottom w:val="single" w:sz="4" w:color="D8D0D2"/>
          <w:right w:val="single" w:sz="4" w:color="D8D0D2"/>
          <w:insideH w:val="single" w:sz="4" w:color="D8D0D2"/>
          <w:insideV w:val="single" w:sz="4" w:color="D8D0D2"/>
        </w:tblBorders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2268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IBM Plex Sans" w:hAnsi="IBM Plex Sans" w:cs="IBM Plex Sans"/>
              </w:rPr>
              <w:t>INDICADOR</w:t>
            </w:r>
          </w:p>
        </w:tc>
        <w:tc>
          <w:tcPr>
            <w:tcW w:type="dxa" w:w="454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IBM Plex Sans" w:hAnsi="IBM Plex Sans" w:cs="IBM Plex Sans"/>
              </w:rPr>
              <w:t>P</w:t>
            </w:r>
          </w:p>
        </w:tc>
        <w:tc>
          <w:tcPr>
            <w:tcW w:type="dxa" w:w="1077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IBM Plex Sans" w:hAnsi="IBM Plex Sans" w:cs="IBM Plex Sans"/>
              </w:rPr>
              <w:t>COBERTURA</w:t>
            </w:r>
          </w:p>
        </w:tc>
        <w:tc>
          <w:tcPr>
            <w:tcW w:type="dxa" w:w="1871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IBM Plex Sans" w:hAnsi="IBM Plex Sans" w:cs="IBM Plex Sans"/>
              </w:rPr>
              <w:t>HOJE</w:t>
            </w:r>
          </w:p>
        </w:tc>
        <w:tc>
          <w:tcPr>
            <w:tcW w:type="dxa" w:w="3855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IBM Plex Sans" w:hAnsi="IBM Plex Sans" w:cs="IBM Plex Sans"/>
              </w:rPr>
              <w:t>O QUE FALTA PARA TER</w:t>
            </w:r>
          </w:p>
        </w:tc>
      </w:tr>
      <w:t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Páginas por sessão</w:t>
            </w:r>
          </w:p>
        </w:tc>
        <w:tc>
          <w:tcPr>
            <w:tcW w:type="dxa" w:w="45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P0</w:t>
            </w:r>
          </w:p>
        </w:tc>
        <w:tc>
          <w:tcPr>
            <w:tcW w:type="dxa" w:w="107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2F6B4F"/>
                <w:sz w:val="18"/>
                <w:rFonts w:ascii="IBM Plex Mono" w:hAnsi="IBM Plex Mono" w:cs="IBM Plex Mono"/>
              </w:rPr>
              <w:t>Medido</w:t>
            </w:r>
          </w:p>
        </w:tc>
        <w:tc>
          <w:tcPr>
            <w:tcW w:type="dxa" w:w="187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1,03 em ads. · 1,85 em imoveis. · 1,15 em autos.</w:t>
            </w:r>
          </w:p>
        </w:tc>
        <w:tc>
          <w:tcPr>
            <w:tcW w:type="dxa" w:w="385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GA4.</w:t>
            </w:r>
          </w:p>
        </w:tc>
      </w:tr>
      <w:t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% de sessões com 2+ páginas</w:t>
            </w:r>
          </w:p>
        </w:tc>
        <w:tc>
          <w:tcPr>
            <w:tcW w:type="dxa" w:w="45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P1</w:t>
            </w:r>
          </w:p>
        </w:tc>
        <w:tc>
          <w:tcPr>
            <w:tcW w:type="dxa" w:w="107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2F6B4F"/>
                <w:sz w:val="18"/>
                <w:rFonts w:ascii="IBM Plex Mono" w:hAnsi="IBM Plex Mono" w:cs="IBM Plex Mono"/>
              </w:rPr>
              <w:t>Concedido</w:t>
            </w:r>
          </w:p>
        </w:tc>
        <w:tc>
          <w:tcPr>
            <w:tcW w:type="dxa" w:w="187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-</w:t>
            </w:r>
          </w:p>
        </w:tc>
        <w:tc>
          <w:tcPr>
            <w:tcW w:type="dxa" w:w="385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Fonte VERIFICADA: o GA4 respondeu pela API hoje, 14/09, nas propriedades do grupo. Falta só extrair, e isso é trabalho da V4.</w:t>
            </w:r>
          </w:p>
        </w:tc>
      </w:tr>
      <w:t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Visualizações das páginas de plano e preço</w:t>
            </w:r>
          </w:p>
        </w:tc>
        <w:tc>
          <w:tcPr>
            <w:tcW w:type="dxa" w:w="45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P0</w:t>
            </w:r>
          </w:p>
        </w:tc>
        <w:tc>
          <w:tcPr>
            <w:tcW w:type="dxa" w:w="107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2F6B4F"/>
                <w:sz w:val="18"/>
                <w:rFonts w:ascii="IBM Plex Mono" w:hAnsi="IBM Plex Mono" w:cs="IBM Plex Mono"/>
              </w:rPr>
              <w:t>Concedido</w:t>
            </w:r>
          </w:p>
        </w:tc>
        <w:tc>
          <w:tcPr>
            <w:tcW w:type="dxa" w:w="187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-</w:t>
            </w:r>
          </w:p>
        </w:tc>
        <w:tc>
          <w:tcPr>
            <w:tcW w:type="dxa" w:w="385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Fonte VERIFICADA: o GA4 respondeu pela API hoje, 14/09, nas propriedades do grupo. Falta só extrair, e isso é trabalho da V4.</w:t>
            </w:r>
          </w:p>
        </w:tc>
      </w:tr>
      <w:t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Taxa de retorno em 7 dias</w:t>
            </w:r>
          </w:p>
        </w:tc>
        <w:tc>
          <w:tcPr>
            <w:tcW w:type="dxa" w:w="45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P1</w:t>
            </w:r>
          </w:p>
        </w:tc>
        <w:tc>
          <w:tcPr>
            <w:tcW w:type="dxa" w:w="107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2F6B4F"/>
                <w:sz w:val="18"/>
                <w:rFonts w:ascii="IBM Plex Mono" w:hAnsi="IBM Plex Mono" w:cs="IBM Plex Mono"/>
              </w:rPr>
              <w:t>Concedido</w:t>
            </w:r>
          </w:p>
        </w:tc>
        <w:tc>
          <w:tcPr>
            <w:tcW w:type="dxa" w:w="187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-</w:t>
            </w:r>
          </w:p>
        </w:tc>
        <w:tc>
          <w:tcPr>
            <w:tcW w:type="dxa" w:w="385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Fonte VERIFICADA: o GA4 respondeu pela API hoje, 14/09, nas propriedades do grupo. Falta só extrair, e isso é trabalho da V4.</w:t>
            </w:r>
          </w:p>
        </w:tc>
      </w:tr>
      <w:t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Open rate de e-mail</w:t>
            </w:r>
          </w:p>
        </w:tc>
        <w:tc>
          <w:tcPr>
            <w:tcW w:type="dxa" w:w="45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P0</w:t>
            </w:r>
          </w:p>
        </w:tc>
        <w:tc>
          <w:tcPr>
            <w:tcW w:type="dxa" w:w="107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8A5A00"/>
                <w:sz w:val="18"/>
                <w:rFonts w:ascii="IBM Plex Mono" w:hAnsi="IBM Plex Mono" w:cs="IBM Plex Mono"/>
              </w:rPr>
              <w:t>A conferir</w:t>
            </w:r>
          </w:p>
        </w:tc>
        <w:tc>
          <w:tcPr>
            <w:tcW w:type="dxa" w:w="187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-</w:t>
            </w:r>
          </w:p>
        </w:tc>
        <w:tc>
          <w:tcPr>
            <w:tcW w:type="dxa" w:w="385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Declarado concedido no lote de 10/09 e NUNCA conferido na ferramenta, resíduo da pendência 18. O projeto já levou dois calotes assim: o GA4 chegou em nível Leitor e o Meta chegou com 'nenhu…</w:t>
            </w:r>
          </w:p>
        </w:tc>
      </w:tr>
      <w:t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Click rate de e-mail</w:t>
            </w:r>
          </w:p>
        </w:tc>
        <w:tc>
          <w:tcPr>
            <w:tcW w:type="dxa" w:w="45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P0</w:t>
            </w:r>
          </w:p>
        </w:tc>
        <w:tc>
          <w:tcPr>
            <w:tcW w:type="dxa" w:w="107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8A5A00"/>
                <w:sz w:val="18"/>
                <w:rFonts w:ascii="IBM Plex Mono" w:hAnsi="IBM Plex Mono" w:cs="IBM Plex Mono"/>
              </w:rPr>
              <w:t>A conferir</w:t>
            </w:r>
          </w:p>
        </w:tc>
        <w:tc>
          <w:tcPr>
            <w:tcW w:type="dxa" w:w="187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-</w:t>
            </w:r>
          </w:p>
        </w:tc>
        <w:tc>
          <w:tcPr>
            <w:tcW w:type="dxa" w:w="385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Declarado concedido no lote de 10/09 e NUNCA conferido na ferramenta, resíduo da pendência 18. O projeto já levou dois calotes assim: o GA4 chegou em nível Leitor e o Meta chegou com 'nenhu…</w:t>
            </w:r>
          </w:p>
        </w:tc>
      </w:tr>
      <w:t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Consumo de material de apoio</w:t>
            </w:r>
          </w:p>
        </w:tc>
        <w:tc>
          <w:tcPr>
            <w:tcW w:type="dxa" w:w="45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P1</w:t>
            </w:r>
          </w:p>
        </w:tc>
        <w:tc>
          <w:tcPr>
            <w:tcW w:type="dxa" w:w="107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2F6B4F"/>
                <w:sz w:val="18"/>
                <w:rFonts w:ascii="IBM Plex Mono" w:hAnsi="IBM Plex Mono" w:cs="IBM Plex Mono"/>
              </w:rPr>
              <w:t>Medido</w:t>
            </w:r>
          </w:p>
        </w:tc>
        <w:tc>
          <w:tcPr>
            <w:tcW w:type="dxa" w:w="187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1.100 downloads</w:t>
            </w:r>
          </w:p>
        </w:tc>
        <w:tc>
          <w:tcPr>
            <w:tcW w:type="dxa" w:w="385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Marketing Cloud mais GA4.</w:t>
            </w:r>
          </w:p>
        </w:tc>
      </w:tr>
      <w:t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Taxa de scroll nas LPs B2B</w:t>
            </w:r>
          </w:p>
        </w:tc>
        <w:tc>
          <w:tcPr>
            <w:tcW w:type="dxa" w:w="45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P2</w:t>
            </w:r>
          </w:p>
        </w:tc>
        <w:tc>
          <w:tcPr>
            <w:tcW w:type="dxa" w:w="107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2F6B4F"/>
                <w:sz w:val="18"/>
                <w:rFonts w:ascii="IBM Plex Mono" w:hAnsi="IBM Plex Mono" w:cs="IBM Plex Mono"/>
              </w:rPr>
              <w:t>Medido</w:t>
            </w:r>
          </w:p>
        </w:tc>
        <w:tc>
          <w:tcPr>
            <w:tcW w:type="dxa" w:w="187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11,8%</w:t>
            </w:r>
          </w:p>
        </w:tc>
        <w:tc>
          <w:tcPr>
            <w:tcW w:type="dxa" w:w="385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Mouseflow liberado em 10/09, projeto b837e449 gravando sessão em todas as páginas web.</w:t>
            </w:r>
          </w:p>
        </w:tc>
      </w:tr>
    </w:tbl>
    <w:p>
      <w:pPr>
        <w:spacing w:before="0" w:after="40" w:line="283" w:lineRule="auto"/>
      </w:pPr>
    </w:p>
    <w:p>
      <w:pPr>
        <w:spacing w:before="280" w:after="40"/>
      </w:pPr>
      <w:r>
        <w:rPr>
          <w:b/>
          <w:i w:val="0"/>
          <w:color w:val="1A1416"/>
          <w:sz w:val="23"/>
          <w:rFonts w:ascii="IBM Plex Sans" w:hAnsi="IBM Plex Sans" w:cs="IBM Plex Sans"/>
        </w:rPr>
        <w:t>T4 Qualificação  ·  quantos têm perfil e viram oportunidade</w:t>
      </w:r>
      <w:r>
        <w:rPr>
          <w:b/>
          <w:i w:val="0"/>
          <w:color w:val="5E5458"/>
          <w:sz w:val="17"/>
          <w:rFonts w:ascii="IBM Plex Mono" w:hAnsi="IBM Plex Mono" w:cs="IBM Plex Mono"/>
        </w:rPr>
        <w:t xml:space="preserve">   2/9 com número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0D2"/>
          <w:left w:val="single" w:sz="4" w:color="D8D0D2"/>
          <w:bottom w:val="single" w:sz="4" w:color="D8D0D2"/>
          <w:right w:val="single" w:sz="4" w:color="D8D0D2"/>
          <w:insideH w:val="single" w:sz="4" w:color="D8D0D2"/>
          <w:insideV w:val="single" w:sz="4" w:color="D8D0D2"/>
        </w:tblBorders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2268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IBM Plex Sans" w:hAnsi="IBM Plex Sans" w:cs="IBM Plex Sans"/>
              </w:rPr>
              <w:t>INDICADOR</w:t>
            </w:r>
          </w:p>
        </w:tc>
        <w:tc>
          <w:tcPr>
            <w:tcW w:type="dxa" w:w="454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IBM Plex Sans" w:hAnsi="IBM Plex Sans" w:cs="IBM Plex Sans"/>
              </w:rPr>
              <w:t>P</w:t>
            </w:r>
          </w:p>
        </w:tc>
        <w:tc>
          <w:tcPr>
            <w:tcW w:type="dxa" w:w="1077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IBM Plex Sans" w:hAnsi="IBM Plex Sans" w:cs="IBM Plex Sans"/>
              </w:rPr>
              <w:t>COBERTURA</w:t>
            </w:r>
          </w:p>
        </w:tc>
        <w:tc>
          <w:tcPr>
            <w:tcW w:type="dxa" w:w="1871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IBM Plex Sans" w:hAnsi="IBM Plex Sans" w:cs="IBM Plex Sans"/>
              </w:rPr>
              <w:t>HOJE</w:t>
            </w:r>
          </w:p>
        </w:tc>
        <w:tc>
          <w:tcPr>
            <w:tcW w:type="dxa" w:w="3855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IBM Plex Sans" w:hAnsi="IBM Plex Sans" w:cs="IBM Plex Sans"/>
              </w:rPr>
              <w:t>O QUE FALTA PARA TER</w:t>
            </w:r>
          </w:p>
        </w:tc>
      </w:tr>
      <w:t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Leads gerados</w:t>
            </w:r>
          </w:p>
        </w:tc>
        <w:tc>
          <w:tcPr>
            <w:tcW w:type="dxa" w:w="45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P0</w:t>
            </w:r>
          </w:p>
        </w:tc>
        <w:tc>
          <w:tcPr>
            <w:tcW w:type="dxa" w:w="107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8A5A00"/>
                <w:sz w:val="18"/>
                <w:rFonts w:ascii="IBM Plex Mono" w:hAnsi="IBM Plex Mono" w:cs="IBM Plex Mono"/>
              </w:rPr>
              <w:t>Parcial</w:t>
            </w:r>
          </w:p>
        </w:tc>
        <w:tc>
          <w:tcPr>
            <w:tcW w:type="dxa" w:w="187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1.089 envios de formulario</w:t>
            </w:r>
          </w:p>
        </w:tc>
        <w:tc>
          <w:tcPr>
            <w:tcW w:type="dxa" w:w="385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O CRM comercial entrou em 10/09. O item A2 continua sem entrega, mas agora dá para extrair em vez de esperar.</w:t>
            </w:r>
          </w:p>
        </w:tc>
      </w:tr>
      <w:t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Leads por origem</w:t>
            </w:r>
          </w:p>
        </w:tc>
        <w:tc>
          <w:tcPr>
            <w:tcW w:type="dxa" w:w="45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P0</w:t>
            </w:r>
          </w:p>
        </w:tc>
        <w:tc>
          <w:tcPr>
            <w:tcW w:type="dxa" w:w="107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8A5A00"/>
                <w:sz w:val="18"/>
                <w:rFonts w:ascii="IBM Plex Mono" w:hAnsi="IBM Plex Mono" w:cs="IBM Plex Mono"/>
              </w:rPr>
              <w:t>A conferir</w:t>
            </w:r>
          </w:p>
        </w:tc>
        <w:tc>
          <w:tcPr>
            <w:tcW w:type="dxa" w:w="187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-</w:t>
            </w:r>
          </w:p>
        </w:tc>
        <w:tc>
          <w:tcPr>
            <w:tcW w:type="dxa" w:w="385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Declarado concedido no lote de 10/09 e NUNCA conferido na ferramenta, resíduo da pendência 18. O projeto já levou dois calotes assim: o GA4 chegou em nível Leitor e o Meta chegou com 'nenhu…</w:t>
            </w:r>
          </w:p>
        </w:tc>
      </w:tr>
      <w:t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Taxa lead → MQL</w:t>
            </w:r>
          </w:p>
        </w:tc>
        <w:tc>
          <w:tcPr>
            <w:tcW w:type="dxa" w:w="45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P0</w:t>
            </w:r>
          </w:p>
        </w:tc>
        <w:tc>
          <w:tcPr>
            <w:tcW w:type="dxa" w:w="107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8A5A00"/>
                <w:sz w:val="18"/>
                <w:rFonts w:ascii="IBM Plex Mono" w:hAnsi="IBM Plex Mono" w:cs="IBM Plex Mono"/>
              </w:rPr>
              <w:t>A conferir</w:t>
            </w:r>
          </w:p>
        </w:tc>
        <w:tc>
          <w:tcPr>
            <w:tcW w:type="dxa" w:w="187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-</w:t>
            </w:r>
          </w:p>
        </w:tc>
        <w:tc>
          <w:tcPr>
            <w:tcW w:type="dxa" w:w="385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Declarado concedido no lote de 10/09 e NUNCA conferido na ferramenta, resíduo da pendência 18. O projeto já levou dois calotes assim: o GA4 chegou em nível Leitor e o Meta chegou com 'nenhu…</w:t>
            </w:r>
          </w:p>
        </w:tc>
      </w:tr>
      <w:t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Taxa MQL → SQL</w:t>
            </w:r>
          </w:p>
        </w:tc>
        <w:tc>
          <w:tcPr>
            <w:tcW w:type="dxa" w:w="45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P0</w:t>
            </w:r>
          </w:p>
        </w:tc>
        <w:tc>
          <w:tcPr>
            <w:tcW w:type="dxa" w:w="107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8A5A00"/>
                <w:sz w:val="18"/>
                <w:rFonts w:ascii="IBM Plex Mono" w:hAnsi="IBM Plex Mono" w:cs="IBM Plex Mono"/>
              </w:rPr>
              <w:t>A conferir</w:t>
            </w:r>
          </w:p>
        </w:tc>
        <w:tc>
          <w:tcPr>
            <w:tcW w:type="dxa" w:w="187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-</w:t>
            </w:r>
          </w:p>
        </w:tc>
        <w:tc>
          <w:tcPr>
            <w:tcW w:type="dxa" w:w="385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Declarado concedido no lote de 10/09 e NUNCA conferido na ferramenta, resíduo da pendência 18. O projeto já levou dois calotes assim: o GA4 chegou em nível Leitor e o Meta chegou com 'nenhu…</w:t>
            </w:r>
          </w:p>
        </w:tc>
      </w:tr>
      <w:t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% de leads dentro do ICP</w:t>
            </w:r>
          </w:p>
        </w:tc>
        <w:tc>
          <w:tcPr>
            <w:tcW w:type="dxa" w:w="45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P0</w:t>
            </w:r>
          </w:p>
        </w:tc>
        <w:tc>
          <w:tcPr>
            <w:tcW w:type="dxa" w:w="107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A32218"/>
                <w:sz w:val="18"/>
                <w:rFonts w:ascii="IBM Plex Mono" w:hAnsi="IBM Plex Mono" w:cs="IBM Plex Mono"/>
              </w:rPr>
              <w:t>Falta</w:t>
            </w:r>
          </w:p>
        </w:tc>
        <w:tc>
          <w:tcPr>
            <w:tcW w:type="dxa" w:w="187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-</w:t>
            </w:r>
          </w:p>
        </w:tc>
        <w:tc>
          <w:tcPr>
            <w:tcW w:type="dxa" w:w="385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Exige ICP definido. Item A6 em branco: sem critério não há denominador.</w:t>
            </w:r>
          </w:p>
        </w:tc>
      </w:tr>
      <w:t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Taxa de desqualificação e motivo</w:t>
            </w:r>
          </w:p>
        </w:tc>
        <w:tc>
          <w:tcPr>
            <w:tcW w:type="dxa" w:w="45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P0</w:t>
            </w:r>
          </w:p>
        </w:tc>
        <w:tc>
          <w:tcPr>
            <w:tcW w:type="dxa" w:w="107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8A5A00"/>
                <w:sz w:val="18"/>
                <w:rFonts w:ascii="IBM Plex Mono" w:hAnsi="IBM Plex Mono" w:cs="IBM Plex Mono"/>
              </w:rPr>
              <w:t>A conferir</w:t>
            </w:r>
          </w:p>
        </w:tc>
        <w:tc>
          <w:tcPr>
            <w:tcW w:type="dxa" w:w="187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-</w:t>
            </w:r>
          </w:p>
        </w:tc>
        <w:tc>
          <w:tcPr>
            <w:tcW w:type="dxa" w:w="385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Declarado concedido no lote de 10/09 e NUNCA conferido na ferramenta, resíduo da pendência 18. O projeto já levou dois calotes assim: o GA4 chegou em nível Leitor e o Meta chegou com 'nenhu…</w:t>
            </w:r>
          </w:p>
        </w:tc>
      </w:tr>
      <w:t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Custo por lead, por MQL e por SQL</w:t>
            </w:r>
          </w:p>
        </w:tc>
        <w:tc>
          <w:tcPr>
            <w:tcW w:type="dxa" w:w="45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P0</w:t>
            </w:r>
          </w:p>
        </w:tc>
        <w:tc>
          <w:tcPr>
            <w:tcW w:type="dxa" w:w="107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8A5A00"/>
                <w:sz w:val="18"/>
                <w:rFonts w:ascii="IBM Plex Mono" w:hAnsi="IBM Plex Mono" w:cs="IBM Plex Mono"/>
              </w:rPr>
              <w:t>Parcial</w:t>
            </w:r>
          </w:p>
        </w:tc>
        <w:tc>
          <w:tcPr>
            <w:tcW w:type="dxa" w:w="187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R$ 9.294 por envio de formulario</w:t>
            </w:r>
          </w:p>
        </w:tc>
        <w:tc>
          <w:tcPr>
            <w:tcW w:type="dxa" w:w="385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O numerador de mídia é parcial e misto; o denominador depende da extração do CRM.</w:t>
            </w:r>
          </w:p>
        </w:tc>
      </w:tr>
      <w:t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Tempo até o primeiro contato</w:t>
            </w:r>
          </w:p>
        </w:tc>
        <w:tc>
          <w:tcPr>
            <w:tcW w:type="dxa" w:w="45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P0</w:t>
            </w:r>
          </w:p>
        </w:tc>
        <w:tc>
          <w:tcPr>
            <w:tcW w:type="dxa" w:w="107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8A5A00"/>
                <w:sz w:val="18"/>
                <w:rFonts w:ascii="IBM Plex Mono" w:hAnsi="IBM Plex Mono" w:cs="IBM Plex Mono"/>
              </w:rPr>
              <w:t>A conferir</w:t>
            </w:r>
          </w:p>
        </w:tc>
        <w:tc>
          <w:tcPr>
            <w:tcW w:type="dxa" w:w="187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-</w:t>
            </w:r>
          </w:p>
        </w:tc>
        <w:tc>
          <w:tcPr>
            <w:tcW w:type="dxa" w:w="385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Declarado concedido no lote de 10/09 e NUNCA conferido na ferramenta, resíduo da pendência 18. O projeto já levou dois calotes assim: o GA4 chegou em nível Leitor e o Meta chegou com 'nenhu…</w:t>
            </w:r>
          </w:p>
        </w:tc>
      </w:tr>
      <w:t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Preenchimento dos campos de qualificação no CRM</w:t>
            </w:r>
          </w:p>
        </w:tc>
        <w:tc>
          <w:tcPr>
            <w:tcW w:type="dxa" w:w="45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P1</w:t>
            </w:r>
          </w:p>
        </w:tc>
        <w:tc>
          <w:tcPr>
            <w:tcW w:type="dxa" w:w="107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8A5A00"/>
                <w:sz w:val="18"/>
                <w:rFonts w:ascii="IBM Plex Mono" w:hAnsi="IBM Plex Mono" w:cs="IBM Plex Mono"/>
              </w:rPr>
              <w:t>A conferir</w:t>
            </w:r>
          </w:p>
        </w:tc>
        <w:tc>
          <w:tcPr>
            <w:tcW w:type="dxa" w:w="187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-</w:t>
            </w:r>
          </w:p>
        </w:tc>
        <w:tc>
          <w:tcPr>
            <w:tcW w:type="dxa" w:w="385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Declarado concedido no lote de 10/09 e NUNCA conferido na ferramenta, resíduo da pendência 18. O projeto já levou dois calotes assim: o GA4 chegou em nível Leitor e o Meta chegou com 'nenhu…</w:t>
            </w:r>
          </w:p>
        </w:tc>
      </w:tr>
    </w:tbl>
    <w:p>
      <w:pPr>
        <w:spacing w:before="0" w:after="40" w:line="283" w:lineRule="auto"/>
      </w:pPr>
    </w:p>
    <w:p>
      <w:pPr>
        <w:spacing w:before="280" w:after="40"/>
      </w:pPr>
      <w:r>
        <w:rPr>
          <w:b/>
          <w:i w:val="0"/>
          <w:color w:val="1A1416"/>
          <w:sz w:val="23"/>
          <w:rFonts w:ascii="IBM Plex Sans" w:hAnsi="IBM Plex Sans" w:cs="IBM Plex Sans"/>
        </w:rPr>
        <w:t>T3 Compromisso  ·  quantos assumem um compromisso real</w:t>
      </w:r>
      <w:r>
        <w:rPr>
          <w:b/>
          <w:i w:val="0"/>
          <w:color w:val="5E5458"/>
          <w:sz w:val="17"/>
          <w:rFonts w:ascii="IBM Plex Mono" w:hAnsi="IBM Plex Mono" w:cs="IBM Plex Mono"/>
        </w:rPr>
        <w:t xml:space="preserve">   0/8 com número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0D2"/>
          <w:left w:val="single" w:sz="4" w:color="D8D0D2"/>
          <w:bottom w:val="single" w:sz="4" w:color="D8D0D2"/>
          <w:right w:val="single" w:sz="4" w:color="D8D0D2"/>
          <w:insideH w:val="single" w:sz="4" w:color="D8D0D2"/>
          <w:insideV w:val="single" w:sz="4" w:color="D8D0D2"/>
        </w:tblBorders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2268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IBM Plex Sans" w:hAnsi="IBM Plex Sans" w:cs="IBM Plex Sans"/>
              </w:rPr>
              <w:t>INDICADOR</w:t>
            </w:r>
          </w:p>
        </w:tc>
        <w:tc>
          <w:tcPr>
            <w:tcW w:type="dxa" w:w="454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IBM Plex Sans" w:hAnsi="IBM Plex Sans" w:cs="IBM Plex Sans"/>
              </w:rPr>
              <w:t>P</w:t>
            </w:r>
          </w:p>
        </w:tc>
        <w:tc>
          <w:tcPr>
            <w:tcW w:type="dxa" w:w="1077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IBM Plex Sans" w:hAnsi="IBM Plex Sans" w:cs="IBM Plex Sans"/>
              </w:rPr>
              <w:t>COBERTURA</w:t>
            </w:r>
          </w:p>
        </w:tc>
        <w:tc>
          <w:tcPr>
            <w:tcW w:type="dxa" w:w="1871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IBM Plex Sans" w:hAnsi="IBM Plex Sans" w:cs="IBM Plex Sans"/>
              </w:rPr>
              <w:t>HOJE</w:t>
            </w:r>
          </w:p>
        </w:tc>
        <w:tc>
          <w:tcPr>
            <w:tcW w:type="dxa" w:w="3855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IBM Plex Sans" w:hAnsi="IBM Plex Sans" w:cs="IBM Plex Sans"/>
              </w:rPr>
              <w:t>O QUE FALTA PARA TER</w:t>
            </w:r>
          </w:p>
        </w:tc>
      </w:tr>
      <w:t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Reuniões e demos agendadas</w:t>
            </w:r>
          </w:p>
        </w:tc>
        <w:tc>
          <w:tcPr>
            <w:tcW w:type="dxa" w:w="45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P0</w:t>
            </w:r>
          </w:p>
        </w:tc>
        <w:tc>
          <w:tcPr>
            <w:tcW w:type="dxa" w:w="107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8A5A00"/>
                <w:sz w:val="18"/>
                <w:rFonts w:ascii="IBM Plex Mono" w:hAnsi="IBM Plex Mono" w:cs="IBM Plex Mono"/>
              </w:rPr>
              <w:t>A conferir</w:t>
            </w:r>
          </w:p>
        </w:tc>
        <w:tc>
          <w:tcPr>
            <w:tcW w:type="dxa" w:w="187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-</w:t>
            </w:r>
          </w:p>
        </w:tc>
        <w:tc>
          <w:tcPr>
            <w:tcW w:type="dxa" w:w="385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Declarado concedido no lote de 10/09 e NUNCA conferido na ferramenta, resíduo da pendência 18. O projeto já levou dois calotes assim: o GA4 chegou em nível Leitor e o Meta chegou com 'nenhu…</w:t>
            </w:r>
          </w:p>
        </w:tc>
      </w:tr>
      <w:t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Taxa SQL → reunião agendada</w:t>
            </w:r>
          </w:p>
        </w:tc>
        <w:tc>
          <w:tcPr>
            <w:tcW w:type="dxa" w:w="45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P0</w:t>
            </w:r>
          </w:p>
        </w:tc>
        <w:tc>
          <w:tcPr>
            <w:tcW w:type="dxa" w:w="107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8A5A00"/>
                <w:sz w:val="18"/>
                <w:rFonts w:ascii="IBM Plex Mono" w:hAnsi="IBM Plex Mono" w:cs="IBM Plex Mono"/>
              </w:rPr>
              <w:t>A conferir</w:t>
            </w:r>
          </w:p>
        </w:tc>
        <w:tc>
          <w:tcPr>
            <w:tcW w:type="dxa" w:w="187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-</w:t>
            </w:r>
          </w:p>
        </w:tc>
        <w:tc>
          <w:tcPr>
            <w:tcW w:type="dxa" w:w="385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Declarado concedido no lote de 10/09 e NUNCA conferido na ferramenta, resíduo da pendência 18. O projeto já levou dois calotes assim: o GA4 chegou em nível Leitor e o Meta chegou com 'nenhu…</w:t>
            </w:r>
          </w:p>
        </w:tc>
      </w:tr>
      <w:t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Taxa de comparecimento</w:t>
            </w:r>
          </w:p>
        </w:tc>
        <w:tc>
          <w:tcPr>
            <w:tcW w:type="dxa" w:w="45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P0</w:t>
            </w:r>
          </w:p>
        </w:tc>
        <w:tc>
          <w:tcPr>
            <w:tcW w:type="dxa" w:w="107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8A5A00"/>
                <w:sz w:val="18"/>
                <w:rFonts w:ascii="IBM Plex Mono" w:hAnsi="IBM Plex Mono" w:cs="IBM Plex Mono"/>
              </w:rPr>
              <w:t>A conferir</w:t>
            </w:r>
          </w:p>
        </w:tc>
        <w:tc>
          <w:tcPr>
            <w:tcW w:type="dxa" w:w="187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-</w:t>
            </w:r>
          </w:p>
        </w:tc>
        <w:tc>
          <w:tcPr>
            <w:tcW w:type="dxa" w:w="385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Declarado concedido no lote de 10/09 e NUNCA conferido na ferramenta, resíduo da pendência 18. O projeto já levou dois calotes assim: o GA4 chegou em nível Leitor e o Meta chegou com 'nenhu…</w:t>
            </w:r>
          </w:p>
        </w:tc>
      </w:tr>
      <w:t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Tentativas de contato por lead</w:t>
            </w:r>
          </w:p>
        </w:tc>
        <w:tc>
          <w:tcPr>
            <w:tcW w:type="dxa" w:w="45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P1</w:t>
            </w:r>
          </w:p>
        </w:tc>
        <w:tc>
          <w:tcPr>
            <w:tcW w:type="dxa" w:w="107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A32218"/>
                <w:sz w:val="18"/>
                <w:rFonts w:ascii="IBM Plex Mono" w:hAnsi="IBM Plex Mono" w:cs="IBM Plex Mono"/>
              </w:rPr>
              <w:t>Falta</w:t>
            </w:r>
          </w:p>
        </w:tc>
        <w:tc>
          <w:tcPr>
            <w:tcW w:type="dxa" w:w="187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-</w:t>
            </w:r>
          </w:p>
        </w:tc>
        <w:tc>
          <w:tcPr>
            <w:tcW w:type="dxa" w:w="385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Exige ferramenta de sales engagement ou telefonia. Item J3 em branco e fora do lote de 10/09.</w:t>
            </w:r>
          </w:p>
        </w:tc>
      </w:tr>
      <w:t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Taxa de conexão</w:t>
            </w:r>
          </w:p>
        </w:tc>
        <w:tc>
          <w:tcPr>
            <w:tcW w:type="dxa" w:w="45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P1</w:t>
            </w:r>
          </w:p>
        </w:tc>
        <w:tc>
          <w:tcPr>
            <w:tcW w:type="dxa" w:w="107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A32218"/>
                <w:sz w:val="18"/>
                <w:rFonts w:ascii="IBM Plex Mono" w:hAnsi="IBM Plex Mono" w:cs="IBM Plex Mono"/>
              </w:rPr>
              <w:t>Falta</w:t>
            </w:r>
          </w:p>
        </w:tc>
        <w:tc>
          <w:tcPr>
            <w:tcW w:type="dxa" w:w="187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-</w:t>
            </w:r>
          </w:p>
        </w:tc>
        <w:tc>
          <w:tcPr>
            <w:tcW w:type="dxa" w:w="385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Telefonia, mesma ausência.</w:t>
            </w:r>
          </w:p>
        </w:tc>
      </w:tr>
      <w:t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Tempo médio de SQL até reunião</w:t>
            </w:r>
          </w:p>
        </w:tc>
        <w:tc>
          <w:tcPr>
            <w:tcW w:type="dxa" w:w="45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P1</w:t>
            </w:r>
          </w:p>
        </w:tc>
        <w:tc>
          <w:tcPr>
            <w:tcW w:type="dxa" w:w="107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8A5A00"/>
                <w:sz w:val="18"/>
                <w:rFonts w:ascii="IBM Plex Mono" w:hAnsi="IBM Plex Mono" w:cs="IBM Plex Mono"/>
              </w:rPr>
              <w:t>A conferir</w:t>
            </w:r>
          </w:p>
        </w:tc>
        <w:tc>
          <w:tcPr>
            <w:tcW w:type="dxa" w:w="187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-</w:t>
            </w:r>
          </w:p>
        </w:tc>
        <w:tc>
          <w:tcPr>
            <w:tcW w:type="dxa" w:w="385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Declarado concedido no lote de 10/09 e NUNCA conferido na ferramenta, resíduo da pendência 18. O projeto já levou dois calotes assim: o GA4 chegou em nível Leitor e o Meta chegou com 'nenhu…</w:t>
            </w:r>
          </w:p>
        </w:tc>
      </w:tr>
      <w:t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Propostas enviadas</w:t>
            </w:r>
          </w:p>
        </w:tc>
        <w:tc>
          <w:tcPr>
            <w:tcW w:type="dxa" w:w="45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P0</w:t>
            </w:r>
          </w:p>
        </w:tc>
        <w:tc>
          <w:tcPr>
            <w:tcW w:type="dxa" w:w="107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8A5A00"/>
                <w:sz w:val="18"/>
                <w:rFonts w:ascii="IBM Plex Mono" w:hAnsi="IBM Plex Mono" w:cs="IBM Plex Mono"/>
              </w:rPr>
              <w:t>A conferir</w:t>
            </w:r>
          </w:p>
        </w:tc>
        <w:tc>
          <w:tcPr>
            <w:tcW w:type="dxa" w:w="187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-</w:t>
            </w:r>
          </w:p>
        </w:tc>
        <w:tc>
          <w:tcPr>
            <w:tcW w:type="dxa" w:w="385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Declarado concedido no lote de 10/09 e NUNCA conferido na ferramenta, resíduo da pendência 18. O projeto já levou dois calotes assim: o GA4 chegou em nível Leitor e o Meta chegou com 'nenhu…</w:t>
            </w:r>
          </w:p>
        </w:tc>
      </w:tr>
      <w:t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Taxa reunião → proposta</w:t>
            </w:r>
          </w:p>
        </w:tc>
        <w:tc>
          <w:tcPr>
            <w:tcW w:type="dxa" w:w="45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P0</w:t>
            </w:r>
          </w:p>
        </w:tc>
        <w:tc>
          <w:tcPr>
            <w:tcW w:type="dxa" w:w="107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8A5A00"/>
                <w:sz w:val="18"/>
                <w:rFonts w:ascii="IBM Plex Mono" w:hAnsi="IBM Plex Mono" w:cs="IBM Plex Mono"/>
              </w:rPr>
              <w:t>A conferir</w:t>
            </w:r>
          </w:p>
        </w:tc>
        <w:tc>
          <w:tcPr>
            <w:tcW w:type="dxa" w:w="187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-</w:t>
            </w:r>
          </w:p>
        </w:tc>
        <w:tc>
          <w:tcPr>
            <w:tcW w:type="dxa" w:w="385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Declarado concedido no lote de 10/09 e NUNCA conferido na ferramenta, resíduo da pendência 18. O projeto já levou dois calotes assim: o GA4 chegou em nível Leitor e o Meta chegou com 'nenhu…</w:t>
            </w:r>
          </w:p>
        </w:tc>
      </w:tr>
    </w:tbl>
    <w:p>
      <w:pPr>
        <w:spacing w:before="0" w:after="40" w:line="283" w:lineRule="auto"/>
      </w:pPr>
    </w:p>
    <w:p>
      <w:pPr>
        <w:spacing w:before="280" w:after="40"/>
      </w:pPr>
      <w:r>
        <w:rPr>
          <w:b/>
          <w:i w:val="0"/>
          <w:color w:val="1A1416"/>
          <w:sz w:val="23"/>
          <w:rFonts w:ascii="IBM Plex Sans" w:hAnsi="IBM Plex Sans" w:cs="IBM Plex Sans"/>
        </w:rPr>
        <w:t>T2 Decisão  ·  quantos assinam</w:t>
      </w:r>
      <w:r>
        <w:rPr>
          <w:b/>
          <w:i w:val="0"/>
          <w:color w:val="5E5458"/>
          <w:sz w:val="17"/>
          <w:rFonts w:ascii="IBM Plex Mono" w:hAnsi="IBM Plex Mono" w:cs="IBM Plex Mono"/>
        </w:rPr>
        <w:t xml:space="preserve">   1/10 com número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0D2"/>
          <w:left w:val="single" w:sz="4" w:color="D8D0D2"/>
          <w:bottom w:val="single" w:sz="4" w:color="D8D0D2"/>
          <w:right w:val="single" w:sz="4" w:color="D8D0D2"/>
          <w:insideH w:val="single" w:sz="4" w:color="D8D0D2"/>
          <w:insideV w:val="single" w:sz="4" w:color="D8D0D2"/>
        </w:tblBorders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2268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IBM Plex Sans" w:hAnsi="IBM Plex Sans" w:cs="IBM Plex Sans"/>
              </w:rPr>
              <w:t>INDICADOR</w:t>
            </w:r>
          </w:p>
        </w:tc>
        <w:tc>
          <w:tcPr>
            <w:tcW w:type="dxa" w:w="454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IBM Plex Sans" w:hAnsi="IBM Plex Sans" w:cs="IBM Plex Sans"/>
              </w:rPr>
              <w:t>P</w:t>
            </w:r>
          </w:p>
        </w:tc>
        <w:tc>
          <w:tcPr>
            <w:tcW w:type="dxa" w:w="1077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IBM Plex Sans" w:hAnsi="IBM Plex Sans" w:cs="IBM Plex Sans"/>
              </w:rPr>
              <w:t>COBERTURA</w:t>
            </w:r>
          </w:p>
        </w:tc>
        <w:tc>
          <w:tcPr>
            <w:tcW w:type="dxa" w:w="1871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IBM Plex Sans" w:hAnsi="IBM Plex Sans" w:cs="IBM Plex Sans"/>
              </w:rPr>
              <w:t>HOJE</w:t>
            </w:r>
          </w:p>
        </w:tc>
        <w:tc>
          <w:tcPr>
            <w:tcW w:type="dxa" w:w="3855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IBM Plex Sans" w:hAnsi="IBM Plex Sans" w:cs="IBM Plex Sans"/>
              </w:rPr>
              <w:t>O QUE FALTA PARA TER</w:t>
            </w:r>
          </w:p>
        </w:tc>
      </w:tr>
      <w:t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Win rate (proposta → contrato)</w:t>
            </w:r>
          </w:p>
        </w:tc>
        <w:tc>
          <w:tcPr>
            <w:tcW w:type="dxa" w:w="45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P0</w:t>
            </w:r>
          </w:p>
        </w:tc>
        <w:tc>
          <w:tcPr>
            <w:tcW w:type="dxa" w:w="107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8A5A00"/>
                <w:sz w:val="18"/>
                <w:rFonts w:ascii="IBM Plex Mono" w:hAnsi="IBM Plex Mono" w:cs="IBM Plex Mono"/>
              </w:rPr>
              <w:t>A conferir</w:t>
            </w:r>
          </w:p>
        </w:tc>
        <w:tc>
          <w:tcPr>
            <w:tcW w:type="dxa" w:w="187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-</w:t>
            </w:r>
          </w:p>
        </w:tc>
        <w:tc>
          <w:tcPr>
            <w:tcW w:type="dxa" w:w="385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Declarado concedido no lote de 10/09 e NUNCA conferido na ferramenta, resíduo da pendência 18. O projeto já levou dois calotes assim: o GA4 chegou em nível Leitor e o Meta chegou com 'nenhu…</w:t>
            </w:r>
          </w:p>
        </w:tc>
      </w:tr>
      <w:t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Ciclo de venda médio</w:t>
            </w:r>
          </w:p>
        </w:tc>
        <w:tc>
          <w:tcPr>
            <w:tcW w:type="dxa" w:w="45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P0</w:t>
            </w:r>
          </w:p>
        </w:tc>
        <w:tc>
          <w:tcPr>
            <w:tcW w:type="dxa" w:w="107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8A5A00"/>
                <w:sz w:val="18"/>
                <w:rFonts w:ascii="IBM Plex Mono" w:hAnsi="IBM Plex Mono" w:cs="IBM Plex Mono"/>
              </w:rPr>
              <w:t>A conferir</w:t>
            </w:r>
          </w:p>
        </w:tc>
        <w:tc>
          <w:tcPr>
            <w:tcW w:type="dxa" w:w="187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-</w:t>
            </w:r>
          </w:p>
        </w:tc>
        <w:tc>
          <w:tcPr>
            <w:tcW w:type="dxa" w:w="385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Declarado concedido no lote de 10/09 e NUNCA conferido na ferramenta, resíduo da pendência 18. O projeto já levou dois calotes assim: o GA4 chegou em nível Leitor e o Meta chegou com 'nenhu…</w:t>
            </w:r>
          </w:p>
        </w:tc>
      </w:tr>
      <w:t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Novos contratos assinados</w:t>
            </w:r>
          </w:p>
        </w:tc>
        <w:tc>
          <w:tcPr>
            <w:tcW w:type="dxa" w:w="45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P0</w:t>
            </w:r>
          </w:p>
        </w:tc>
        <w:tc>
          <w:tcPr>
            <w:tcW w:type="dxa" w:w="107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8A5A00"/>
                <w:sz w:val="18"/>
                <w:rFonts w:ascii="IBM Plex Mono" w:hAnsi="IBM Plex Mono" w:cs="IBM Plex Mono"/>
              </w:rPr>
              <w:t>A conferir</w:t>
            </w:r>
          </w:p>
        </w:tc>
        <w:tc>
          <w:tcPr>
            <w:tcW w:type="dxa" w:w="187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-</w:t>
            </w:r>
          </w:p>
        </w:tc>
        <w:tc>
          <w:tcPr>
            <w:tcW w:type="dxa" w:w="385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Declarado concedido no lote de 10/09 e NUNCA conferido na ferramenta, resíduo da pendência 18. O projeto já levou dois calotes assim: o GA4 chegou em nível Leitor e o Meta chegou com 'nenhu…</w:t>
            </w:r>
          </w:p>
        </w:tc>
      </w:tr>
      <w:t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Receita nova (new business)</w:t>
            </w:r>
          </w:p>
        </w:tc>
        <w:tc>
          <w:tcPr>
            <w:tcW w:type="dxa" w:w="45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P0</w:t>
            </w:r>
          </w:p>
        </w:tc>
        <w:tc>
          <w:tcPr>
            <w:tcW w:type="dxa" w:w="107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8A5A00"/>
                <w:sz w:val="18"/>
                <w:rFonts w:ascii="IBM Plex Mono" w:hAnsi="IBM Plex Mono" w:cs="IBM Plex Mono"/>
              </w:rPr>
              <w:t>Parcial</w:t>
            </w:r>
          </w:p>
        </w:tc>
        <w:tc>
          <w:tcPr>
            <w:tcW w:type="dxa" w:w="187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-</w:t>
            </w:r>
          </w:p>
        </w:tc>
        <w:tc>
          <w:tcPr>
            <w:tcW w:type="dxa" w:w="385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A série A1 da receita total por linha de negócio, mas não separa contrato novo de receita da base.</w:t>
            </w:r>
          </w:p>
        </w:tc>
      </w:tr>
      <w:t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Ticket médio de entrada</w:t>
            </w:r>
          </w:p>
        </w:tc>
        <w:tc>
          <w:tcPr>
            <w:tcW w:type="dxa" w:w="45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P0</w:t>
            </w:r>
          </w:p>
        </w:tc>
        <w:tc>
          <w:tcPr>
            <w:tcW w:type="dxa" w:w="107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A32218"/>
                <w:sz w:val="18"/>
                <w:rFonts w:ascii="IBM Plex Mono" w:hAnsi="IBM Plex Mono" w:cs="IBM Plex Mono"/>
              </w:rPr>
              <w:t>Falta</w:t>
            </w:r>
          </w:p>
        </w:tc>
        <w:tc>
          <w:tcPr>
            <w:tcW w:type="dxa" w:w="187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-</w:t>
            </w:r>
          </w:p>
        </w:tc>
        <w:tc>
          <w:tcPr>
            <w:tcW w:type="dxa" w:w="385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Item A3 nunca entregue. Está como null no modelo da meta, e sem ele N não vira receita.</w:t>
            </w:r>
          </w:p>
        </w:tc>
      </w:tr>
      <w:t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Motivos de perda</w:t>
            </w:r>
          </w:p>
        </w:tc>
        <w:tc>
          <w:tcPr>
            <w:tcW w:type="dxa" w:w="45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P0</w:t>
            </w:r>
          </w:p>
        </w:tc>
        <w:tc>
          <w:tcPr>
            <w:tcW w:type="dxa" w:w="107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8A5A00"/>
                <w:sz w:val="18"/>
                <w:rFonts w:ascii="IBM Plex Mono" w:hAnsi="IBM Plex Mono" w:cs="IBM Plex Mono"/>
              </w:rPr>
              <w:t>A conferir</w:t>
            </w:r>
          </w:p>
        </w:tc>
        <w:tc>
          <w:tcPr>
            <w:tcW w:type="dxa" w:w="187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-</w:t>
            </w:r>
          </w:p>
        </w:tc>
        <w:tc>
          <w:tcPr>
            <w:tcW w:type="dxa" w:w="385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Declarado concedido no lote de 10/09 e NUNCA conferido na ferramenta, resíduo da pendência 18. O projeto já levou dois calotes assim: o GA4 chegou em nível Leitor e o Meta chegou com 'nenhu…</w:t>
            </w:r>
          </w:p>
        </w:tc>
      </w:tr>
      <w:t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Pipeline aberto e cobertura vs. meta</w:t>
            </w:r>
          </w:p>
        </w:tc>
        <w:tc>
          <w:tcPr>
            <w:tcW w:type="dxa" w:w="45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P0</w:t>
            </w:r>
          </w:p>
        </w:tc>
        <w:tc>
          <w:tcPr>
            <w:tcW w:type="dxa" w:w="107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8A5A00"/>
                <w:sz w:val="18"/>
                <w:rFonts w:ascii="IBM Plex Mono" w:hAnsi="IBM Plex Mono" w:cs="IBM Plex Mono"/>
              </w:rPr>
              <w:t>A conferir</w:t>
            </w:r>
          </w:p>
        </w:tc>
        <w:tc>
          <w:tcPr>
            <w:tcW w:type="dxa" w:w="187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-</w:t>
            </w:r>
          </w:p>
        </w:tc>
        <w:tc>
          <w:tcPr>
            <w:tcW w:type="dxa" w:w="385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Declarado concedido no lote de 10/09 e NUNCA conferido na ferramenta, resíduo da pendência 18. O projeto já levou dois calotes assim: o GA4 chegou em nível Leitor e o Meta chegou com 'nenhu…</w:t>
            </w:r>
          </w:p>
        </w:tc>
      </w:tr>
      <w:t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Mix de planos vendidos</w:t>
            </w:r>
          </w:p>
        </w:tc>
        <w:tc>
          <w:tcPr>
            <w:tcW w:type="dxa" w:w="45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P1</w:t>
            </w:r>
          </w:p>
        </w:tc>
        <w:tc>
          <w:tcPr>
            <w:tcW w:type="dxa" w:w="107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8A5A00"/>
                <w:sz w:val="18"/>
                <w:rFonts w:ascii="IBM Plex Mono" w:hAnsi="IBM Plex Mono" w:cs="IBM Plex Mono"/>
              </w:rPr>
              <w:t>A conferir</w:t>
            </w:r>
          </w:p>
        </w:tc>
        <w:tc>
          <w:tcPr>
            <w:tcW w:type="dxa" w:w="187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-</w:t>
            </w:r>
          </w:p>
        </w:tc>
        <w:tc>
          <w:tcPr>
            <w:tcW w:type="dxa" w:w="385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Declarado concedido no lote de 10/09 e NUNCA conferido na ferramenta, resíduo da pendência 18. O projeto já levou dois calotes assim: o GA4 chegou em nível Leitor e o Meta chegou com 'nenhu…</w:t>
            </w:r>
          </w:p>
        </w:tc>
      </w:tr>
      <w:t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Desconto médio concedido</w:t>
            </w:r>
          </w:p>
        </w:tc>
        <w:tc>
          <w:tcPr>
            <w:tcW w:type="dxa" w:w="45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P1</w:t>
            </w:r>
          </w:p>
        </w:tc>
        <w:tc>
          <w:tcPr>
            <w:tcW w:type="dxa" w:w="107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8A5A00"/>
                <w:sz w:val="18"/>
                <w:rFonts w:ascii="IBM Plex Mono" w:hAnsi="IBM Plex Mono" w:cs="IBM Plex Mono"/>
              </w:rPr>
              <w:t>A conferir</w:t>
            </w:r>
          </w:p>
        </w:tc>
        <w:tc>
          <w:tcPr>
            <w:tcW w:type="dxa" w:w="187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-</w:t>
            </w:r>
          </w:p>
        </w:tc>
        <w:tc>
          <w:tcPr>
            <w:tcW w:type="dxa" w:w="385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Declarado concedido no lote de 10/09 e NUNCA conferido na ferramenta, resíduo da pendência 18. O projeto já levou dois calotes assim: o GA4 chegou em nível Leitor e o Meta chegou com 'nenhu…</w:t>
            </w:r>
          </w:p>
        </w:tc>
      </w:tr>
      <w:t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Taxa de aprovação de cadastro e crédito</w:t>
            </w:r>
          </w:p>
        </w:tc>
        <w:tc>
          <w:tcPr>
            <w:tcW w:type="dxa" w:w="45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P1</w:t>
            </w:r>
          </w:p>
        </w:tc>
        <w:tc>
          <w:tcPr>
            <w:tcW w:type="dxa" w:w="107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8A5A00"/>
                <w:sz w:val="18"/>
                <w:rFonts w:ascii="IBM Plex Mono" w:hAnsi="IBM Plex Mono" w:cs="IBM Plex Mono"/>
              </w:rPr>
              <w:t>Declarado</w:t>
            </w:r>
          </w:p>
        </w:tc>
        <w:tc>
          <w:tcPr>
            <w:tcW w:type="dxa" w:w="187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80%</w:t>
            </w:r>
          </w:p>
        </w:tc>
        <w:tc>
          <w:tcPr>
            <w:tcW w:type="dxa" w:w="385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80%, dito por Carolina Dallolio em 28/08. O denominador é 'contratou e gerou cobrança', mais estreito do que o slide sugere.</w:t>
            </w:r>
          </w:p>
        </w:tc>
      </w:tr>
    </w:tbl>
    <w:p>
      <w:pPr>
        <w:spacing w:before="0" w:after="40" w:line="283" w:lineRule="auto"/>
      </w:pPr>
    </w:p>
    <w:p>
      <w:pPr>
        <w:spacing w:before="280" w:after="40"/>
      </w:pPr>
      <w:r>
        <w:rPr>
          <w:b/>
          <w:i w:val="0"/>
          <w:color w:val="1A1416"/>
          <w:sz w:val="23"/>
          <w:rFonts w:ascii="IBM Plex Sans" w:hAnsi="IBM Plex Sans" w:cs="IBM Plex Sans"/>
        </w:rPr>
        <w:t>T1 Retenção  ·  quantos ficam, e por quanto tempo</w:t>
      </w:r>
      <w:r>
        <w:rPr>
          <w:b/>
          <w:i w:val="0"/>
          <w:color w:val="5E5458"/>
          <w:sz w:val="17"/>
          <w:rFonts w:ascii="IBM Plex Mono" w:hAnsi="IBM Plex Mono" w:cs="IBM Plex Mono"/>
        </w:rPr>
        <w:t xml:space="preserve">   4/15 com número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0D2"/>
          <w:left w:val="single" w:sz="4" w:color="D8D0D2"/>
          <w:bottom w:val="single" w:sz="4" w:color="D8D0D2"/>
          <w:right w:val="single" w:sz="4" w:color="D8D0D2"/>
          <w:insideH w:val="single" w:sz="4" w:color="D8D0D2"/>
          <w:insideV w:val="single" w:sz="4" w:color="D8D0D2"/>
        </w:tblBorders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2268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IBM Plex Sans" w:hAnsi="IBM Plex Sans" w:cs="IBM Plex Sans"/>
              </w:rPr>
              <w:t>INDICADOR</w:t>
            </w:r>
          </w:p>
        </w:tc>
        <w:tc>
          <w:tcPr>
            <w:tcW w:type="dxa" w:w="454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IBM Plex Sans" w:hAnsi="IBM Plex Sans" w:cs="IBM Plex Sans"/>
              </w:rPr>
              <w:t>P</w:t>
            </w:r>
          </w:p>
        </w:tc>
        <w:tc>
          <w:tcPr>
            <w:tcW w:type="dxa" w:w="1077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IBM Plex Sans" w:hAnsi="IBM Plex Sans" w:cs="IBM Plex Sans"/>
              </w:rPr>
              <w:t>COBERTURA</w:t>
            </w:r>
          </w:p>
        </w:tc>
        <w:tc>
          <w:tcPr>
            <w:tcW w:type="dxa" w:w="1871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IBM Plex Sans" w:hAnsi="IBM Plex Sans" w:cs="IBM Plex Sans"/>
              </w:rPr>
              <w:t>HOJE</w:t>
            </w:r>
          </w:p>
        </w:tc>
        <w:tc>
          <w:tcPr>
            <w:tcW w:type="dxa" w:w="3855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IBM Plex Sans" w:hAnsi="IBM Plex Sans" w:cs="IBM Plex Sans"/>
              </w:rPr>
              <w:t>O QUE FALTA PARA TER</w:t>
            </w:r>
          </w:p>
        </w:tc>
      </w:tr>
      <w:t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Base ativa de anunciantes</w:t>
            </w:r>
          </w:p>
        </w:tc>
        <w:tc>
          <w:tcPr>
            <w:tcW w:type="dxa" w:w="45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P0</w:t>
            </w:r>
          </w:p>
        </w:tc>
        <w:tc>
          <w:tcPr>
            <w:tcW w:type="dxa" w:w="107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A32218"/>
                <w:sz w:val="18"/>
                <w:rFonts w:ascii="IBM Plex Mono" w:hAnsi="IBM Plex Mono" w:cs="IBM Plex Mono"/>
              </w:rPr>
              <w:t>Falta</w:t>
            </w:r>
          </w:p>
        </w:tc>
        <w:tc>
          <w:tcPr>
            <w:tcW w:type="dxa" w:w="187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-</w:t>
            </w:r>
          </w:p>
        </w:tc>
        <w:tc>
          <w:tcPr>
            <w:tcW w:type="dxa" w:w="385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Está como null no modelo da meta. A pendência 21 registra que a série de receita não confirma o net negativo declarado em Imóveis.</w:t>
            </w:r>
          </w:p>
        </w:tc>
      </w:tr>
      <w:t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MRR e ARR</w:t>
            </w:r>
          </w:p>
        </w:tc>
        <w:tc>
          <w:tcPr>
            <w:tcW w:type="dxa" w:w="45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P0</w:t>
            </w:r>
          </w:p>
        </w:tc>
        <w:tc>
          <w:tcPr>
            <w:tcW w:type="dxa" w:w="107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A32218"/>
                <w:sz w:val="18"/>
                <w:rFonts w:ascii="IBM Plex Mono" w:hAnsi="IBM Plex Mono" w:cs="IBM Plex Mono"/>
              </w:rPr>
              <w:t>Falta</w:t>
            </w:r>
          </w:p>
        </w:tc>
        <w:tc>
          <w:tcPr>
            <w:tcW w:type="dxa" w:w="187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-</w:t>
            </w:r>
          </w:p>
        </w:tc>
        <w:tc>
          <w:tcPr>
            <w:tcW w:type="dxa" w:w="385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Financeiro e BI nunca foram concedidos e não estão no lote de 10/09.</w:t>
            </w:r>
          </w:p>
        </w:tc>
      </w:tr>
      <w:t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Churn de logos</w:t>
            </w:r>
          </w:p>
        </w:tc>
        <w:tc>
          <w:tcPr>
            <w:tcW w:type="dxa" w:w="45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P0</w:t>
            </w:r>
          </w:p>
        </w:tc>
        <w:tc>
          <w:tcPr>
            <w:tcW w:type="dxa" w:w="107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8A5A00"/>
                <w:sz w:val="18"/>
                <w:rFonts w:ascii="IBM Plex Mono" w:hAnsi="IBM Plex Mono" w:cs="IBM Plex Mono"/>
              </w:rPr>
              <w:t>Declarado</w:t>
            </w:r>
          </w:p>
        </w:tc>
        <w:tc>
          <w:tcPr>
            <w:tcW w:type="dxa" w:w="187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8 a 10% ao mês</w:t>
            </w:r>
          </w:p>
        </w:tc>
        <w:tc>
          <w:tcPr>
            <w:tcW w:type="dxa" w:w="385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8 a 10% ao mês, dito em 28/08. A pendência 22 mostra que não se sabe se é de logo ou de receita, e a diferença muda o ranking das alavancas.</w:t>
            </w:r>
          </w:p>
        </w:tc>
      </w:tr>
      <w:t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Gross revenue churn</w:t>
            </w:r>
          </w:p>
        </w:tc>
        <w:tc>
          <w:tcPr>
            <w:tcW w:type="dxa" w:w="45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P0</w:t>
            </w:r>
          </w:p>
        </w:tc>
        <w:tc>
          <w:tcPr>
            <w:tcW w:type="dxa" w:w="107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8A5A00"/>
                <w:sz w:val="18"/>
                <w:rFonts w:ascii="IBM Plex Mono" w:hAnsi="IBM Plex Mono" w:cs="IBM Plex Mono"/>
              </w:rPr>
              <w:t>Declarado</w:t>
            </w:r>
          </w:p>
        </w:tc>
        <w:tc>
          <w:tcPr>
            <w:tcW w:type="dxa" w:w="187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8 a 10% ao mês</w:t>
            </w:r>
          </w:p>
        </w:tc>
        <w:tc>
          <w:tcPr>
            <w:tcW w:type="dxa" w:w="385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Mesmo número, mesma ambiguidade. A série de receita impoe um limite aritmético a resposta.</w:t>
            </w:r>
          </w:p>
        </w:tc>
      </w:tr>
      <w:t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Net revenue retention</w:t>
            </w:r>
          </w:p>
        </w:tc>
        <w:tc>
          <w:tcPr>
            <w:tcW w:type="dxa" w:w="45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P0</w:t>
            </w:r>
          </w:p>
        </w:tc>
        <w:tc>
          <w:tcPr>
            <w:tcW w:type="dxa" w:w="107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A32218"/>
                <w:sz w:val="18"/>
                <w:rFonts w:ascii="IBM Plex Mono" w:hAnsi="IBM Plex Mono" w:cs="IBM Plex Mono"/>
              </w:rPr>
              <w:t>Falta</w:t>
            </w:r>
          </w:p>
        </w:tc>
        <w:tc>
          <w:tcPr>
            <w:tcW w:type="dxa" w:w="187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-</w:t>
            </w:r>
          </w:p>
        </w:tc>
        <w:tc>
          <w:tcPr>
            <w:tcW w:type="dxa" w:w="385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Depende de separar churn de logo e de receita, e do financeiro.</w:t>
            </w:r>
          </w:p>
        </w:tc>
      </w:tr>
      <w:t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Receita de expansão (upsell e cross-sell)</w:t>
            </w:r>
          </w:p>
        </w:tc>
        <w:tc>
          <w:tcPr>
            <w:tcW w:type="dxa" w:w="45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P0</w:t>
            </w:r>
          </w:p>
        </w:tc>
        <w:tc>
          <w:tcPr>
            <w:tcW w:type="dxa" w:w="107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A32218"/>
                <w:sz w:val="18"/>
                <w:rFonts w:ascii="IBM Plex Mono" w:hAnsi="IBM Plex Mono" w:cs="IBM Plex Mono"/>
              </w:rPr>
              <w:t>Falta</w:t>
            </w:r>
          </w:p>
        </w:tc>
        <w:tc>
          <w:tcPr>
            <w:tcW w:type="dxa" w:w="187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-</w:t>
            </w:r>
          </w:p>
        </w:tc>
        <w:tc>
          <w:tcPr>
            <w:tcW w:type="dxa" w:w="385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Financeiro e CRM cruzados. Nada extraído.</w:t>
            </w:r>
          </w:p>
        </w:tc>
      </w:tr>
      <w:t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Contração e downgrade</w:t>
            </w:r>
          </w:p>
        </w:tc>
        <w:tc>
          <w:tcPr>
            <w:tcW w:type="dxa" w:w="45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P1</w:t>
            </w:r>
          </w:p>
        </w:tc>
        <w:tc>
          <w:tcPr>
            <w:tcW w:type="dxa" w:w="107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8A5A00"/>
                <w:sz w:val="18"/>
                <w:rFonts w:ascii="IBM Plex Mono" w:hAnsi="IBM Plex Mono" w:cs="IBM Plex Mono"/>
              </w:rPr>
              <w:t>Declarado</w:t>
            </w:r>
          </w:p>
        </w:tc>
        <w:tc>
          <w:tcPr>
            <w:tcW w:type="dxa" w:w="187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sem número</w:t>
            </w:r>
          </w:p>
        </w:tc>
        <w:tc>
          <w:tcPr>
            <w:tcW w:type="dxa" w:w="385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Iuna Scheffler no kick-off: as entradas não compensam churn mais downgrade. Sem número.</w:t>
            </w:r>
          </w:p>
        </w:tc>
      </w:tr>
      <w:t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Taxa de renovação no vencimento</w:t>
            </w:r>
          </w:p>
        </w:tc>
        <w:tc>
          <w:tcPr>
            <w:tcW w:type="dxa" w:w="45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P0</w:t>
            </w:r>
          </w:p>
        </w:tc>
        <w:tc>
          <w:tcPr>
            <w:tcW w:type="dxa" w:w="107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A32218"/>
                <w:sz w:val="18"/>
                <w:rFonts w:ascii="IBM Plex Mono" w:hAnsi="IBM Plex Mono" w:cs="IBM Plex Mono"/>
              </w:rPr>
              <w:t>Falta</w:t>
            </w:r>
          </w:p>
        </w:tc>
        <w:tc>
          <w:tcPr>
            <w:tcW w:type="dxa" w:w="187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-</w:t>
            </w:r>
          </w:p>
        </w:tc>
        <w:tc>
          <w:tcPr>
            <w:tcW w:type="dxa" w:w="385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Não mapeado em nenhuma fonte concedida.</w:t>
            </w:r>
          </w:p>
        </w:tc>
      </w:tr>
      <w:t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Permanência média</w:t>
            </w:r>
          </w:p>
        </w:tc>
        <w:tc>
          <w:tcPr>
            <w:tcW w:type="dxa" w:w="45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P0</w:t>
            </w:r>
          </w:p>
        </w:tc>
        <w:tc>
          <w:tcPr>
            <w:tcW w:type="dxa" w:w="107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A32218"/>
                <w:sz w:val="18"/>
                <w:rFonts w:ascii="IBM Plex Mono" w:hAnsi="IBM Plex Mono" w:cs="IBM Plex Mono"/>
              </w:rPr>
              <w:t>Falta</w:t>
            </w:r>
          </w:p>
        </w:tc>
        <w:tc>
          <w:tcPr>
            <w:tcW w:type="dxa" w:w="187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~11 meses [E]</w:t>
            </w:r>
          </w:p>
        </w:tc>
        <w:tc>
          <w:tcPr>
            <w:tcW w:type="dxa" w:w="385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Derivável do churn, assim que a ambiguidade de logo contra receita fechar.</w:t>
            </w:r>
          </w:p>
        </w:tc>
      </w:tr>
      <w:t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LTV</w:t>
            </w:r>
          </w:p>
        </w:tc>
        <w:tc>
          <w:tcPr>
            <w:tcW w:type="dxa" w:w="45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P0</w:t>
            </w:r>
          </w:p>
        </w:tc>
        <w:tc>
          <w:tcPr>
            <w:tcW w:type="dxa" w:w="107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A32218"/>
                <w:sz w:val="18"/>
                <w:rFonts w:ascii="IBM Plex Mono" w:hAnsi="IBM Plex Mono" w:cs="IBM Plex Mono"/>
              </w:rPr>
              <w:t>Falta</w:t>
            </w:r>
          </w:p>
        </w:tc>
        <w:tc>
          <w:tcPr>
            <w:tcW w:type="dxa" w:w="187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-</w:t>
            </w:r>
          </w:p>
        </w:tc>
        <w:tc>
          <w:tcPr>
            <w:tcW w:type="dxa" w:w="385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Depende de ticket, permanência e margem. Os três ausentes.</w:t>
            </w:r>
          </w:p>
        </w:tc>
      </w:tr>
      <w:t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Motivos de cancelamento</w:t>
            </w:r>
          </w:p>
        </w:tc>
        <w:tc>
          <w:tcPr>
            <w:tcW w:type="dxa" w:w="45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P0</w:t>
            </w:r>
          </w:p>
        </w:tc>
        <w:tc>
          <w:tcPr>
            <w:tcW w:type="dxa" w:w="107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8A5A00"/>
                <w:sz w:val="18"/>
                <w:rFonts w:ascii="IBM Plex Mono" w:hAnsi="IBM Plex Mono" w:cs="IBM Plex Mono"/>
              </w:rPr>
              <w:t>A conferir</w:t>
            </w:r>
          </w:p>
        </w:tc>
        <w:tc>
          <w:tcPr>
            <w:tcW w:type="dxa" w:w="187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-</w:t>
            </w:r>
          </w:p>
        </w:tc>
        <w:tc>
          <w:tcPr>
            <w:tcW w:type="dxa" w:w="385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Declarado concedido no lote de 10/09 e NUNCA conferido na ferramenta, resíduo da pendência 18. O projeto já levou dois calotes assim: o GA4 chegou em nível Leitor e o Meta chegou com 'nenhu…</w:t>
            </w:r>
          </w:p>
        </w:tc>
      </w:tr>
      <w:t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Leads entregues por anunciante</w:t>
            </w:r>
          </w:p>
        </w:tc>
        <w:tc>
          <w:tcPr>
            <w:tcW w:type="dxa" w:w="45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P0</w:t>
            </w:r>
          </w:p>
        </w:tc>
        <w:tc>
          <w:tcPr>
            <w:tcW w:type="dxa" w:w="107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A32218"/>
                <w:sz w:val="18"/>
                <w:rFonts w:ascii="IBM Plex Mono" w:hAnsi="IBM Plex Mono" w:cs="IBM Plex Mono"/>
              </w:rPr>
              <w:t>Falta</w:t>
            </w:r>
          </w:p>
        </w:tc>
        <w:tc>
          <w:tcPr>
            <w:tcW w:type="dxa" w:w="187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-</w:t>
            </w:r>
          </w:p>
        </w:tc>
        <w:tc>
          <w:tcPr>
            <w:tcW w:type="dxa" w:w="385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Metrica de plataforma, não de CRM. Fonte não mapeada e fora de todos os blocos do checklist.</w:t>
            </w:r>
          </w:p>
        </w:tc>
      </w:tr>
      <w:t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Anúncios ativos por anunciante</w:t>
            </w:r>
          </w:p>
        </w:tc>
        <w:tc>
          <w:tcPr>
            <w:tcW w:type="dxa" w:w="45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P0</w:t>
            </w:r>
          </w:p>
        </w:tc>
        <w:tc>
          <w:tcPr>
            <w:tcW w:type="dxa" w:w="107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A32218"/>
                <w:sz w:val="18"/>
                <w:rFonts w:ascii="IBM Plex Mono" w:hAnsi="IBM Plex Mono" w:cs="IBM Plex Mono"/>
              </w:rPr>
              <w:t>Falta</w:t>
            </w:r>
          </w:p>
        </w:tc>
        <w:tc>
          <w:tcPr>
            <w:tcW w:type="dxa" w:w="187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-</w:t>
            </w:r>
          </w:p>
        </w:tc>
        <w:tc>
          <w:tcPr>
            <w:tcW w:type="dxa" w:w="385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Idem: é o dado do produto, não do funil.</w:t>
            </w:r>
          </w:p>
        </w:tc>
      </w:tr>
      <w:t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NPS ou CSAT do anunciante</w:t>
            </w:r>
          </w:p>
        </w:tc>
        <w:tc>
          <w:tcPr>
            <w:tcW w:type="dxa" w:w="45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P1</w:t>
            </w:r>
          </w:p>
        </w:tc>
        <w:tc>
          <w:tcPr>
            <w:tcW w:type="dxa" w:w="107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A32218"/>
                <w:sz w:val="18"/>
                <w:rFonts w:ascii="IBM Plex Mono" w:hAnsi="IBM Plex Mono" w:cs="IBM Plex Mono"/>
              </w:rPr>
              <w:t>Falta</w:t>
            </w:r>
          </w:p>
        </w:tc>
        <w:tc>
          <w:tcPr>
            <w:tcW w:type="dxa" w:w="187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-</w:t>
            </w:r>
          </w:p>
        </w:tc>
        <w:tc>
          <w:tcPr>
            <w:tcW w:type="dxa" w:w="385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Exige pesquisa. Não consta de nenhum bloco recebido.</w:t>
            </w:r>
          </w:p>
        </w:tc>
      </w:tr>
      <w:t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Anunciante presente em 2+ produtos</w:t>
            </w:r>
          </w:p>
        </w:tc>
        <w:tc>
          <w:tcPr>
            <w:tcW w:type="dxa" w:w="45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P1</w:t>
            </w:r>
          </w:p>
        </w:tc>
        <w:tc>
          <w:tcPr>
            <w:tcW w:type="dxa" w:w="107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A32218"/>
                <w:sz w:val="18"/>
                <w:rFonts w:ascii="IBM Plex Mono" w:hAnsi="IBM Plex Mono" w:cs="IBM Plex Mono"/>
              </w:rPr>
              <w:t>Falta</w:t>
            </w:r>
          </w:p>
        </w:tc>
        <w:tc>
          <w:tcPr>
            <w:tcW w:type="dxa" w:w="187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-</w:t>
            </w:r>
          </w:p>
        </w:tc>
        <w:tc>
          <w:tcPr>
            <w:tcW w:type="dxa" w:w="385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BI. Sem acesso.</w:t>
            </w:r>
          </w:p>
        </w:tc>
      </w:tr>
    </w:tbl>
    <w:p>
      <w:pPr>
        <w:spacing w:before="0" w:after="40" w:line="283" w:lineRule="auto"/>
      </w:pPr>
    </w:p>
    <w:p>
      <w:r>
        <w:br w:type="page"/>
      </w:r>
    </w:p>
    <w:p>
      <w:pPr>
        <w:spacing w:before="400" w:after="80"/>
      </w:pPr>
      <w:r>
        <w:rPr>
          <w:b/>
          <w:i w:val="0"/>
          <w:color w:val="970013"/>
          <w:sz w:val="26"/>
          <w:rFonts w:ascii="IBM Plex Mono" w:hAnsi="IBM Plex Mono" w:cs="IBM Plex Mono"/>
        </w:rPr>
        <w:t xml:space="preserve">06   </w:t>
      </w:r>
      <w:r>
        <w:rPr>
          <w:b/>
          <w:i w:val="0"/>
          <w:color w:val="1A1416"/>
          <w:sz w:val="30"/>
          <w:rFonts w:ascii="IBM Plex Sans" w:hAnsi="IBM Plex Sans" w:cs="IBM Plex Sans"/>
        </w:rPr>
        <w:t>A fila da V4: o que sai sem pedir nada à OLX</w:t>
      </w:r>
    </w:p>
    <w:p>
      <w:pPr>
        <w:spacing w:before="40" w:after="200"/>
        <w:pBdr>
          <w:bottom w:val="single" w:sz="8" w:space="1" w:color="CFC6C8"/>
        </w:pBdr>
      </w:pPr>
    </w:p>
    <w:p>
      <w:pPr>
        <w:spacing w:before="0" w:after="160" w:line="283" w:lineRule="auto"/>
      </w:pPr>
      <w:r>
        <w:rPr>
          <w:b w:val="0"/>
          <w:i w:val="0"/>
          <w:color w:val="5E5458"/>
          <w:sz w:val="20"/>
          <w:rFonts w:ascii="IBM Plex Sans" w:hAnsi="IBM Plex Sans" w:cs="IBM Plex Sans"/>
        </w:rPr>
        <w:t>Toda linha desta tabela é trabalho de extração sobre fonte que já foi concedida. É a fila mais barata do projeto e a mais atrasada.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0D2"/>
          <w:left w:val="single" w:sz="4" w:color="D8D0D2"/>
          <w:bottom w:val="single" w:sz="4" w:color="D8D0D2"/>
          <w:right w:val="single" w:sz="4" w:color="D8D0D2"/>
          <w:insideH w:val="single" w:sz="4" w:color="D8D0D2"/>
          <w:insideV w:val="single" w:sz="4" w:color="D8D0D2"/>
        </w:tblBorders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701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IBM Plex Sans" w:hAnsi="IBM Plex Sans" w:cs="IBM Plex Sans"/>
              </w:rPr>
              <w:t>FONTE</w:t>
            </w:r>
          </w:p>
        </w:tc>
        <w:tc>
          <w:tcPr>
            <w:tcW w:type="dxa" w:w="850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IBM Plex Sans" w:hAnsi="IBM Plex Sans" w:cs="IBM Plex Sans"/>
              </w:rPr>
              <w:t>INDICADORES</w:t>
            </w:r>
          </w:p>
        </w:tc>
        <w:tc>
          <w:tcPr>
            <w:tcW w:type="dxa" w:w="1928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IBM Plex Sans" w:hAnsi="IBM Plex Sans" w:cs="IBM Plex Sans"/>
              </w:rPr>
              <w:t>ESTADO DO ACESSO</w:t>
            </w:r>
          </w:p>
        </w:tc>
        <w:tc>
          <w:tcPr>
            <w:tcW w:type="dxa" w:w="3742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IBM Plex Sans" w:hAnsi="IBM Plex Sans" w:cs="IBM Plex Sans"/>
              </w:rPr>
              <w:t>O QUE SAI DE LÁ</w:t>
            </w:r>
          </w:p>
        </w:tc>
        <w:tc>
          <w:tcPr>
            <w:tcW w:type="dxa" w:w="964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IBM Plex Sans" w:hAnsi="IBM Plex Sans" w:cs="IBM Plex Sans"/>
              </w:rPr>
              <w:t>PRAZO</w:t>
            </w:r>
          </w:p>
        </w:tc>
      </w:tr>
      <w:tr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CRM comercial</w:t>
            </w:r>
          </w:p>
        </w:tc>
        <w:tc>
          <w:tcPr>
            <w:tcW w:type="dxa" w:w="85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20</w:t>
            </w:r>
          </w:p>
        </w:tc>
        <w:tc>
          <w:tcPr>
            <w:tcW w:type="dxa" w:w="192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declarado concedido em 10/09, nunca aberto</w:t>
            </w:r>
          </w:p>
        </w:tc>
        <w:tc>
          <w:tcPr>
            <w:tcW w:type="dxa" w:w="3742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Funil inteiro de Qualificação a Decisão: leads por origem, MQL, SQL, win rate, ciclo de venda, motivos de perda, motivos de cancelamento, contratos novos.</w:t>
            </w:r>
          </w:p>
        </w:tc>
        <w:tc>
          <w:tcPr>
            <w:tcW w:type="dxa" w:w="96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8A5A00"/>
                <w:sz w:val="18"/>
                <w:rFonts w:ascii="IBM Plex Mono" w:hAnsi="IBM Plex Mono" w:cs="IBM Plex Mono"/>
              </w:rPr>
              <w:t>15/09</w:t>
            </w:r>
          </w:p>
        </w:tc>
      </w:tr>
      <w:tr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Salesforce Marketing Cloud</w:t>
            </w:r>
          </w:p>
        </w:tc>
        <w:tc>
          <w:tcPr>
            <w:tcW w:type="dxa" w:w="85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2</w:t>
            </w:r>
          </w:p>
        </w:tc>
        <w:tc>
          <w:tcPr>
            <w:tcW w:type="dxa" w:w="192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declarado concedido em 10/09, nunca aberto</w:t>
            </w:r>
          </w:p>
        </w:tc>
        <w:tc>
          <w:tcPr>
            <w:tcW w:type="dxa" w:w="3742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Open rate e click rate, camada analítica da auditoria (i), hoje fechada só na camada experiencial.</w:t>
            </w:r>
          </w:p>
        </w:tc>
        <w:tc>
          <w:tcPr>
            <w:tcW w:type="dxa" w:w="96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8A5A00"/>
                <w:sz w:val="18"/>
                <w:rFonts w:ascii="IBM Plex Mono" w:hAnsi="IBM Plex Mono" w:cs="IBM Plex Mono"/>
              </w:rPr>
              <w:t>15/09</w:t>
            </w:r>
          </w:p>
        </w:tc>
      </w:tr>
      <w:tr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Google Search Console</w:t>
            </w:r>
          </w:p>
        </w:tc>
        <w:tc>
          <w:tcPr>
            <w:tcW w:type="dxa" w:w="85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1</w:t>
            </w:r>
          </w:p>
        </w:tc>
        <w:tc>
          <w:tcPr>
            <w:tcW w:type="dxa" w:w="192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declarado concedido em 10/09, nunca aberto</w:t>
            </w:r>
          </w:p>
        </w:tc>
        <w:tc>
          <w:tcPr>
            <w:tcW w:type="dxa" w:w="3742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Posição média nas keywords B2B estratégicas, linha de base da auditoria (ii).</w:t>
            </w:r>
          </w:p>
        </w:tc>
        <w:tc>
          <w:tcPr>
            <w:tcW w:type="dxa" w:w="96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8A5A00"/>
                <w:sz w:val="18"/>
                <w:rFonts w:ascii="IBM Plex Mono" w:hAnsi="IBM Plex Mono" w:cs="IBM Plex Mono"/>
              </w:rPr>
              <w:t>15/09</w:t>
            </w:r>
          </w:p>
        </w:tc>
      </w:tr>
      <w:tr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GA4</w:t>
            </w:r>
          </w:p>
        </w:tc>
        <w:tc>
          <w:tcPr>
            <w:tcW w:type="dxa" w:w="85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3</w:t>
            </w:r>
          </w:p>
        </w:tc>
        <w:tc>
          <w:tcPr>
            <w:tcW w:type="dxa" w:w="192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aberto e testado em 14/09, respondeu</w:t>
            </w:r>
          </w:p>
        </w:tc>
        <w:tc>
          <w:tcPr>
            <w:tcW w:type="dxa" w:w="3742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Sessões com 2 ou mais páginas, visualizações das páginas de plano e preço, taxa de retorno em 7 dias. Presos ao inventário de URLs do item C1.</w:t>
            </w:r>
          </w:p>
        </w:tc>
        <w:tc>
          <w:tcPr>
            <w:tcW w:type="dxa" w:w="96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8A5A00"/>
                <w:sz w:val="18"/>
                <w:rFonts w:ascii="IBM Plex Mono" w:hAnsi="IBM Plex Mono" w:cs="IBM Plex Mono"/>
              </w:rPr>
              <w:t>16/09</w:t>
            </w:r>
          </w:p>
        </w:tc>
      </w:tr>
      <w:tr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V4MOS · Meta e Google Ads</w:t>
            </w:r>
          </w:p>
        </w:tc>
        <w:tc>
          <w:tcPr>
            <w:tcW w:type="dxa" w:w="85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14</w:t>
            </w:r>
          </w:p>
        </w:tc>
        <w:tc>
          <w:tcPr>
            <w:tcW w:type="dxa" w:w="192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ingerindo desde 12/09, recoletado em 14/09</w:t>
            </w:r>
          </w:p>
        </w:tc>
        <w:tc>
          <w:tcPr>
            <w:tcW w:type="dxa" w:w="3742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Toda a camada de mídia já está medida. O que falta não é extração, é o corte B2B contra B2C.</w:t>
            </w:r>
          </w:p>
        </w:tc>
        <w:tc>
          <w:tcPr>
            <w:tcW w:type="dxa" w:w="96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8A5A00"/>
                <w:sz w:val="18"/>
                <w:rFonts w:ascii="IBM Plex Mono" w:hAnsi="IBM Plex Mono" w:cs="IBM Plex Mono"/>
              </w:rPr>
              <w:t>depende de G2</w:t>
            </w:r>
          </w:p>
        </w:tc>
      </w:tr>
    </w:tbl>
    <w:p>
      <w:pPr>
        <w:spacing w:before="0" w:after="40" w:line="283" w:lineRule="auto"/>
      </w:pPr>
    </w:p>
    <w:p>
      <w:pPr>
        <w:spacing w:before="400" w:after="80"/>
      </w:pPr>
      <w:r>
        <w:rPr>
          <w:b/>
          <w:i w:val="0"/>
          <w:color w:val="970013"/>
          <w:sz w:val="26"/>
          <w:rFonts w:ascii="IBM Plex Mono" w:hAnsi="IBM Plex Mono" w:cs="IBM Plex Mono"/>
        </w:rPr>
        <w:t xml:space="preserve">07   </w:t>
      </w:r>
      <w:r>
        <w:rPr>
          <w:b/>
          <w:i w:val="0"/>
          <w:color w:val="1A1416"/>
          <w:sz w:val="30"/>
          <w:rFonts w:ascii="IBM Plex Sans" w:hAnsi="IBM Plex Sans" w:cs="IBM Plex Sans"/>
        </w:rPr>
        <w:t>O pedido à OLX, consolidado</w:t>
      </w:r>
    </w:p>
    <w:p>
      <w:pPr>
        <w:spacing w:before="40" w:after="200"/>
        <w:pBdr>
          <w:bottom w:val="single" w:sz="8" w:space="1" w:color="CFC6C8"/>
        </w:pBdr>
      </w:pPr>
    </w:p>
    <w:p>
      <w:pPr>
        <w:spacing w:before="0" w:after="160" w:line="283" w:lineRule="auto"/>
      </w:pPr>
      <w:r>
        <w:rPr>
          <w:b w:val="0"/>
          <w:i w:val="0"/>
          <w:color w:val="5E5458"/>
          <w:sz w:val="20"/>
          <w:rFonts w:ascii="IBM Plex Sans" w:hAnsi="IBM Plex Sans" w:cs="IBM Plex Sans"/>
        </w:rPr>
        <w:t>Cada linha tem origem rastreável: item do checklist de 11/08 ou número de pendência do projeto. Pedido sem origem vira lista de desejos, e é tratado como tal.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0D2"/>
          <w:left w:val="single" w:sz="4" w:color="D8D0D2"/>
          <w:bottom w:val="single" w:sz="4" w:color="D8D0D2"/>
          <w:right w:val="single" w:sz="4" w:color="D8D0D2"/>
          <w:insideH w:val="single" w:sz="4" w:color="D8D0D2"/>
          <w:insideV w:val="single" w:sz="4" w:color="D8D0D2"/>
        </w:tblBorders>
      </w:tblPr>
      <w:tblGrid>
        <w:gridCol w:w="1643"/>
        <w:gridCol w:w="1643"/>
        <w:gridCol w:w="1643"/>
        <w:gridCol w:w="1643"/>
        <w:gridCol w:w="1643"/>
        <w:gridCol w:w="1643"/>
      </w:tblGrid>
      <w:tr>
        <w:tc>
          <w:tcPr>
            <w:tcW w:type="dxa" w:w="1361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IBM Plex Sans" w:hAnsi="IBM Plex Sans" w:cs="IBM Plex Sans"/>
              </w:rPr>
              <w:t>BLOCO</w:t>
            </w:r>
          </w:p>
        </w:tc>
        <w:tc>
          <w:tcPr>
            <w:tcW w:type="dxa" w:w="964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IBM Plex Sans" w:hAnsi="IBM Plex Sans" w:cs="IBM Plex Sans"/>
              </w:rPr>
              <w:t>ORIGEM</w:t>
            </w:r>
          </w:p>
        </w:tc>
        <w:tc>
          <w:tcPr>
            <w:tcW w:type="dxa" w:w="2438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IBM Plex Sans" w:hAnsi="IBM Plex Sans" w:cs="IBM Plex Sans"/>
              </w:rPr>
              <w:t>O QUE PEDIR</w:t>
            </w:r>
          </w:p>
        </w:tc>
        <w:tc>
          <w:tcPr>
            <w:tcW w:type="dxa" w:w="2835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IBM Plex Sans" w:hAnsi="IBM Plex Sans" w:cs="IBM Plex Sans"/>
              </w:rPr>
              <w:t>POR QUÊ</w:t>
            </w:r>
          </w:p>
        </w:tc>
        <w:tc>
          <w:tcPr>
            <w:tcW w:type="dxa" w:w="1247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IBM Plex Sans" w:hAnsi="IBM Plex Sans" w:cs="IBM Plex Sans"/>
              </w:rPr>
              <w:t>DONO</w:t>
            </w:r>
          </w:p>
        </w:tc>
        <w:tc>
          <w:tcPr>
            <w:tcW w:type="dxa" w:w="680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IBM Plex Sans" w:hAnsi="IBM Plex Sans" w:cs="IBM Plex Sans"/>
              </w:rPr>
              <w:t>PRAZO</w:t>
            </w:r>
          </w:p>
        </w:tc>
      </w:tr>
      <w:tr>
        <w:tc>
          <w:tcPr>
            <w:tcW w:type="dxa" w:w="136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A · Visão de negócio</w:t>
            </w:r>
          </w:p>
        </w:tc>
        <w:tc>
          <w:tcPr>
            <w:tcW w:type="dxa" w:w="96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A2</w:t>
            </w:r>
          </w:p>
        </w:tc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Funil comercial completo, volumes e taxas por etapa, 12 a 24 meses, por vertical e por canal</w:t>
            </w:r>
          </w:p>
        </w:tc>
        <w:tc>
          <w:tcPr>
            <w:tcW w:type="dxa" w:w="283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É o denominador de metade do catálogo. Existe no Looker sobre BigQuery: é extração, não construção.</w:t>
            </w:r>
          </w:p>
        </w:tc>
        <w:tc>
          <w:tcPr>
            <w:tcW w:type="dxa" w:w="124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Leonardo Rosa</w:t>
            </w:r>
          </w:p>
        </w:tc>
        <w:tc>
          <w:tcPr>
            <w:tcW w:type="dxa" w:w="68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8A5A00"/>
                <w:sz w:val="18"/>
                <w:rFonts w:ascii="IBM Plex Mono" w:hAnsi="IBM Plex Mono" w:cs="IBM Plex Mono"/>
              </w:rPr>
              <w:t>17/09</w:t>
            </w:r>
          </w:p>
        </w:tc>
      </w:tr>
      <w:tr>
        <w:tc>
          <w:tcPr>
            <w:tcW w:type="dxa" w:w="136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A · Visão de negócio</w:t>
            </w:r>
          </w:p>
        </w:tc>
        <w:tc>
          <w:tcPr>
            <w:tcW w:type="dxa" w:w="96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A3</w:t>
            </w:r>
          </w:p>
        </w:tc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Ticket médio, ciclo de vendas e CAC por canal</w:t>
            </w:r>
          </w:p>
        </w:tc>
        <w:tc>
          <w:tcPr>
            <w:tcW w:type="dxa" w:w="283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Insumo matemático do forecast. Pedido em 11/08 e nunca entregue.</w:t>
            </w:r>
          </w:p>
        </w:tc>
        <w:tc>
          <w:tcPr>
            <w:tcW w:type="dxa" w:w="124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Matheus Rodrigues + Iuna Scheffler</w:t>
            </w:r>
          </w:p>
        </w:tc>
        <w:tc>
          <w:tcPr>
            <w:tcW w:type="dxa" w:w="68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8A5A00"/>
                <w:sz w:val="18"/>
                <w:rFonts w:ascii="IBM Plex Mono" w:hAnsi="IBM Plex Mono" w:cs="IBM Plex Mono"/>
              </w:rPr>
              <w:t>17/09</w:t>
            </w:r>
          </w:p>
        </w:tc>
      </w:tr>
      <w:tr>
        <w:tc>
          <w:tcPr>
            <w:tcW w:type="dxa" w:w="136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A · Visão de negócio</w:t>
            </w:r>
          </w:p>
        </w:tc>
        <w:tc>
          <w:tcPr>
            <w:tcW w:type="dxa" w:w="96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A5</w:t>
            </w:r>
          </w:p>
        </w:tc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Metas comerciais vigentes e OKRs, abertos por etapa do fluxo</w:t>
            </w:r>
          </w:p>
        </w:tc>
        <w:tc>
          <w:tcPr>
            <w:tcW w:type="dxa" w:w="283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Sem a meta do cliente não há contra o que comparar o forecast.</w:t>
            </w:r>
          </w:p>
        </w:tc>
        <w:tc>
          <w:tcPr>
            <w:tcW w:type="dxa" w:w="124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Matheus Rodrigues</w:t>
            </w:r>
          </w:p>
        </w:tc>
        <w:tc>
          <w:tcPr>
            <w:tcW w:type="dxa" w:w="68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8A5A00"/>
                <w:sz w:val="18"/>
                <w:rFonts w:ascii="IBM Plex Mono" w:hAnsi="IBM Plex Mono" w:cs="IBM Plex Mono"/>
              </w:rPr>
              <w:t>17/09</w:t>
            </w:r>
          </w:p>
        </w:tc>
      </w:tr>
      <w:tr>
        <w:tc>
          <w:tcPr>
            <w:tcW w:type="dxa" w:w="136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A · Visão de negócio</w:t>
            </w:r>
          </w:p>
        </w:tc>
        <w:tc>
          <w:tcPr>
            <w:tcW w:type="dxa" w:w="96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A6</w:t>
            </w:r>
          </w:p>
        </w:tc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Definição de ICP e segmentação de mercado</w:t>
            </w:r>
          </w:p>
        </w:tc>
        <w:tc>
          <w:tcPr>
            <w:tcW w:type="dxa" w:w="283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Sem critério de segmento não existe denominador para CAC por segmento nem para % de leads dentro do ICP.</w:t>
            </w:r>
          </w:p>
        </w:tc>
        <w:tc>
          <w:tcPr>
            <w:tcW w:type="dxa" w:w="124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Florence Scappini</w:t>
            </w:r>
          </w:p>
        </w:tc>
        <w:tc>
          <w:tcPr>
            <w:tcW w:type="dxa" w:w="68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8A5A00"/>
                <w:sz w:val="18"/>
                <w:rFonts w:ascii="IBM Plex Mono" w:hAnsi="IBM Plex Mono" w:cs="IBM Plex Mono"/>
              </w:rPr>
              <w:t>17/09</w:t>
            </w:r>
          </w:p>
        </w:tc>
      </w:tr>
      <w:tr>
        <w:tc>
          <w:tcPr>
            <w:tcW w:type="dxa" w:w="136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A · Visão de negócio</w:t>
            </w:r>
          </w:p>
        </w:tc>
        <w:tc>
          <w:tcPr>
            <w:tcW w:type="dxa" w:w="96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meta 2</w:t>
            </w:r>
          </w:p>
        </w:tc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P&amp;L por vertical, com mídia e imposto abertos por linha</w:t>
            </w:r>
          </w:p>
        </w:tc>
        <w:tc>
          <w:tcPr>
            <w:tcW w:type="dxa" w:w="283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Converte receita em truput. É o único caminho para margem de contribuição, LTV e payback.</w:t>
            </w:r>
          </w:p>
        </w:tc>
        <w:tc>
          <w:tcPr>
            <w:tcW w:type="dxa" w:w="124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Matheus Rodrigues</w:t>
            </w:r>
          </w:p>
        </w:tc>
        <w:tc>
          <w:tcPr>
            <w:tcW w:type="dxa" w:w="68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8A5A00"/>
                <w:sz w:val="18"/>
                <w:rFonts w:ascii="IBM Plex Mono" w:hAnsi="IBM Plex Mono" w:cs="IBM Plex Mono"/>
              </w:rPr>
              <w:t>17/09</w:t>
            </w:r>
          </w:p>
        </w:tc>
      </w:tr>
      <w:tr>
        <w:tc>
          <w:tcPr>
            <w:tcW w:type="dxa" w:w="136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G · Mídia paga</w:t>
            </w:r>
          </w:p>
        </w:tc>
        <w:tc>
          <w:tcPr>
            <w:tcW w:type="dxa" w:w="96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G2</w:t>
            </w:r>
          </w:p>
        </w:tc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Investimento mensal por canal e campanha, 12 meses, com a marcação de qual campanha é B2B</w:t>
            </w:r>
          </w:p>
        </w:tc>
        <w:tc>
          <w:tcPr>
            <w:tcW w:type="dxa" w:w="283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As contas medem R$ 10,12 mi sem separar B2B de B2C. Sem a marcação, nenhum CAC de mídia é do recorte contratado.</w:t>
            </w:r>
          </w:p>
        </w:tc>
        <w:tc>
          <w:tcPr>
            <w:tcW w:type="dxa" w:w="124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Mirella Mendonça</w:t>
            </w:r>
          </w:p>
        </w:tc>
        <w:tc>
          <w:tcPr>
            <w:tcW w:type="dxa" w:w="68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8A5A00"/>
                <w:sz w:val="18"/>
                <w:rFonts w:ascii="IBM Plex Mono" w:hAnsi="IBM Plex Mono" w:cs="IBM Plex Mono"/>
              </w:rPr>
              <w:t>17/09</w:t>
            </w:r>
          </w:p>
        </w:tc>
      </w:tr>
      <w:tr>
        <w:tc>
          <w:tcPr>
            <w:tcW w:type="dxa" w:w="136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G · Mídia paga</w:t>
            </w:r>
          </w:p>
        </w:tc>
        <w:tc>
          <w:tcPr>
            <w:tcW w:type="dxa" w:w="96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G3</w:t>
            </w:r>
          </w:p>
        </w:tc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Plano de mídia vigente e quais conversões estão otimizadas em cada plataforma</w:t>
            </w:r>
          </w:p>
        </w:tc>
        <w:tc>
          <w:tcPr>
            <w:tcW w:type="dxa" w:w="283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O Google conta 896 mil conversões a R$ 3,06. Saber qual ação é contada decide se esse número significa alguma coisa.</w:t>
            </w:r>
          </w:p>
        </w:tc>
        <w:tc>
          <w:tcPr>
            <w:tcW w:type="dxa" w:w="124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Mirella Mendonça</w:t>
            </w:r>
          </w:p>
        </w:tc>
        <w:tc>
          <w:tcPr>
            <w:tcW w:type="dxa" w:w="68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8A5A00"/>
                <w:sz w:val="18"/>
                <w:rFonts w:ascii="IBM Plex Mono" w:hAnsi="IBM Plex Mono" w:cs="IBM Plex Mono"/>
              </w:rPr>
              <w:t>17/09</w:t>
            </w:r>
          </w:p>
        </w:tc>
      </w:tr>
      <w:tr>
        <w:tc>
          <w:tcPr>
            <w:tcW w:type="dxa" w:w="136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G · Mídia paga</w:t>
            </w:r>
          </w:p>
        </w:tc>
        <w:tc>
          <w:tcPr>
            <w:tcW w:type="dxa" w:w="96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G4</w:t>
            </w:r>
          </w:p>
        </w:tc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Metas de CPA e ROAS praticadas, e o dicionário da nomenclatura de campanha</w:t>
            </w:r>
          </w:p>
        </w:tc>
        <w:tc>
          <w:tcPr>
            <w:tcW w:type="dxa" w:w="283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Sem o dicionário, separar B2B de B2C nos nomes é adivinhação: `dartpro25br` parece B2B e carrega o mesmo sufixo de tudo o mais.</w:t>
            </w:r>
          </w:p>
        </w:tc>
        <w:tc>
          <w:tcPr>
            <w:tcW w:type="dxa" w:w="124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Mirella Mendonça</w:t>
            </w:r>
          </w:p>
        </w:tc>
        <w:tc>
          <w:tcPr>
            <w:tcW w:type="dxa" w:w="68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8A5A00"/>
                <w:sz w:val="18"/>
                <w:rFonts w:ascii="IBM Plex Mono" w:hAnsi="IBM Plex Mono" w:cs="IBM Plex Mono"/>
              </w:rPr>
              <w:t>17/09</w:t>
            </w:r>
          </w:p>
        </w:tc>
      </w:tr>
      <w:tr>
        <w:tc>
          <w:tcPr>
            <w:tcW w:type="dxa" w:w="136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B · CRM</w:t>
            </w:r>
          </w:p>
        </w:tc>
        <w:tc>
          <w:tcPr>
            <w:tcW w:type="dxa" w:w="96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pendência 30</w:t>
            </w:r>
          </w:p>
        </w:tc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Clientes novos no Campana por vertical e mês desde abril, churn da coorte contra a anterior, e receita da coorte</w:t>
            </w:r>
          </w:p>
        </w:tc>
        <w:tc>
          <w:tcPr>
            <w:tcW w:type="dxa" w:w="283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Mede o que os cinco meses sem jornada de ciclo de vida custaram. Sem tamanho, o achado não entra em forecast.</w:t>
            </w:r>
          </w:p>
        </w:tc>
        <w:tc>
          <w:tcPr>
            <w:tcW w:type="dxa" w:w="124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Michelle Morais</w:t>
            </w:r>
          </w:p>
        </w:tc>
        <w:tc>
          <w:tcPr>
            <w:tcW w:type="dxa" w:w="68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8A5A00"/>
                <w:sz w:val="18"/>
                <w:rFonts w:ascii="IBM Plex Mono" w:hAnsi="IBM Plex Mono" w:cs="IBM Plex Mono"/>
              </w:rPr>
              <w:t>17/09</w:t>
            </w:r>
          </w:p>
        </w:tc>
      </w:tr>
      <w:tr>
        <w:tc>
          <w:tcPr>
            <w:tcW w:type="dxa" w:w="136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B · CRM</w:t>
            </w:r>
          </w:p>
        </w:tc>
        <w:tc>
          <w:tcPr>
            <w:tcW w:type="dxa" w:w="96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pendência 32</w:t>
            </w:r>
          </w:p>
        </w:tc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Miro das jornadas, planilha de links e acessos, dashboard do Looker de canais e o de CRM offline</w:t>
            </w:r>
          </w:p>
        </w:tc>
        <w:tc>
          <w:tcPr>
            <w:tcW w:type="dxa" w:w="283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Quatro entregas prometidas em 09 e 10/09, nenhuma chegou. O mapa de 15 jornadas foi reconstruído de uma tela compartilhada e não é citável em comitê.</w:t>
            </w:r>
          </w:p>
        </w:tc>
        <w:tc>
          <w:tcPr>
            <w:tcW w:type="dxa" w:w="124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Michelle Morais</w:t>
            </w:r>
          </w:p>
        </w:tc>
        <w:tc>
          <w:tcPr>
            <w:tcW w:type="dxa" w:w="68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8A5A00"/>
                <w:sz w:val="18"/>
                <w:rFonts w:ascii="IBM Plex Mono" w:hAnsi="IBM Plex Mono" w:cs="IBM Plex Mono"/>
              </w:rPr>
              <w:t>17/09</w:t>
            </w:r>
          </w:p>
        </w:tc>
      </w:tr>
      <w:tr>
        <w:tc>
          <w:tcPr>
            <w:tcW w:type="dxa" w:w="136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B · CRM</w:t>
            </w:r>
          </w:p>
        </w:tc>
        <w:tc>
          <w:tcPr>
            <w:tcW w:type="dxa" w:w="96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pendência 33</w:t>
            </w:r>
          </w:p>
        </w:tc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Antes e depois da higienização de base, em registros, por vertical</w:t>
            </w:r>
          </w:p>
        </w:tc>
        <w:tc>
          <w:tcPr>
            <w:tcW w:type="dxa" w:w="283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Separa problema de volume de problema de cadastro. Hoje só existe 'CEP ausente em mais de 50%'.</w:t>
            </w:r>
          </w:p>
        </w:tc>
        <w:tc>
          <w:tcPr>
            <w:tcW w:type="dxa" w:w="124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Evelyn Milare</w:t>
            </w:r>
          </w:p>
        </w:tc>
        <w:tc>
          <w:tcPr>
            <w:tcW w:type="dxa" w:w="68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8A5A00"/>
                <w:sz w:val="18"/>
                <w:rFonts w:ascii="IBM Plex Mono" w:hAnsi="IBM Plex Mono" w:cs="IBM Plex Mono"/>
              </w:rPr>
              <w:t>17/09</w:t>
            </w:r>
          </w:p>
        </w:tc>
      </w:tr>
      <w:tr>
        <w:tc>
          <w:tcPr>
            <w:tcW w:type="dxa" w:w="136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A · Visão de negócio</w:t>
            </w:r>
          </w:p>
        </w:tc>
        <w:tc>
          <w:tcPr>
            <w:tcW w:type="dxa" w:w="96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pendência 20</w:t>
            </w:r>
          </w:p>
        </w:tc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Arquivo original do slide FLUXOS e da jornada do cliente profissional</w:t>
            </w:r>
          </w:p>
        </w:tc>
        <w:tc>
          <w:tcPr>
            <w:tcW w:type="dxa" w:w="283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O mix de canais inteiro depende de uma anotação de reunião. Número que não volta à fonte não entra em material de comitê.</w:t>
            </w:r>
          </w:p>
        </w:tc>
        <w:tc>
          <w:tcPr>
            <w:tcW w:type="dxa" w:w="124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Carolina Dallolio</w:t>
            </w:r>
          </w:p>
        </w:tc>
        <w:tc>
          <w:tcPr>
            <w:tcW w:type="dxa" w:w="68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8A5A00"/>
                <w:sz w:val="18"/>
                <w:rFonts w:ascii="IBM Plex Mono" w:hAnsi="IBM Plex Mono" w:cs="IBM Plex Mono"/>
              </w:rPr>
              <w:t>17/09</w:t>
            </w:r>
          </w:p>
        </w:tc>
      </w:tr>
      <w:tr>
        <w:tc>
          <w:tcPr>
            <w:tcW w:type="dxa" w:w="136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G · Mídia paga</w:t>
            </w:r>
          </w:p>
        </w:tc>
        <w:tc>
          <w:tcPr>
            <w:tcW w:type="dxa" w:w="96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pendência 12</w:t>
            </w:r>
          </w:p>
        </w:tc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Lista de subcontas do MCC 526-656-0190 e a quem pertencem os 7 customer IDs vinculados ao ZapImóveis</w:t>
            </w:r>
          </w:p>
        </w:tc>
        <w:tc>
          <w:tcPr>
            <w:tcW w:type="dxa" w:w="283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A conta a que a V4 tem acesso não está entre as 7 que o GA4 mostra. Ou o recorte está errado, ou falta conta.</w:t>
            </w:r>
          </w:p>
        </w:tc>
        <w:tc>
          <w:tcPr>
            <w:tcW w:type="dxa" w:w="124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Mirella Mendonça</w:t>
            </w:r>
          </w:p>
        </w:tc>
        <w:tc>
          <w:tcPr>
            <w:tcW w:type="dxa" w:w="68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8A5A00"/>
                <w:sz w:val="18"/>
                <w:rFonts w:ascii="IBM Plex Mono" w:hAnsi="IBM Plex Mono" w:cs="IBM Plex Mono"/>
              </w:rPr>
              <w:t>17/09</w:t>
            </w:r>
          </w:p>
        </w:tc>
      </w:tr>
    </w:tbl>
    <w:p>
      <w:pPr>
        <w:spacing w:before="0" w:after="40" w:line="283" w:lineRule="auto"/>
      </w:pPr>
    </w:p>
    <w:p>
      <w:r>
        <w:br w:type="page"/>
      </w:r>
    </w:p>
    <w:p>
      <w:pPr>
        <w:spacing w:before="400" w:after="80"/>
      </w:pPr>
      <w:r>
        <w:rPr>
          <w:b/>
          <w:i w:val="0"/>
          <w:color w:val="970013"/>
          <w:sz w:val="26"/>
          <w:rFonts w:ascii="IBM Plex Mono" w:hAnsi="IBM Plex Mono" w:cs="IBM Plex Mono"/>
        </w:rPr>
        <w:t xml:space="preserve">08   </w:t>
      </w:r>
      <w:r>
        <w:rPr>
          <w:b/>
          <w:i w:val="0"/>
          <w:color w:val="1A1416"/>
          <w:sz w:val="30"/>
          <w:rFonts w:ascii="IBM Plex Sans" w:hAnsi="IBM Plex Sans" w:cs="IBM Plex Sans"/>
        </w:rPr>
        <w:t>O que a V4 pode exportar sozinha das contas de anúncio</w:t>
      </w:r>
    </w:p>
    <w:p>
      <w:pPr>
        <w:spacing w:before="40" w:after="200"/>
        <w:pBdr>
          <w:bottom w:val="single" w:sz="8" w:space="1" w:color="CFC6C8"/>
        </w:pBdr>
      </w:pPr>
    </w:p>
    <w:p>
      <w:pPr>
        <w:spacing w:before="0" w:after="160" w:line="283" w:lineRule="auto"/>
      </w:pPr>
      <w:r>
        <w:rPr>
          <w:b w:val="0"/>
          <w:i w:val="0"/>
          <w:color w:val="5E5458"/>
          <w:sz w:val="20"/>
          <w:rFonts w:ascii="IBM Plex Sans" w:hAnsi="IBM Plex Sans" w:cs="IBM Plex Sans"/>
        </w:rPr>
        <w:t>Onze exports de interface, sem API e sem concessão nova, em ordem de valor. Eles não substituem o corte B2B, que só a OLX fecha, mas reduzem o pedido ao cliente ao que realmente só ele tem.</w:t>
      </w:r>
    </w:p>
    <w:p>
      <w:pPr>
        <w:spacing w:before="280" w:after="40"/>
      </w:pPr>
      <w:r>
        <w:rPr>
          <w:b/>
          <w:i w:val="0"/>
          <w:color w:val="1A1416"/>
          <w:sz w:val="23"/>
          <w:rFonts w:ascii="IBM Plex Sans" w:hAnsi="IBM Plex Sans" w:cs="IBM Plex Sans"/>
        </w:rPr>
        <w:t>Google Ads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0D2"/>
          <w:left w:val="single" w:sz="4" w:color="D8D0D2"/>
          <w:bottom w:val="single" w:sz="4" w:color="D8D0D2"/>
          <w:right w:val="single" w:sz="4" w:color="D8D0D2"/>
          <w:insideH w:val="single" w:sz="4" w:color="D8D0D2"/>
          <w:insideV w:val="single" w:sz="4" w:color="D8D0D2"/>
        </w:tblBorders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397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IBM Plex Sans" w:hAnsi="IBM Plex Sans" w:cs="IBM Plex Sans"/>
              </w:rPr>
              <w:t>#</w:t>
            </w:r>
          </w:p>
        </w:tc>
        <w:tc>
          <w:tcPr>
            <w:tcW w:type="dxa" w:w="454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IBM Plex Sans" w:hAnsi="IBM Plex Sans" w:cs="IBM Plex Sans"/>
              </w:rPr>
              <w:t>P</w:t>
            </w:r>
          </w:p>
        </w:tc>
        <w:tc>
          <w:tcPr>
            <w:tcW w:type="dxa" w:w="2438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IBM Plex Sans" w:hAnsi="IBM Plex Sans" w:cs="IBM Plex Sans"/>
              </w:rPr>
              <w:t>O EXPORT</w:t>
            </w:r>
          </w:p>
        </w:tc>
        <w:tc>
          <w:tcPr>
            <w:tcW w:type="dxa" w:w="2154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IBM Plex Sans" w:hAnsi="IBM Plex Sans" w:cs="IBM Plex Sans"/>
              </w:rPr>
              <w:t>ONDE</w:t>
            </w:r>
          </w:p>
        </w:tc>
        <w:tc>
          <w:tcPr>
            <w:tcW w:type="dxa" w:w="4082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IBM Plex Sans" w:hAnsi="IBM Plex Sans" w:cs="IBM Plex Sans"/>
              </w:rPr>
              <w:t>O QUE ELE DESTRAVA</w:t>
            </w:r>
          </w:p>
        </w:tc>
      </w:tr>
      <w:tr>
        <w:tc>
          <w:tcPr>
            <w:tcW w:type="dxa" w:w="39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1</w:t>
            </w:r>
          </w:p>
        </w:tc>
        <w:tc>
          <w:tcPr>
            <w:tcW w:type="dxa" w:w="45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A32218"/>
                <w:sz w:val="18"/>
                <w:rFonts w:ascii="IBM Plex Mono" w:hAnsi="IBM Plex Mono" w:cs="IBM Plex Mono"/>
              </w:rPr>
              <w:t>P0</w:t>
            </w:r>
          </w:p>
        </w:tc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Relatório de campanhas segmentado por Ação de conversão, jan/2025 a set/2026</w:t>
            </w:r>
          </w:p>
        </w:tc>
        <w:tc>
          <w:tcPr>
            <w:tcW w:type="dxa" w:w="215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Relatórios → Campanhas → Segmentar → Conversões → Nome da ação de conversão</w:t>
            </w:r>
          </w:p>
        </w:tc>
        <w:tc>
          <w:tcPr>
            <w:tcW w:type="dxa" w:w="4082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Diz QUAL conversão o Google conta. São 896.625 conversões a R$ 3,06: se forem eventos de navegação importados do GA4, o CPA da conta é ficção e o Smart Bidding está treinado para comprar sessão.</w:t>
            </w:r>
          </w:p>
        </w:tc>
      </w:tr>
      <w:tr>
        <w:tc>
          <w:tcPr>
            <w:tcW w:type="dxa" w:w="39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2</w:t>
            </w:r>
          </w:p>
        </w:tc>
        <w:tc>
          <w:tcPr>
            <w:tcW w:type="dxa" w:w="45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A32218"/>
                <w:sz w:val="18"/>
                <w:rFonts w:ascii="IBM Plex Mono" w:hAnsi="IBM Plex Mono" w:cs="IBM Plex Mono"/>
              </w:rPr>
              <w:t>P0</w:t>
            </w:r>
          </w:p>
        </w:tc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Relatório de campanhas por mês, jan/2025 a set/2026, todas as campanhas incluindo pausadas</w:t>
            </w:r>
          </w:p>
        </w:tc>
        <w:tc>
          <w:tcPr>
            <w:tcW w:type="dxa" w:w="215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Relatórios → Predefinido → Campanha, segmentar por Mês, período personalizado</w:t>
            </w:r>
          </w:p>
        </w:tc>
        <w:tc>
          <w:tcPr>
            <w:tcW w:type="dxa" w:w="4082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Fecha o buraco de nov/2025 a abr/2026, seis meses sem nenhum registro no V4MOS, e diz se foi pausa real da conta ou falha de ingestão. Sem isso o Google tem 11 meses de série e o Meta tem 21.</w:t>
            </w:r>
          </w:p>
        </w:tc>
      </w:tr>
      <w:tr>
        <w:tc>
          <w:tcPr>
            <w:tcW w:type="dxa" w:w="39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3</w:t>
            </w:r>
          </w:p>
        </w:tc>
        <w:tc>
          <w:tcPr>
            <w:tcW w:type="dxa" w:w="45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A32218"/>
                <w:sz w:val="18"/>
                <w:rFonts w:ascii="IBM Plex Mono" w:hAnsi="IBM Plex Mono" w:cs="IBM Plex Mono"/>
              </w:rPr>
              <w:t>P0</w:t>
            </w:r>
          </w:p>
        </w:tc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Relatório de páginas de destino, por campanha, mesma janela</w:t>
            </w:r>
          </w:p>
        </w:tc>
        <w:tc>
          <w:tcPr>
            <w:tcW w:type="dxa" w:w="215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Relatórios → Predefinido → Página de destino (URL final expandida)</w:t>
            </w:r>
          </w:p>
        </w:tc>
        <w:tc>
          <w:tcPr>
            <w:tcW w:type="dxa" w:w="4082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É o corte B2B contra B2C sem depender do dicionário de nomenclatura: quem manda para ads.grupoolx.com.br, anuncie e planos é captação de anunciante; quem manda para busca de imóvel é consumidor.</w:t>
            </w:r>
          </w:p>
        </w:tc>
      </w:tr>
      <w:tr>
        <w:tc>
          <w:tcPr>
            <w:tcW w:type="dxa" w:w="39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4</w:t>
            </w:r>
          </w:p>
        </w:tc>
        <w:tc>
          <w:tcPr>
            <w:tcW w:type="dxa" w:w="45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A32218"/>
                <w:sz w:val="18"/>
                <w:rFonts w:ascii="IBM Plex Mono" w:hAnsi="IBM Plex Mono" w:cs="IBM Plex Mono"/>
              </w:rPr>
              <w:t>P0</w:t>
            </w:r>
          </w:p>
        </w:tc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Tela de Ações de conversão, com todas as colunas</w:t>
            </w:r>
          </w:p>
        </w:tc>
        <w:tc>
          <w:tcPr>
            <w:tcW w:type="dxa" w:w="215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Objetivos → Conversões → Resumo</w:t>
            </w:r>
          </w:p>
        </w:tc>
        <w:tc>
          <w:tcPr>
            <w:tcW w:type="dxa" w:w="4082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Print ou CSV serve. É onde se vê se session_start do GA4 VivaReal, marcado como evento-chave, está importado como conversão.</w:t>
            </w:r>
          </w:p>
        </w:tc>
      </w:tr>
      <w:tr>
        <w:tc>
          <w:tcPr>
            <w:tcW w:type="dxa" w:w="39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5</w:t>
            </w:r>
          </w:p>
        </w:tc>
        <w:tc>
          <w:tcPr>
            <w:tcW w:type="dxa" w:w="45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8A5A00"/>
                <w:sz w:val="18"/>
                <w:rFonts w:ascii="IBM Plex Mono" w:hAnsi="IBM Plex Mono" w:cs="IBM Plex Mono"/>
              </w:rPr>
              <w:t>P1</w:t>
            </w:r>
          </w:p>
        </w:tc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Lista de subcontas do MCC 526-656-0190</w:t>
            </w:r>
          </w:p>
        </w:tc>
        <w:tc>
          <w:tcPr>
            <w:tcW w:type="dxa" w:w="215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Administração → Subcontas</w:t>
            </w:r>
          </w:p>
        </w:tc>
        <w:tc>
          <w:tcPr>
            <w:tcW w:type="dxa" w:w="4082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Fecha a pendência 12: o GA4 mostra 7 contas vinculadas ao ZapImóveis e nenhuma é a que a V4 enxerga.</w:t>
            </w:r>
          </w:p>
        </w:tc>
      </w:tr>
    </w:tbl>
    <w:p>
      <w:pPr>
        <w:spacing w:before="0" w:after="40" w:line="283" w:lineRule="auto"/>
      </w:pPr>
    </w:p>
    <w:p>
      <w:pPr>
        <w:spacing w:before="280" w:after="40"/>
      </w:pPr>
      <w:r>
        <w:rPr>
          <w:b/>
          <w:i w:val="0"/>
          <w:color w:val="1A1416"/>
          <w:sz w:val="23"/>
          <w:rFonts w:ascii="IBM Plex Sans" w:hAnsi="IBM Plex Sans" w:cs="IBM Plex Sans"/>
        </w:rPr>
        <w:t>Meta Ads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0D2"/>
          <w:left w:val="single" w:sz="4" w:color="D8D0D2"/>
          <w:bottom w:val="single" w:sz="4" w:color="D8D0D2"/>
          <w:right w:val="single" w:sz="4" w:color="D8D0D2"/>
          <w:insideH w:val="single" w:sz="4" w:color="D8D0D2"/>
          <w:insideV w:val="single" w:sz="4" w:color="D8D0D2"/>
        </w:tblBorders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397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IBM Plex Sans" w:hAnsi="IBM Plex Sans" w:cs="IBM Plex Sans"/>
              </w:rPr>
              <w:t>#</w:t>
            </w:r>
          </w:p>
        </w:tc>
        <w:tc>
          <w:tcPr>
            <w:tcW w:type="dxa" w:w="454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IBM Plex Sans" w:hAnsi="IBM Plex Sans" w:cs="IBM Plex Sans"/>
              </w:rPr>
              <w:t>P</w:t>
            </w:r>
          </w:p>
        </w:tc>
        <w:tc>
          <w:tcPr>
            <w:tcW w:type="dxa" w:w="2438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IBM Plex Sans" w:hAnsi="IBM Plex Sans" w:cs="IBM Plex Sans"/>
              </w:rPr>
              <w:t>O EXPORT</w:t>
            </w:r>
          </w:p>
        </w:tc>
        <w:tc>
          <w:tcPr>
            <w:tcW w:type="dxa" w:w="2154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IBM Plex Sans" w:hAnsi="IBM Plex Sans" w:cs="IBM Plex Sans"/>
              </w:rPr>
              <w:t>ONDE</w:t>
            </w:r>
          </w:p>
        </w:tc>
        <w:tc>
          <w:tcPr>
            <w:tcW w:type="dxa" w:w="4082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IBM Plex Sans" w:hAnsi="IBM Plex Sans" w:cs="IBM Plex Sans"/>
              </w:rPr>
              <w:t>O QUE ELE DESTRAVA</w:t>
            </w:r>
          </w:p>
        </w:tc>
      </w:tr>
      <w:tr>
        <w:tc>
          <w:tcPr>
            <w:tcW w:type="dxa" w:w="39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6</w:t>
            </w:r>
          </w:p>
        </w:tc>
        <w:tc>
          <w:tcPr>
            <w:tcW w:type="dxa" w:w="45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A32218"/>
                <w:sz w:val="18"/>
                <w:rFonts w:ascii="IBM Plex Mono" w:hAnsi="IBM Plex Mono" w:cs="IBM Plex Mono"/>
              </w:rPr>
              <w:t>P0</w:t>
            </w:r>
          </w:p>
        </w:tc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Relatório por campanha, detalhado por mês, jan/2025 a set/2026, nas duas contas</w:t>
            </w:r>
          </w:p>
        </w:tc>
        <w:tc>
          <w:tcPr>
            <w:tcW w:type="dxa" w:w="215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Gerenciador de Anúncios → Relatórios → Exportar</w:t>
            </w:r>
          </w:p>
        </w:tc>
        <w:tc>
          <w:tcPr>
            <w:tcW w:type="dxa" w:w="4082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Resultados e Indicador de resultado são exatamente o que o V4MOS não traz. Hoje o Meta tem R$ 7,38 mi e 1,88 bi de impressões sem um único desfecho associado.</w:t>
            </w:r>
          </w:p>
        </w:tc>
      </w:tr>
      <w:tr>
        <w:tc>
          <w:tcPr>
            <w:tcW w:type="dxa" w:w="39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7</w:t>
            </w:r>
          </w:p>
        </w:tc>
        <w:tc>
          <w:tcPr>
            <w:tcW w:type="dxa" w:w="45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A32218"/>
                <w:sz w:val="18"/>
                <w:rFonts w:ascii="IBM Plex Mono" w:hAnsi="IBM Plex Mono" w:cs="IBM Plex Mono"/>
              </w:rPr>
              <w:t>P0</w:t>
            </w:r>
          </w:p>
        </w:tc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Detalhamento por Ação, com conversas de mensagem</w:t>
            </w:r>
          </w:p>
        </w:tc>
        <w:tc>
          <w:tcPr>
            <w:tcW w:type="dxa" w:w="215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Mesmo relatório → Detalhamento → Por ação → Tipo de ação</w:t>
            </w:r>
          </w:p>
        </w:tc>
        <w:tc>
          <w:tcPr>
            <w:tcW w:type="dxa" w:w="4082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O WhatsApp é 42% da entrada do funil e o slide anota que campanha paga para WhatsApp entra como Direto. Se essa campanha existe, ela aparece aqui, com nome e custo.</w:t>
            </w:r>
          </w:p>
        </w:tc>
      </w:tr>
      <w:tr>
        <w:tc>
          <w:tcPr>
            <w:tcW w:type="dxa" w:w="39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8</w:t>
            </w:r>
          </w:p>
        </w:tc>
        <w:tc>
          <w:tcPr>
            <w:tcW w:type="dxa" w:w="45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8A5A00"/>
                <w:sz w:val="18"/>
                <w:rFonts w:ascii="IBM Plex Mono" w:hAnsi="IBM Plex Mono" w:cs="IBM Plex Mono"/>
              </w:rPr>
              <w:t>P1</w:t>
            </w:r>
          </w:p>
        </w:tc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Mesmo relatório no nível de anúncio, com prévia da peça</w:t>
            </w:r>
          </w:p>
        </w:tc>
        <w:tc>
          <w:tcPr>
            <w:tcW w:type="dxa" w:w="215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Gerenciador de Anúncios → nível Anúncio → Exportar</w:t>
            </w:r>
          </w:p>
        </w:tc>
        <w:tc>
          <w:tcPr>
            <w:tcW w:type="dxa" w:w="4082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Fecha a auditoria (iv) Criativos com 1.079 peças e fadiga por peça, contra as 8 peças de uma campanha que existiam antes de 12/09.</w:t>
            </w:r>
          </w:p>
        </w:tc>
      </w:tr>
      <w:tr>
        <w:tc>
          <w:tcPr>
            <w:tcW w:type="dxa" w:w="39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9</w:t>
            </w:r>
          </w:p>
        </w:tc>
        <w:tc>
          <w:tcPr>
            <w:tcW w:type="dxa" w:w="45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A32218"/>
                <w:sz w:val="18"/>
                <w:rFonts w:ascii="IBM Plex Mono" w:hAnsi="IBM Plex Mono" w:cs="IBM Plex Mono"/>
              </w:rPr>
              <w:t>P0</w:t>
            </w:r>
          </w:p>
        </w:tc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Lista de contas de anúncio do portfólio New OLX Brasil</w:t>
            </w:r>
          </w:p>
        </w:tc>
        <w:tc>
          <w:tcPr>
            <w:tcW w:type="dxa" w:w="215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Configurações do portfólio → Contas → Contas de anúncios</w:t>
            </w:r>
          </w:p>
        </w:tc>
        <w:tc>
          <w:tcPr>
            <w:tcW w:type="dxa" w:w="4082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Diz se a operação é maior que as duas contas concedidas, e fecha a pendência 11.</w:t>
            </w:r>
          </w:p>
        </w:tc>
      </w:tr>
      <w:tr>
        <w:tc>
          <w:tcPr>
            <w:tcW w:type="dxa" w:w="39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10</w:t>
            </w:r>
          </w:p>
        </w:tc>
        <w:tc>
          <w:tcPr>
            <w:tcW w:type="dxa" w:w="45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8A5A00"/>
                <w:sz w:val="18"/>
                <w:rFonts w:ascii="IBM Plex Mono" w:hAnsi="IBM Plex Mono" w:cs="IBM Plex Mono"/>
              </w:rPr>
              <w:t>P1</w:t>
            </w:r>
          </w:p>
        </w:tc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Conjuntos de dados e pixels do portfólio</w:t>
            </w:r>
          </w:p>
        </w:tc>
        <w:tc>
          <w:tcPr>
            <w:tcW w:type="dxa" w:w="215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Configurações do portfólio → Fontes de dados → Conjuntos de dados</w:t>
            </w:r>
          </w:p>
        </w:tc>
        <w:tc>
          <w:tcPr>
            <w:tcW w:type="dxa" w:w="4082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Cruza com os três pixels achados no GTM: 592658194155317, 818079879779548, 935989184453347. Pixel que recebe evento e não está vinculado à conta é mídia otimizando às cegas.</w:t>
            </w:r>
          </w:p>
        </w:tc>
      </w:tr>
    </w:tbl>
    <w:p>
      <w:pPr>
        <w:spacing w:before="0" w:after="40" w:line="283" w:lineRule="auto"/>
      </w:pPr>
    </w:p>
    <w:p>
      <w:pPr>
        <w:spacing w:before="280" w:after="40"/>
      </w:pPr>
      <w:r>
        <w:rPr>
          <w:b/>
          <w:i w:val="0"/>
          <w:color w:val="1A1416"/>
          <w:sz w:val="23"/>
          <w:rFonts w:ascii="IBM Plex Sans" w:hAnsi="IBM Plex Sans" w:cs="IBM Plex Sans"/>
        </w:rPr>
        <w:t>As duas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0D2"/>
          <w:left w:val="single" w:sz="4" w:color="D8D0D2"/>
          <w:bottom w:val="single" w:sz="4" w:color="D8D0D2"/>
          <w:right w:val="single" w:sz="4" w:color="D8D0D2"/>
          <w:insideH w:val="single" w:sz="4" w:color="D8D0D2"/>
          <w:insideV w:val="single" w:sz="4" w:color="D8D0D2"/>
        </w:tblBorders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397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IBM Plex Sans" w:hAnsi="IBM Plex Sans" w:cs="IBM Plex Sans"/>
              </w:rPr>
              <w:t>#</w:t>
            </w:r>
          </w:p>
        </w:tc>
        <w:tc>
          <w:tcPr>
            <w:tcW w:type="dxa" w:w="454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IBM Plex Sans" w:hAnsi="IBM Plex Sans" w:cs="IBM Plex Sans"/>
              </w:rPr>
              <w:t>P</w:t>
            </w:r>
          </w:p>
        </w:tc>
        <w:tc>
          <w:tcPr>
            <w:tcW w:type="dxa" w:w="2438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IBM Plex Sans" w:hAnsi="IBM Plex Sans" w:cs="IBM Plex Sans"/>
              </w:rPr>
              <w:t>O EXPORT</w:t>
            </w:r>
          </w:p>
        </w:tc>
        <w:tc>
          <w:tcPr>
            <w:tcW w:type="dxa" w:w="2154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IBM Plex Sans" w:hAnsi="IBM Plex Sans" w:cs="IBM Plex Sans"/>
              </w:rPr>
              <w:t>ONDE</w:t>
            </w:r>
          </w:p>
        </w:tc>
        <w:tc>
          <w:tcPr>
            <w:tcW w:type="dxa" w:w="4082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IBM Plex Sans" w:hAnsi="IBM Plex Sans" w:cs="IBM Plex Sans"/>
              </w:rPr>
              <w:t>O QUE ELE DESTRAVA</w:t>
            </w:r>
          </w:p>
        </w:tc>
      </w:tr>
      <w:tr>
        <w:tc>
          <w:tcPr>
            <w:tcW w:type="dxa" w:w="39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11</w:t>
            </w:r>
          </w:p>
        </w:tc>
        <w:tc>
          <w:tcPr>
            <w:tcW w:type="dxa" w:w="45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A32218"/>
                <w:sz w:val="18"/>
                <w:rFonts w:ascii="IBM Plex Mono" w:hAnsi="IBM Plex Mono" w:cs="IBM Plex Mono"/>
              </w:rPr>
              <w:t>P0</w:t>
            </w:r>
          </w:p>
        </w:tc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Uma frase do time de mídia: qual conta e qual campanha é captação de anunciante, e qual é consumidor</w:t>
            </w:r>
          </w:p>
        </w:tc>
        <w:tc>
          <w:tcPr>
            <w:tcW w:type="dxa" w:w="215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Não é export. É a resposta que vale mais que todos os anteriores.</w:t>
            </w:r>
          </w:p>
        </w:tc>
        <w:tc>
          <w:tcPr>
            <w:tcW w:type="dxa" w:w="4082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Enquanto ela não existir, R$ 10,12 mi de mídia medida não é o investimento do recorte contratado, e nenhum CAC de mídia é calculável.</w:t>
            </w:r>
          </w:p>
        </w:tc>
      </w:tr>
    </w:tbl>
    <w:p>
      <w:pPr>
        <w:spacing w:before="0" w:after="40" w:line="283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8D0D2"/>
          <w:left w:val="single" w:sz="4" w:color="D8D0D2"/>
          <w:bottom w:val="single" w:sz="4" w:color="D8D0D2"/>
          <w:right w:val="single" w:sz="4" w:color="D8D0D2"/>
          <w:insideH w:val="single" w:sz="4" w:color="D8D0D2"/>
          <w:insideV w:val="single" w:sz="4" w:color="D8D0D2"/>
        </w:tblBorders>
      </w:tblPr>
      <w:tblGrid>
        <w:gridCol w:w="9858"/>
      </w:tblGrid>
      <w:tr>
        <w:tc>
          <w:tcPr>
            <w:tcW w:type="dxa" w:w="9858"/>
            <w:shd w:val="clear" w:color="auto" w:fill="FBEFF0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60"/>
            </w:pPr>
            <w:r/>
            <w:r>
              <w:rPr>
                <w:b/>
                <w:i w:val="0"/>
                <w:color w:val="7A0010"/>
                <w:sz w:val="16"/>
                <w:rFonts w:ascii="IBM Plex Sans" w:hAnsi="IBM Plex Sans" w:cs="IBM Plex Sans"/>
              </w:rPr>
              <w:t>O EXPORT NÚMERO 11 VALE MAIS QUE OS DEZ ANTERIORES</w:t>
            </w:r>
          </w:p>
          <w:p>
            <w:pPr>
              <w:spacing w:after="60" w:line="283" w:lineRule="auto"/>
            </w:pPr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Nenhum relatório separa captação de anunciante de captação de consumidor, porque a separação não está nos dados: está na cabeça de quem montou as campanhas.</w:t>
            </w:r>
          </w:p>
          <w:p>
            <w:pPr>
              <w:spacing w:after="0" w:line="283" w:lineRule="auto"/>
            </w:pPr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Uma frase do time de mídia dizendo qual conta e qual campanha é B2B transforma R$ 10.121.333 de investimento medido no numerador de um CAC. Sem ela, os outros dez exports produzem um retrato melhor da mídia e nenhum unit economics.</w:t>
            </w:r>
          </w:p>
        </w:tc>
      </w:tr>
    </w:tbl>
    <w:p>
      <w:pPr>
        <w:spacing w:before="0" w:after="40" w:line="283" w:lineRule="auto"/>
      </w:pPr>
    </w:p>
    <w:p>
      <w:pPr>
        <w:spacing w:before="400" w:after="80"/>
      </w:pPr>
      <w:r>
        <w:rPr>
          <w:b/>
          <w:i w:val="0"/>
          <w:color w:val="970013"/>
          <w:sz w:val="26"/>
          <w:rFonts w:ascii="IBM Plex Mono" w:hAnsi="IBM Plex Mono" w:cs="IBM Plex Mono"/>
        </w:rPr>
        <w:t xml:space="preserve">09   </w:t>
      </w:r>
      <w:r>
        <w:rPr>
          <w:b/>
          <w:i w:val="0"/>
          <w:color w:val="1A1416"/>
          <w:sz w:val="30"/>
          <w:rFonts w:ascii="IBM Plex Sans" w:hAnsi="IBM Plex Sans" w:cs="IBM Plex Sans"/>
        </w:rPr>
        <w:t>Ressalvas: o que impede um número de entrar em comitê</w:t>
      </w:r>
    </w:p>
    <w:p>
      <w:pPr>
        <w:spacing w:before="40" w:after="200"/>
        <w:pBdr>
          <w:bottom w:val="single" w:sz="8" w:space="1" w:color="CFC6C8"/>
        </w:pBdr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0D2"/>
          <w:left w:val="single" w:sz="4" w:color="D8D0D2"/>
          <w:bottom w:val="single" w:sz="4" w:color="D8D0D2"/>
          <w:right w:val="single" w:sz="4" w:color="D8D0D2"/>
          <w:insideH w:val="single" w:sz="4" w:color="D8D0D2"/>
          <w:insideV w:val="single" w:sz="4" w:color="D8D0D2"/>
        </w:tblBorders>
      </w:tblPr>
      <w:tblGrid>
        <w:gridCol w:w="2464"/>
        <w:gridCol w:w="2464"/>
        <w:gridCol w:w="2464"/>
        <w:gridCol w:w="2464"/>
      </w:tblGrid>
      <w:tr>
        <w:tc>
          <w:tcPr>
            <w:tcW w:type="dxa" w:w="454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IBM Plex Sans" w:hAnsi="IBM Plex Sans" w:cs="IBM Plex Sans"/>
              </w:rPr>
              <w:t>#</w:t>
            </w:r>
          </w:p>
        </w:tc>
        <w:tc>
          <w:tcPr>
            <w:tcW w:type="dxa" w:w="2494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IBM Plex Sans" w:hAnsi="IBM Plex Sans" w:cs="IBM Plex Sans"/>
              </w:rPr>
              <w:t>A RESSALVA</w:t>
            </w:r>
          </w:p>
        </w:tc>
        <w:tc>
          <w:tcPr>
            <w:tcW w:type="dxa" w:w="4195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IBM Plex Sans" w:hAnsi="IBM Plex Sans" w:cs="IBM Plex Sans"/>
              </w:rPr>
              <w:t>O EFEITO SOBRE O NÚMERO</w:t>
            </w:r>
          </w:p>
        </w:tc>
        <w:tc>
          <w:tcPr>
            <w:tcW w:type="dxa" w:w="2381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IBM Plex Sans" w:hAnsi="IBM Plex Sans" w:cs="IBM Plex Sans"/>
              </w:rPr>
              <w:t>ONDE ESTÁ REGISTRADA</w:t>
            </w:r>
          </w:p>
        </w:tc>
      </w:tr>
      <w:tr>
        <w:tc>
          <w:tcPr>
            <w:tcW w:type="dxa" w:w="45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1</w:t>
            </w:r>
          </w:p>
        </w:tc>
        <w:tc>
          <w:tcPr>
            <w:tcW w:type="dxa" w:w="249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Nenhuma das contas de mídia separa B2B de B2C</w:t>
            </w:r>
          </w:p>
        </w:tc>
        <w:tc>
          <w:tcPr>
            <w:tcW w:type="dxa" w:w="419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R$ 10,12 mi medidos em 113 campanhas não são o investimento do recorte contratado. Todo CAC de mídia fica sem numerador válido.</w:t>
            </w:r>
          </w:p>
        </w:tc>
        <w:tc>
          <w:tcPr>
            <w:tcW w:type="dxa" w:w="238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V4MOS, coleta de 14/09</w:t>
            </w:r>
          </w:p>
        </w:tc>
      </w:tr>
      <w:tr>
        <w:tc>
          <w:tcPr>
            <w:tcW w:type="dxa" w:w="45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2</w:t>
            </w:r>
          </w:p>
        </w:tc>
        <w:tc>
          <w:tcPr>
            <w:tcW w:type="dxa" w:w="249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O evento purchase dispara no gatilho de begin_checkout</w:t>
            </w:r>
          </w:p>
        </w:tc>
        <w:tc>
          <w:tcPr>
            <w:tcW w:type="dxa" w:w="419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A conversão de checkout do anunciante privado do ZapImóveis não é derivável, e o histórico anterior à correção fica sem o dado, não com dado ruim.</w:t>
            </w:r>
          </w:p>
        </w:tc>
        <w:tc>
          <w:tcPr>
            <w:tcW w:type="dxa" w:w="238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Auditoria (vii), achado 1, confirmado na versão publicada</w:t>
            </w:r>
          </w:p>
        </w:tc>
      </w:tr>
      <w:tr>
        <w:tc>
          <w:tcPr>
            <w:tcW w:type="dxa" w:w="45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3</w:t>
            </w:r>
          </w:p>
        </w:tc>
        <w:tc>
          <w:tcPr>
            <w:tcW w:type="dxa" w:w="249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session_start está marcado como evento-chave no GA4 VivaReal</w:t>
            </w:r>
          </w:p>
        </w:tc>
        <w:tc>
          <w:tcPr>
            <w:tcW w:type="dxa" w:w="419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Infla qualquer taxa de conversão relatada e, se importado no Google Ads, treina o Smart Bidding para comprar sessão em vez de cliente.</w:t>
            </w:r>
          </w:p>
        </w:tc>
        <w:tc>
          <w:tcPr>
            <w:tcW w:type="dxa" w:w="238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13,27 mi em agosto, GA4 407391347</w:t>
            </w:r>
          </w:p>
        </w:tc>
      </w:tr>
      <w:tr>
        <w:tc>
          <w:tcPr>
            <w:tcW w:type="dxa" w:w="45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4</w:t>
            </w:r>
          </w:p>
        </w:tc>
        <w:tc>
          <w:tcPr>
            <w:tcW w:type="dxa" w:w="249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O canal Direto está inflado por mídia paga sem atribuição</w:t>
            </w:r>
          </w:p>
        </w:tc>
        <w:tc>
          <w:tcPr>
            <w:tcW w:type="dxa" w:w="419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O slide declara Pago 16% da origem do contato; o GA4 mede Pago 0,8% das sessões. Vinte vezes de diferença, e as duas leituras não medem a mesma coisa.</w:t>
            </w:r>
          </w:p>
        </w:tc>
        <w:tc>
          <w:tcPr>
            <w:tcW w:type="dxa" w:w="238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Slide FLUXOS, 28/08, e GA4 503925542, 21 meses</w:t>
            </w:r>
          </w:p>
        </w:tc>
      </w:tr>
      <w:tr>
        <w:tc>
          <w:tcPr>
            <w:tcW w:type="dxa" w:w="45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5</w:t>
            </w:r>
          </w:p>
        </w:tc>
        <w:tc>
          <w:tcPr>
            <w:tcW w:type="dxa" w:w="249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Escrita dupla no GA4</w:t>
            </w:r>
          </w:p>
        </w:tc>
        <w:tc>
          <w:tcPr>
            <w:tcW w:type="dxa" w:w="419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O gatilho lead_dbm dispara para duas propriedades. Qualquer soma entre elas conta o mesmo lead duas vezes.</w:t>
            </w:r>
          </w:p>
        </w:tc>
        <w:tc>
          <w:tcPr>
            <w:tcW w:type="dxa" w:w="238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Auditoria (vii), achado 20</w:t>
            </w:r>
          </w:p>
        </w:tc>
      </w:tr>
      <w:tr>
        <w:tc>
          <w:tcPr>
            <w:tcW w:type="dxa" w:w="45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6</w:t>
            </w:r>
          </w:p>
        </w:tc>
        <w:tc>
          <w:tcPr>
            <w:tcW w:type="dxa" w:w="249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O slide FLUXOS não está versionado</w:t>
            </w:r>
          </w:p>
        </w:tc>
        <w:tc>
          <w:tcPr>
            <w:tcW w:type="dxa" w:w="419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O mix de canais inteiro existe só em prosa de anotação. Não é conferível contra a fonte e não pode entrar em material de comitê nessa condição.</w:t>
            </w:r>
          </w:p>
        </w:tc>
        <w:tc>
          <w:tcPr>
            <w:tcW w:type="dxa" w:w="238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Pendência 20</w:t>
            </w:r>
          </w:p>
        </w:tc>
      </w:tr>
      <w:tr>
        <w:tc>
          <w:tcPr>
            <w:tcW w:type="dxa" w:w="45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7</w:t>
            </w:r>
          </w:p>
        </w:tc>
        <w:tc>
          <w:tcPr>
            <w:tcW w:type="dxa" w:w="249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A série do Google tem seis meses ausentes</w:t>
            </w:r>
          </w:p>
        </w:tc>
        <w:tc>
          <w:tcPr>
            <w:tcW w:type="dxa" w:w="419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nov/2025 a abr/2026 sem nenhum registro. Origem não apurada entre pausa da conta e falha de ingestão.</w:t>
            </w:r>
          </w:p>
        </w:tc>
        <w:tc>
          <w:tcPr>
            <w:tcW w:type="dxa" w:w="238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V4MOS, coletas de 08/09 e 14/09</w:t>
            </w:r>
          </w:p>
        </w:tc>
      </w:tr>
      <w:tr>
        <w:tc>
          <w:tcPr>
            <w:tcW w:type="dxa" w:w="45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IBM Plex Mono" w:hAnsi="IBM Plex Mono" w:cs="IBM Plex Mono"/>
              </w:rPr>
              <w:t>8</w:t>
            </w:r>
          </w:p>
        </w:tc>
        <w:tc>
          <w:tcPr>
            <w:tcW w:type="dxa" w:w="249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IBM Plex Sans" w:hAnsi="IBM Plex Sans" w:cs="IBM Plex Sans"/>
              </w:rPr>
              <w:t>A regra 8 não pode ser verificada</w:t>
            </w:r>
          </w:p>
        </w:tc>
        <w:tc>
          <w:tcPr>
            <w:tcW w:type="dxa" w:w="419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Não existe funil derivável para confrontar com a receita declarada. A tolerância de 5% do repositório fica sem os dois lados da conta.</w:t>
            </w:r>
          </w:p>
        </w:tc>
        <w:tc>
          <w:tcPr>
            <w:tcW w:type="dxa" w:w="238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CLAUDE.md, regra 8</w:t>
            </w:r>
          </w:p>
        </w:tc>
      </w:tr>
    </w:tbl>
    <w:p>
      <w:pPr>
        <w:spacing w:before="0" w:after="40" w:line="283" w:lineRule="auto"/>
      </w:pPr>
    </w:p>
    <w:p>
      <w:r>
        <w:br w:type="page"/>
      </w:r>
    </w:p>
    <w:p>
      <w:pPr>
        <w:spacing w:before="400" w:after="80"/>
      </w:pPr>
      <w:r>
        <w:rPr>
          <w:b/>
          <w:i w:val="0"/>
          <w:color w:val="970013"/>
          <w:sz w:val="26"/>
          <w:rFonts w:ascii="IBM Plex Mono" w:hAnsi="IBM Plex Mono" w:cs="IBM Plex Mono"/>
        </w:rPr>
        <w:t xml:space="preserve">10   </w:t>
      </w:r>
      <w:r>
        <w:rPr>
          <w:b/>
          <w:i w:val="0"/>
          <w:color w:val="1A1416"/>
          <w:sz w:val="30"/>
          <w:rFonts w:ascii="IBM Plex Sans" w:hAnsi="IBM Plex Sans" w:cs="IBM Plex Sans"/>
        </w:rPr>
        <w:t>O que mudou nos últimos dias e a base ainda não registrou</w:t>
      </w:r>
    </w:p>
    <w:p>
      <w:pPr>
        <w:spacing w:before="40" w:after="200"/>
        <w:pBdr>
          <w:bottom w:val="single" w:sz="8" w:space="1" w:color="CFC6C8"/>
        </w:pBdr>
      </w:pPr>
    </w:p>
    <w:p>
      <w:pPr>
        <w:spacing w:before="0" w:after="160" w:line="283" w:lineRule="auto"/>
      </w:pPr>
      <w:r>
        <w:rPr>
          <w:b w:val="0"/>
          <w:i w:val="0"/>
          <w:color w:val="5E5458"/>
          <w:sz w:val="20"/>
          <w:rFonts w:ascii="IBM Plex Sans" w:hAnsi="IBM Plex Sans" w:cs="IBM Plex Sans"/>
        </w:rPr>
        <w:t>Auditoria do próprio repositório. Cada linha é um dado que já existe em estado de máquina e ainda não chegou aos documentos que o comitê lê.</w:t>
      </w:r>
    </w:p>
    <w:p>
      <w:pPr>
        <w:spacing w:before="280" w:after="40"/>
      </w:pPr>
      <w:r>
        <w:rPr>
          <w:b/>
          <w:i w:val="0"/>
          <w:color w:val="1A1416"/>
          <w:sz w:val="23"/>
          <w:rFonts w:ascii="IBM Plex Sans" w:hAnsi="IBM Plex Sans" w:cs="IBM Plex Sans"/>
        </w:rPr>
        <w:t>O Meta passou a ingerir no V4MOS em 12/09 e foi recoletado em 14/09: 90 campanhas, 1.079 anúncios, R$ 7,38 mi, 2,7 vezes o Google na mesma janela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0D2"/>
          <w:left w:val="single" w:sz="4" w:color="D8D0D2"/>
          <w:bottom w:val="single" w:sz="4" w:color="D8D0D2"/>
          <w:right w:val="single" w:sz="4" w:color="D8D0D2"/>
          <w:insideH w:val="single" w:sz="4" w:color="D8D0D2"/>
          <w:insideV w:val="single" w:sz="4" w:color="D8D0D2"/>
        </w:tblBorders>
      </w:tblPr>
      <w:tblGrid>
        <w:gridCol w:w="3286"/>
        <w:gridCol w:w="3286"/>
        <w:gridCol w:w="3286"/>
      </w:tblGrid>
      <w:tr>
        <w:tc>
          <w:tcPr>
            <w:tcW w:type="dxa" w:w="2381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IBM Plex Sans" w:hAnsi="IBM Plex Sans" w:cs="IBM Plex Sans"/>
              </w:rPr>
              <w:t>JÁ ESTÁ EM</w:t>
            </w:r>
          </w:p>
        </w:tc>
        <w:tc>
          <w:tcPr>
            <w:tcW w:type="dxa" w:w="3628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IBM Plex Sans" w:hAnsi="IBM Plex Sans" w:cs="IBM Plex Sans"/>
              </w:rPr>
              <w:t>AINDA NÃO ESTÁ EM</w:t>
            </w:r>
          </w:p>
        </w:tc>
        <w:tc>
          <w:tcPr>
            <w:tcW w:type="dxa" w:w="3515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IBM Plex Sans" w:hAnsi="IBM Plex Sans" w:cs="IBM Plex Sans"/>
              </w:rPr>
              <w:t>CONSEQUÊNCIA</w:t>
            </w:r>
          </w:p>
        </w:tc>
      </w:tr>
      <w:tr>
        <w:tc>
          <w:tcPr>
            <w:tcW w:type="dxa" w:w="238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RESOLVIDO EM 14/09. dados/client.json, portal, e os sete documentos que afirmavam o contrário: fluxo-de-receita.md, diagnostico-travas.md, checklist-dados-e-acessos.md, acessos-e-ferramentas.md, PENDENCIAS.md, o sprint de 10 a 18/09 e a SK…</w:t>
            </w:r>
          </w:p>
        </w:tc>
        <w:tc>
          <w:tcPr>
            <w:tcW w:type="dxa" w:w="362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-</w:t>
            </w:r>
          </w:p>
        </w:tc>
        <w:tc>
          <w:tcPr>
            <w:tcW w:type="dxa" w:w="351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Nenhuma nota de trava subiu, e é deliberado. As duas dimensões que se descreviam como sem nenhum dado, (A) Alcance em Exposição e (A) CTR em Atenção, seguem null com a justificativa reescrita: o que as segura passou a ser falta de recorte B2B e de base de comparação. O método exige benchmark setori…</w:t>
            </w:r>
          </w:p>
        </w:tc>
      </w:tr>
    </w:tbl>
    <w:p>
      <w:pPr>
        <w:spacing w:before="0" w:after="40" w:line="283" w:lineRule="auto"/>
      </w:pPr>
    </w:p>
    <w:p>
      <w:pPr>
        <w:spacing w:before="280" w:after="40"/>
      </w:pPr>
      <w:r>
        <w:rPr>
          <w:b/>
          <w:i w:val="0"/>
          <w:color w:val="1A1416"/>
          <w:sz w:val="23"/>
          <w:rFonts w:ascii="IBM Plex Sans" w:hAnsi="IBM Plex Sans" w:cs="IBM Plex Sans"/>
        </w:rPr>
        <w:t>O GA4 respondeu pela API em 14/09 e nove indicadores viraram MEDIDO: 987.566 sessões nos domínios B2B em 21 meses, mix por origem, engajamento, rejeição e scro…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0D2"/>
          <w:left w:val="single" w:sz="4" w:color="D8D0D2"/>
          <w:bottom w:val="single" w:sz="4" w:color="D8D0D2"/>
          <w:right w:val="single" w:sz="4" w:color="D8D0D2"/>
          <w:insideH w:val="single" w:sz="4" w:color="D8D0D2"/>
          <w:insideV w:val="single" w:sz="4" w:color="D8D0D2"/>
        </w:tblBorders>
      </w:tblPr>
      <w:tblGrid>
        <w:gridCol w:w="3286"/>
        <w:gridCol w:w="3286"/>
        <w:gridCol w:w="3286"/>
      </w:tblGrid>
      <w:tr>
        <w:tc>
          <w:tcPr>
            <w:tcW w:type="dxa" w:w="2381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IBM Plex Sans" w:hAnsi="IBM Plex Sans" w:cs="IBM Plex Sans"/>
              </w:rPr>
              <w:t>JÁ ESTÁ EM</w:t>
            </w:r>
          </w:p>
        </w:tc>
        <w:tc>
          <w:tcPr>
            <w:tcW w:type="dxa" w:w="3628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IBM Plex Sans" w:hAnsi="IBM Plex Sans" w:cs="IBM Plex Sans"/>
              </w:rPr>
              <w:t>AINDA NÃO ESTÁ EM</w:t>
            </w:r>
          </w:p>
        </w:tc>
        <w:tc>
          <w:tcPr>
            <w:tcW w:type="dxa" w:w="3515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IBM Plex Sans" w:hAnsi="IBM Plex Sans" w:cs="IBM Plex Sans"/>
              </w:rPr>
              <w:t>CONSEQUÊNCIA</w:t>
            </w:r>
          </w:p>
        </w:tc>
      </w:tr>
      <w:tr>
        <w:tc>
          <w:tcPr>
            <w:tcW w:type="dxa" w:w="238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portal/assets/metrics-data.js</w:t>
            </w:r>
          </w:p>
        </w:tc>
        <w:tc>
          <w:tcPr>
            <w:tcW w:type="dxa" w:w="362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Nenhum .md de diagnóstico registra os nove</w:t>
            </w:r>
          </w:p>
        </w:tc>
        <w:tc>
          <w:tcPr>
            <w:tcW w:type="dxa" w:w="351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ÚNICO PONTO AINDA ABERTO DESTA LISTA. O achado do Pago 0,8% contra 16% declarado é material de Comitê 1 e continua fora de documento nenhum da pasta 02-diagnostico.</w:t>
            </w:r>
          </w:p>
        </w:tc>
      </w:tr>
    </w:tbl>
    <w:p>
      <w:pPr>
        <w:spacing w:before="0" w:after="40" w:line="283" w:lineRule="auto"/>
      </w:pPr>
    </w:p>
    <w:p>
      <w:pPr>
        <w:spacing w:before="280" w:after="40"/>
      </w:pPr>
      <w:r>
        <w:rPr>
          <w:b/>
          <w:i w:val="0"/>
          <w:color w:val="1A1416"/>
          <w:sz w:val="23"/>
          <w:rFonts w:ascii="IBM Plex Sans" w:hAnsi="IBM Plex Sans" w:cs="IBM Plex Sans"/>
        </w:rPr>
        <w:t>A camada experiencial da auditoria (i) CRM fechou em 10/09, com 16 achados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0D2"/>
          <w:left w:val="single" w:sz="4" w:color="D8D0D2"/>
          <w:bottom w:val="single" w:sz="4" w:color="D8D0D2"/>
          <w:right w:val="single" w:sz="4" w:color="D8D0D2"/>
          <w:insideH w:val="single" w:sz="4" w:color="D8D0D2"/>
          <w:insideV w:val="single" w:sz="4" w:color="D8D0D2"/>
        </w:tblBorders>
      </w:tblPr>
      <w:tblGrid>
        <w:gridCol w:w="3286"/>
        <w:gridCol w:w="3286"/>
        <w:gridCol w:w="3286"/>
      </w:tblGrid>
      <w:tr>
        <w:tc>
          <w:tcPr>
            <w:tcW w:type="dxa" w:w="2381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IBM Plex Sans" w:hAnsi="IBM Plex Sans" w:cs="IBM Plex Sans"/>
              </w:rPr>
              <w:t>JÁ ESTÁ EM</w:t>
            </w:r>
          </w:p>
        </w:tc>
        <w:tc>
          <w:tcPr>
            <w:tcW w:type="dxa" w:w="3628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IBM Plex Sans" w:hAnsi="IBM Plex Sans" w:cs="IBM Plex Sans"/>
              </w:rPr>
              <w:t>AINDA NÃO ESTÁ EM</w:t>
            </w:r>
          </w:p>
        </w:tc>
        <w:tc>
          <w:tcPr>
            <w:tcW w:type="dxa" w:w="3515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IBM Plex Sans" w:hAnsi="IBM Plex Sans" w:cs="IBM Plex Sans"/>
              </w:rPr>
              <w:t>CONSEQUÊNCIA</w:t>
            </w:r>
          </w:p>
        </w:tc>
      </w:tr>
      <w:tr>
        <w:tc>
          <w:tcPr>
            <w:tcW w:type="dxa" w:w="238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RESOLVIDO EM 14/09. Commitado com as duas atas, as duas transcrições e o JSON</w:t>
            </w:r>
          </w:p>
        </w:tc>
        <w:tc>
          <w:tcPr>
            <w:tcW w:type="dxa" w:w="362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-</w:t>
            </w:r>
          </w:p>
        </w:tc>
        <w:tc>
          <w:tcPr>
            <w:tcW w:type="dxa" w:w="351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O bloco B do checklist saiu de quatro itens em branco para B1 laranja, B2 e B4 parciais, e B3 com o sentido do pedido mudado.</w:t>
            </w:r>
          </w:p>
        </w:tc>
      </w:tr>
    </w:tbl>
    <w:p>
      <w:pPr>
        <w:spacing w:before="0" w:after="40" w:line="283" w:lineRule="auto"/>
      </w:pPr>
    </w:p>
    <w:p>
      <w:pPr>
        <w:spacing w:before="280" w:after="40"/>
      </w:pPr>
      <w:r>
        <w:rPr>
          <w:b/>
          <w:i w:val="0"/>
          <w:color w:val="1A1416"/>
          <w:sz w:val="23"/>
          <w:rFonts w:ascii="IBM Plex Sans" w:hAnsi="IBM Plex Sans" w:cs="IBM Plex Sans"/>
        </w:rPr>
        <w:t>A Trava de Cegueira foi pontuada em 5 de 25 em 11/09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0D2"/>
          <w:left w:val="single" w:sz="4" w:color="D8D0D2"/>
          <w:bottom w:val="single" w:sz="4" w:color="D8D0D2"/>
          <w:right w:val="single" w:sz="4" w:color="D8D0D2"/>
          <w:insideH w:val="single" w:sz="4" w:color="D8D0D2"/>
          <w:insideV w:val="single" w:sz="4" w:color="D8D0D2"/>
        </w:tblBorders>
      </w:tblPr>
      <w:tblGrid>
        <w:gridCol w:w="3286"/>
        <w:gridCol w:w="3286"/>
        <w:gridCol w:w="3286"/>
      </w:tblGrid>
      <w:tr>
        <w:tc>
          <w:tcPr>
            <w:tcW w:type="dxa" w:w="2381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IBM Plex Sans" w:hAnsi="IBM Plex Sans" w:cs="IBM Plex Sans"/>
              </w:rPr>
              <w:t>JÁ ESTÁ EM</w:t>
            </w:r>
          </w:p>
        </w:tc>
        <w:tc>
          <w:tcPr>
            <w:tcW w:type="dxa" w:w="3628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IBM Plex Sans" w:hAnsi="IBM Plex Sans" w:cs="IBM Plex Sans"/>
              </w:rPr>
              <w:t>AINDA NÃO ESTÁ EM</w:t>
            </w:r>
          </w:p>
        </w:tc>
        <w:tc>
          <w:tcPr>
            <w:tcW w:type="dxa" w:w="3515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IBM Plex Sans" w:hAnsi="IBM Plex Sans" w:cs="IBM Plex Sans"/>
              </w:rPr>
              <w:t>CONSEQUÊNCIA</w:t>
            </w:r>
          </w:p>
        </w:tc>
      </w:tr>
      <w:tr>
        <w:tc>
          <w:tcPr>
            <w:tcW w:type="dxa" w:w="238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RESOLVIDO EM 14/09. dre-diagnostico-travas.json regerado com (A) 2 para 1, (B) 1 para 0 e (D) 1 para 2, e o asset do portal regerado da fonte</w:t>
            </w:r>
          </w:p>
        </w:tc>
        <w:tc>
          <w:tcPr>
            <w:tcW w:type="dxa" w:w="362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-</w:t>
            </w:r>
          </w:p>
        </w:tc>
        <w:tc>
          <w:tcPr>
            <w:tcW w:type="dxa" w:w="351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A faixa não muda, segue estruturalmente travada, e o normalizado vai de 10,0 para 8,3 de 25. Fica a ressalva de citação: o dossiê publica 5 de 25, que é a soma bruta contra o denominador não rebaixado pela regra 6, e em comitê o número precisa ser o normalizado.</w:t>
            </w:r>
          </w:p>
        </w:tc>
      </w:tr>
    </w:tbl>
    <w:p>
      <w:pPr>
        <w:spacing w:before="0" w:after="40" w:line="283" w:lineRule="auto"/>
      </w:pPr>
    </w:p>
    <w:p>
      <w:pPr>
        <w:spacing w:before="280" w:after="40"/>
      </w:pPr>
      <w:r>
        <w:rPr>
          <w:b/>
          <w:i w:val="0"/>
          <w:color w:val="1A1416"/>
          <w:sz w:val="23"/>
          <w:rFonts w:ascii="IBM Plex Sans" w:hAnsi="IBM Plex Sans" w:cs="IBM Plex Sans"/>
        </w:rPr>
        <w:t>O lote de acessos de 10/09 incluiu CRM comercial, Marketing Cloud, Search Console, Mouseflow e Unbounce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0D2"/>
          <w:left w:val="single" w:sz="4" w:color="D8D0D2"/>
          <w:bottom w:val="single" w:sz="4" w:color="D8D0D2"/>
          <w:right w:val="single" w:sz="4" w:color="D8D0D2"/>
          <w:insideH w:val="single" w:sz="4" w:color="D8D0D2"/>
          <w:insideV w:val="single" w:sz="4" w:color="D8D0D2"/>
        </w:tblBorders>
      </w:tblPr>
      <w:tblGrid>
        <w:gridCol w:w="3286"/>
        <w:gridCol w:w="3286"/>
        <w:gridCol w:w="3286"/>
      </w:tblGrid>
      <w:tr>
        <w:tc>
          <w:tcPr>
            <w:tcW w:type="dxa" w:w="2381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IBM Plex Sans" w:hAnsi="IBM Plex Sans" w:cs="IBM Plex Sans"/>
              </w:rPr>
              <w:t>JÁ ESTÁ EM</w:t>
            </w:r>
          </w:p>
        </w:tc>
        <w:tc>
          <w:tcPr>
            <w:tcW w:type="dxa" w:w="3628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IBM Plex Sans" w:hAnsi="IBM Plex Sans" w:cs="IBM Plex Sans"/>
              </w:rPr>
              <w:t>AINDA NÃO ESTÁ EM</w:t>
            </w:r>
          </w:p>
        </w:tc>
        <w:tc>
          <w:tcPr>
            <w:tcW w:type="dxa" w:w="3515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IBM Plex Sans" w:hAnsi="IBM Plex Sans" w:cs="IBM Plex Sans"/>
              </w:rPr>
              <w:t>CONSEQUÊNCIA</w:t>
            </w:r>
          </w:p>
        </w:tc>
      </w:tr>
      <w:tr>
        <w:tc>
          <w:tcPr>
            <w:tcW w:type="dxa" w:w="238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CONFERIDO EM 14/09 até onde o ambiente alcança. GA4, V4MOS e GTM por API; as duas contas de Meta e a MCC do Google indiretamente, pela ingestão. Registrado em dados/acessos.json e no checklist</w:t>
            </w:r>
          </w:p>
        </w:tc>
        <w:tc>
          <w:tcPr>
            <w:tcW w:type="dxa" w:w="362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CRM comercial, Salesforce Marketing Cloud, Search Console e Meta Business Manager: sem conector neste ambiente, exigem abrir a interface</w:t>
            </w:r>
          </w:p>
        </w:tc>
        <w:tc>
          <w:tcPr>
            <w:tcW w:type="dxa" w:w="351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As quatro não conferidas são as que prendem os 23 indicadores, 18 deles P0, e 20 dependem só do CRM comercial. Nenhum item subiu de status sem prova de abertura: registro otimista é pior que registro desatualizado. Checagem barata antes de abrir: o Sales Cloud exige o e-mail @olxbr habilitado no My…</w:t>
            </w:r>
          </w:p>
        </w:tc>
      </w:tr>
    </w:tbl>
    <w:p>
      <w:pPr>
        <w:spacing w:before="0" w:after="40" w:line="283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8D0D2"/>
          <w:left w:val="single" w:sz="4" w:color="D8D0D2"/>
          <w:bottom w:val="single" w:sz="4" w:color="D8D0D2"/>
          <w:right w:val="single" w:sz="4" w:color="D8D0D2"/>
          <w:insideH w:val="single" w:sz="4" w:color="D8D0D2"/>
          <w:insideV w:val="single" w:sz="4" w:color="D8D0D2"/>
        </w:tblBorders>
      </w:tblPr>
      <w:tblGrid>
        <w:gridCol w:w="9858"/>
      </w:tblGrid>
      <w:tr>
        <w:tc>
          <w:tcPr>
            <w:tcW w:type="dxa" w:w="9858"/>
            <w:shd w:val="clear" w:color="auto" w:fill="FBEFF0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60"/>
            </w:pPr>
            <w:r/>
            <w:r>
              <w:rPr>
                <w:b/>
                <w:i w:val="0"/>
                <w:color w:val="7A0010"/>
                <w:sz w:val="16"/>
                <w:rFonts w:ascii="IBM Plex Sans" w:hAnsi="IBM Plex Sans" w:cs="IBM Plex Sans"/>
              </w:rPr>
              <w:t>A PRIORIDADE DE ATUALIZAÇÃO, EM ORDEM</w:t>
            </w:r>
          </w:p>
          <w:p>
            <w:pPr>
              <w:spacing w:after="60" w:line="283" w:lineRule="auto"/>
            </w:pPr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Commitar a auditoria (i) e as duas atas de CRM, que estão fechadas e fora do git.</w:t>
            </w:r>
          </w:p>
          <w:p>
            <w:pPr>
              <w:spacing w:after="60" w:line="283" w:lineRule="auto"/>
            </w:pPr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Levar a coleta de mídia de 14/09 para os documentos de diagnóstico: sete arquivos ainda afirmam que o Meta devolve zero, e um deles é o que justifica a dimensão de CTR da Trava de Atenção estar sem nota.</w:t>
            </w:r>
          </w:p>
          <w:p>
            <w:pPr>
              <w:spacing w:after="60" w:line="283" w:lineRule="auto"/>
            </w:pPr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Regerar o estado das travas, que ainda registra a Cegueira em 6 quando o dossiê de 11/09 fechou em 5.</w:t>
            </w:r>
          </w:p>
          <w:p>
            <w:pPr>
              <w:spacing w:after="0" w:line="283" w:lineRule="auto"/>
            </w:pPr>
            <w:r>
              <w:rPr>
                <w:b w:val="0"/>
                <w:i w:val="0"/>
                <w:color w:val="1A1416"/>
                <w:sz w:val="19"/>
                <w:rFonts w:ascii="IBM Plex Sans" w:hAnsi="IBM Plex Sans" w:cs="IBM Plex Sans"/>
              </w:rPr>
              <w:t>Conferir os acessos de 10/09 abrindo cada ferramenta, e só depois atualizar o checklist e dados/acessos.json. Registro otimista é pior que registro desatualizado.</w:t>
            </w:r>
          </w:p>
        </w:tc>
      </w:tr>
    </w:tbl>
    <w:p>
      <w:pPr>
        <w:spacing w:before="0" w:after="40" w:line="283" w:lineRule="auto"/>
      </w:pPr>
    </w:p>
    <w:p>
      <w:pPr>
        <w:spacing w:before="40" w:after="200"/>
        <w:pBdr>
          <w:bottom w:val="single" w:sz="8" w:space="1" w:color="CFC6C8"/>
        </w:pBdr>
      </w:pPr>
    </w:p>
    <w:p>
      <w:pPr>
        <w:spacing w:before="120" w:after="80" w:line="283" w:lineRule="auto"/>
      </w:pPr>
      <w:r>
        <w:rPr>
          <w:b/>
          <w:i w:val="0"/>
          <w:color w:val="7A0010"/>
          <w:sz w:val="16"/>
          <w:rFonts w:ascii="IBM Plex Sans" w:hAnsi="IBM Plex Sans" w:cs="IBM Plex Sans"/>
        </w:rPr>
        <w:t>PRIVACIDADE E USO</w:t>
      </w:r>
    </w:p>
    <w:p>
      <w:pPr>
        <w:spacing w:before="0" w:after="100" w:line="283" w:lineRule="auto"/>
      </w:pPr>
      <w:r>
        <w:rPr>
          <w:b w:val="0"/>
          <w:i w:val="0"/>
          <w:color w:val="5E5458"/>
          <w:sz w:val="18"/>
          <w:rFonts w:ascii="IBM Plex Sans" w:hAnsi="IBM Plex Sans" w:cs="IBM Plex Sans"/>
        </w:rPr>
        <w:t>Os acessos solicitados são usados exclusivamente para a finalidade contratual e restritos aos profissionais estritamente necessários, sob compromisso de confidencialidade. Onde o nível administrativo é necessário, ele serve para estabelecer a integração de dados, e nenhuma alteração de configuração, campanha, verba ou publicação acontece sem aprovação prévia e explícita do Grupo OLX. Credenciais ficam em gerenciador de senhas, com troca obrigatória ao término da prestação ou em suspeita de incidente, e armazenamento residual máximo de 30 dias após o encerramento. A OLX pode revogar ou reduzir qualquer permissão a qualquer tempo.</w:t>
      </w:r>
    </w:p>
    <w:p>
      <w:pPr>
        <w:spacing w:before="0" w:after="0" w:line="283" w:lineRule="auto"/>
      </w:pPr>
      <w:r>
        <w:rPr>
          <w:b w:val="0"/>
          <w:i w:val="0"/>
          <w:color w:val="5E5458"/>
          <w:sz w:val="18"/>
          <w:rFonts w:ascii="IBM Plex Sans" w:hAnsi="IBM Plex Sans" w:cs="IBM Plex Sans"/>
        </w:rPr>
        <w:t>Encarregado de proteção de dados da V4: lgpd@v4company.com.br. Estado de máquina em dados/outputs/mapa-de-numeros.json. Regerar com .claude/scripts/build_mapa_numeros.py.</w:t>
      </w:r>
    </w:p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color w:val="1A1416"/>
      <w:sz w:val="21"/>
      <w:rFonts w:ascii="IBM Plex Sans" w:hAnsi="IBM Plex Sans" w:cs="IBM Plex Sans" w:eastAsia="IBM Plex San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