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83" w:lineRule="auto"/>
      </w:pPr>
      <w:r>
        <w:rPr>
          <w:b/>
          <w:i w:val="0"/>
          <w:color w:val="7A0010"/>
          <w:sz w:val="16"/>
          <w:rFonts w:ascii="Calibri" w:hAnsi="Calibri" w:cs="Calibri"/>
        </w:rPr>
        <w:t>V4 COMPANY  ·  GRUPO OLX  ·  DESTRAVA RECEITA, CICLO 1</w:t>
      </w:r>
    </w:p>
    <w:p>
      <w:pPr>
        <w:spacing w:before="0" w:after="120" w:line="283" w:lineRule="auto"/>
      </w:pPr>
      <w:r>
        <w:rPr>
          <w:b/>
          <w:i w:val="0"/>
          <w:color w:val="1A1416"/>
          <w:sz w:val="52"/>
          <w:rFonts w:ascii="Calibri" w:hAnsi="Calibri" w:cs="Calibri"/>
        </w:rPr>
        <w:t>Acessos pendentes</w:t>
      </w:r>
    </w:p>
    <w:p>
      <w:pPr>
        <w:spacing w:before="0" w:after="160" w:line="283" w:lineRule="auto"/>
      </w:pPr>
      <w:r>
        <w:rPr>
          <w:b w:val="0"/>
          <w:i w:val="0"/>
          <w:color w:val="5E5458"/>
          <w:sz w:val="24"/>
          <w:rFonts w:ascii="Calibri" w:hAnsi="Calibri" w:cs="Calibri"/>
        </w:rPr>
        <w:t>O que ainda falta liberar para os nove diagnósticos rodarem</w:t>
      </w:r>
    </w:p>
    <w:p>
      <w:pPr>
        <w:spacing w:before="40" w:after="200"/>
        <w:pBdr>
          <w:bottom w:val="single" w:sz="18" w:space="1" w:color="1A1416"/>
        </w:pBdr>
      </w:pPr>
    </w:p>
    <w:p>
      <w:pPr>
        <w:spacing w:after="80"/>
      </w:pPr>
      <w:r>
        <w:rPr>
          <w:b w:val="0"/>
          <w:i w:val="0"/>
          <w:color w:val="8F858A"/>
          <w:sz w:val="17"/>
          <w:rFonts w:ascii="Consolas" w:hAnsi="Consolas" w:cs="Consolas"/>
        </w:rPr>
        <w:t>Estado em 03/09/2026, 15h  ·  4 parciais  ·  17 pendentes  ·  4 concedidos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9858"/>
      </w:tblGrid>
      <w:tr>
        <w:tc>
          <w:tcPr>
            <w:tcW w:type="dxa" w:w="9858"/>
            <w:shd w:val="clear" w:color="auto" w:fill="FBEFF0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7A0010"/>
                <w:sz w:val="16"/>
                <w:rFonts w:ascii="Calibri" w:hAnsi="Calibri" w:cs="Calibri"/>
              </w:rPr>
              <w:t>COMO LER ESTA LISTA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Esta é a fotografia de 03/09 às 15h, antes da entrega do lote combinada para as 17h de hoje. Ela serve de conferência: na sexta 04/09 a V4 abre cada ferramenta uma a uma e marca o que de fato funciona.</w:t>
            </w:r>
          </w:p>
          <w:p>
            <w:pPr>
              <w:spacing w:after="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A distinção importa porque já aconteceu duas vezes de um acesso chegar concedido e não utilizável — o Analytics veio em nível Leitor, e o portfólio de Meta apareceu sem nenhum ativo conectado. Por isso a coluna de status separa parcial de pendente, e diz o motivo.</w:t>
            </w:r>
          </w:p>
        </w:tc>
      </w:tr>
    </w:tbl>
    <w:p>
      <w:pPr>
        <w:spacing w:before="0" w:after="40" w:line="283" w:lineRule="auto"/>
      </w:pPr>
    </w:p>
    <w:p>
      <w:pPr>
        <w:spacing w:before="400" w:after="80"/>
      </w:pPr>
      <w:r>
        <w:rPr>
          <w:b/>
          <w:i w:val="0"/>
          <w:color w:val="970013"/>
          <w:sz w:val="26"/>
          <w:rFonts w:ascii="Consolas" w:hAnsi="Consolas" w:cs="Consolas"/>
        </w:rPr>
        <w:t xml:space="preserve">01   </w:t>
      </w:r>
      <w:r>
        <w:rPr>
          <w:b/>
          <w:i w:val="0"/>
          <w:color w:val="1A1416"/>
          <w:sz w:val="30"/>
          <w:rFonts w:ascii="Calibri" w:hAnsi="Calibri" w:cs="Calibri"/>
        </w:rPr>
        <w:t>O que falta</w:t>
      </w:r>
    </w:p>
    <w:p>
      <w:pPr>
        <w:spacing w:before="40" w:after="200"/>
        <w:pBdr>
          <w:bottom w:val="single" w:sz="8" w:space="1" w:color="CFC6C8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2464"/>
        <w:gridCol w:w="2464"/>
        <w:gridCol w:w="2464"/>
        <w:gridCol w:w="2464"/>
      </w:tblGrid>
      <w:tr>
        <w:tc>
          <w:tcPr>
            <w:tcW w:type="dxa" w:w="243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FERRAMENTA</w:t>
            </w:r>
          </w:p>
        </w:tc>
        <w:tc>
          <w:tcPr>
            <w:tcW w:type="dxa" w:w="181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AUDITORIA(S)</w:t>
            </w:r>
          </w:p>
        </w:tc>
        <w:tc>
          <w:tcPr>
            <w:tcW w:type="dxa" w:w="1757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NÍVEL NECESSÁRIO</w:t>
            </w:r>
          </w:p>
        </w:tc>
        <w:tc>
          <w:tcPr>
            <w:tcW w:type="dxa" w:w="3515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STATUS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Google Analytics 4</w:t>
            </w:r>
          </w:p>
          <w:p>
            <w:pPr>
              <w:spacing w:before="20" w:after="0"/>
            </w:pPr>
            <w:r>
              <w:rPr>
                <w:b w:val="0"/>
                <w:i w:val="0"/>
                <w:color w:val="8F858A"/>
                <w:sz w:val="16"/>
                <w:rFonts w:ascii="Consolas" w:hAnsi="Consolas" w:cs="Consolas"/>
              </w:rPr>
              <w:t>3 contas · 26 propriedades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(vii) Rastreamento</w:t>
            </w:r>
          </w:p>
          <w:p>
            <w:pPr>
              <w:spacing w:before="20" w:after="0" w:line="269" w:lineRule="auto"/>
            </w:pPr>
            <w:r>
              <w:rPr>
                <w:b w:val="0"/>
                <w:i w:val="0"/>
                <w:color w:val="5E5458"/>
                <w:sz w:val="17"/>
                <w:rFonts w:ascii="Calibri" w:hAnsi="Calibri" w:cs="Calibri"/>
              </w:rPr>
              <w:t>alimenta (viii) e (vi)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Editor</w:t>
            </w:r>
          </w:p>
          <w:p>
            <w:pPr>
              <w:spacing w:before="20" w:after="0" w:line="269" w:lineRule="auto"/>
            </w:pPr>
            <w:r>
              <w:rPr>
                <w:b w:val="0"/>
                <w:i w:val="0"/>
                <w:color w:val="5E5458"/>
                <w:sz w:val="17"/>
                <w:rFonts w:ascii="Calibri" w:hAnsi="Calibri" w:cs="Calibri"/>
              </w:rPr>
              <w:t>Administrador se houver vínculo com Google Ads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6"/>
                <w:rFonts w:ascii="Consolas" w:hAnsi="Consolas" w:cs="Consolas"/>
              </w:rPr>
              <w:t>PARCIAL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Concedido em nível Leitor, confirmado na interface em 01/09. Leitor abre os relatórios, mas não as telas de Administração — fluxos de dados, retenção, eventos-chave e configuração de consentimento, que são o objeto da auditoria.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Google Tag Manager</w:t>
            </w:r>
          </w:p>
          <w:p>
            <w:pPr>
              <w:spacing w:before="20" w:after="0"/>
            </w:pPr>
            <w:r>
              <w:rPr>
                <w:b w:val="0"/>
                <w:i w:val="0"/>
                <w:color w:val="8F858A"/>
                <w:sz w:val="16"/>
                <w:rFonts w:ascii="Consolas" w:hAnsi="Consolas" w:cs="Consolas"/>
              </w:rPr>
              <w:t>4 contas, todas com selo 360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(vii) Rastreamento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Leitura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6"/>
                <w:rFonts w:ascii="Consolas" w:hAnsi="Consolas" w:cs="Consolas"/>
              </w:rPr>
              <w:t>PARCIAL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Concedida apenas a conta BR - www.olx.com.br. Faltam três contas inteiras: Checkout Unificado - PRO (6326134112), VivaReal (4412254379) e o restante da ZapImóveis (2971905372). A auditoria cobre hoje uma conta e um contêiner de outra.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Google Ads</w:t>
            </w:r>
          </w:p>
          <w:p>
            <w:pPr>
              <w:spacing w:before="20" w:after="0"/>
            </w:pPr>
            <w:r>
              <w:rPr>
                <w:b w:val="0"/>
                <w:i w:val="0"/>
                <w:color w:val="8F858A"/>
                <w:sz w:val="16"/>
                <w:rFonts w:ascii="Consolas" w:hAnsi="Consolas" w:cs="Consolas"/>
              </w:rPr>
              <w:t>conta de captação de anunciante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(vi) Mídia paga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Administrativo para aceitar a integração</w:t>
            </w:r>
          </w:p>
          <w:p>
            <w:pPr>
              <w:spacing w:before="20" w:after="0" w:line="269" w:lineRule="auto"/>
            </w:pPr>
            <w:r>
              <w:rPr>
                <w:b w:val="0"/>
                <w:i w:val="0"/>
                <w:color w:val="5E5458"/>
                <w:sz w:val="17"/>
                <w:rFonts w:ascii="Calibri" w:hAnsi="Calibri" w:cs="Calibri"/>
              </w:rPr>
              <w:t>depois pode voltar a leitura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6"/>
                <w:rFonts w:ascii="Consolas" w:hAnsi="Consolas" w:cs="Consolas"/>
              </w:rPr>
              <w:t>PARCIAL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Só a MCC VR09 ZAP+ (526-656-0190) foi aceita, e ela não é a conta do escopo: o GA4 mostra 7 contas de Google Ads vinculadas à propriedade ZapImóveis e nenhuma é essa. Falta identificar e liberar a que carrega a captação de anunciante.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Contas @olxbr.com</w:t>
            </w:r>
          </w:p>
          <w:p>
            <w:pPr>
              <w:spacing w:before="20" w:after="0"/>
            </w:pPr>
            <w:r>
              <w:rPr>
                <w:b w:val="0"/>
                <w:i w:val="0"/>
                <w:color w:val="8F858A"/>
                <w:sz w:val="16"/>
                <w:rFonts w:ascii="Consolas" w:hAnsi="Consolas" w:cs="Consolas"/>
              </w:rPr>
              <w:t>Anselmo Bueno e Guilherme Monteiro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todas — é o acesso ao data room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Usuário padrão</w:t>
            </w:r>
          </w:p>
          <w:p>
            <w:pPr>
              <w:spacing w:before="20" w:after="0" w:line="269" w:lineRule="auto"/>
            </w:pPr>
            <w:r>
              <w:rPr>
                <w:b w:val="0"/>
                <w:i w:val="0"/>
                <w:color w:val="5E5458"/>
                <w:sz w:val="17"/>
                <w:rFonts w:ascii="Calibri" w:hAnsi="Calibri" w:cs="Calibri"/>
              </w:rPr>
              <w:t>sem privilégio administrativo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6"/>
                <w:rFonts w:ascii="Consolas" w:hAnsi="Consolas" w:cs="Consolas"/>
              </w:rPr>
              <w:t>PARCIAL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Só a conta de Rafael Corazza foi criada. Hoje o data room roda em login compartilhado, o que concentra a busca de material numa pessoa só e não deixa rastro de quem leu o quê.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Google Search Console</w:t>
            </w:r>
          </w:p>
          <w:p>
            <w:pPr>
              <w:spacing w:before="20" w:after="0"/>
            </w:pPr>
            <w:r>
              <w:rPr>
                <w:b w:val="0"/>
                <w:i w:val="0"/>
                <w:color w:val="8F858A"/>
                <w:sz w:val="16"/>
                <w:rFonts w:ascii="Consolas" w:hAnsi="Consolas" w:cs="Consolas"/>
              </w:rPr>
              <w:t>cada propriedade B2B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(ii) CRO e SEO</w:t>
            </w:r>
          </w:p>
          <w:p>
            <w:pPr>
              <w:spacing w:before="20" w:after="0" w:line="269" w:lineRule="auto"/>
            </w:pPr>
            <w:r>
              <w:rPr>
                <w:b w:val="0"/>
                <w:i w:val="0"/>
                <w:color w:val="5E5458"/>
                <w:sz w:val="17"/>
                <w:rFonts w:ascii="Calibri" w:hAnsi="Calibri" w:cs="Calibri"/>
              </w:rPr>
              <w:t>(viii) Páginas de captura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Proprietário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6"/>
                <w:rFonts w:ascii="Consolas" w:hAnsi="Consolas" w:cs="Consolas"/>
              </w:rPr>
              <w:t>PENDENTE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Perfis inferiores leem os relatórios na interface, mas não autorizam a extração via API, que é como a busca é consolidada com o resto.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Meta Ads · VR ZAP+</w:t>
            </w:r>
          </w:p>
          <w:p>
            <w:pPr>
              <w:spacing w:before="20" w:after="0"/>
            </w:pPr>
            <w:r>
              <w:rPr>
                <w:b w:val="0"/>
                <w:i w:val="0"/>
                <w:color w:val="8F858A"/>
                <w:sz w:val="16"/>
                <w:rFonts w:ascii="Consolas" w:hAnsi="Consolas" w:cs="Consolas"/>
              </w:rPr>
              <w:t>ID 612188193108418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(vi) Mídia paga</w:t>
            </w:r>
          </w:p>
          <w:p>
            <w:pPr>
              <w:spacing w:before="20" w:after="0" w:line="269" w:lineRule="auto"/>
            </w:pPr>
            <w:r>
              <w:rPr>
                <w:b w:val="0"/>
                <w:i w:val="0"/>
                <w:color w:val="5E5458"/>
                <w:sz w:val="17"/>
                <w:rFonts w:ascii="Calibri" w:hAnsi="Calibri" w:cs="Calibri"/>
              </w:rPr>
              <w:t>(iv) Criativos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Admin do Business Manager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6"/>
                <w:rFonts w:ascii="Consolas" w:hAnsi="Consolas" w:cs="Consolas"/>
              </w:rPr>
              <w:t>PENDENTE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Pendente desde 21/08. Sem ela a auditoria de mídia fecha pela metade e o custo de aquisição fica sem a parcela de Meta.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Meta Ads · OLX | Autos | B2B</w:t>
            </w:r>
          </w:p>
          <w:p>
            <w:pPr>
              <w:spacing w:before="20" w:after="0"/>
            </w:pPr>
            <w:r>
              <w:rPr>
                <w:b w:val="0"/>
                <w:i w:val="0"/>
                <w:color w:val="8F858A"/>
                <w:sz w:val="16"/>
                <w:rFonts w:ascii="Consolas" w:hAnsi="Consolas" w:cs="Consolas"/>
              </w:rPr>
              <w:t>ID 1742214902479721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(vi) Mídia paga</w:t>
            </w:r>
          </w:p>
          <w:p>
            <w:pPr>
              <w:spacing w:before="20" w:after="0" w:line="269" w:lineRule="auto"/>
            </w:pPr>
            <w:r>
              <w:rPr>
                <w:b w:val="0"/>
                <w:i w:val="0"/>
                <w:color w:val="5E5458"/>
                <w:sz w:val="17"/>
                <w:rFonts w:ascii="Calibri" w:hAnsi="Calibri" w:cs="Calibri"/>
              </w:rPr>
              <w:t>(iv) Criativos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Admin do Business Manager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6"/>
                <w:rFonts w:ascii="Consolas" w:hAnsi="Consolas" w:cs="Consolas"/>
              </w:rPr>
              <w:t>PENDENTE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Pendente desde 21/08. É o único acesso mapeado que cobre a unidade de Autos.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Meta · portfólio New OLX Brasil</w:t>
            </w:r>
          </w:p>
          <w:p>
            <w:pPr>
              <w:spacing w:before="20" w:after="0"/>
            </w:pPr>
            <w:r>
              <w:rPr>
                <w:b w:val="0"/>
                <w:i w:val="0"/>
                <w:color w:val="8F858A"/>
                <w:sz w:val="16"/>
                <w:rFonts w:ascii="Consolas" w:hAnsi="Consolas" w:cs="Consolas"/>
              </w:rPr>
              <w:t>acesso de parceiro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(vi) Mídia paga</w:t>
            </w:r>
          </w:p>
          <w:p>
            <w:pPr>
              <w:spacing w:before="20" w:after="0" w:line="269" w:lineRule="auto"/>
            </w:pPr>
            <w:r>
              <w:rPr>
                <w:b w:val="0"/>
                <w:i w:val="0"/>
                <w:color w:val="5E5458"/>
                <w:sz w:val="17"/>
                <w:rFonts w:ascii="Calibri" w:hAnsi="Calibri" w:cs="Calibri"/>
              </w:rPr>
              <w:t>(iv) Criativos · (v) Redes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Parceiro, com os ativos atribuídos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6"/>
                <w:rFonts w:ascii="Consolas" w:hAnsi="Consolas" w:cs="Consolas"/>
              </w:rPr>
              <w:t>PENDENTE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Em 01/09 a aba Ativos conectados devolveu “Nenhum ativo conectado”. Pedimos junto a confirmação de quantas páginas e contas existem de fato, porque a visão atual pode estar limitada pela permissão do usuário.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Meta Business Suite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(v) Redes sociais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Analista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6"/>
                <w:rFonts w:ascii="Consolas" w:hAnsi="Consolas" w:cs="Consolas"/>
              </w:rPr>
              <w:t>PENDENTE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Sem concessão.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LinkedIn</w:t>
            </w:r>
          </w:p>
          <w:p>
            <w:pPr>
              <w:spacing w:before="20" w:after="0"/>
            </w:pPr>
            <w:r>
              <w:rPr>
                <w:b w:val="0"/>
                <w:i w:val="0"/>
                <w:color w:val="8F858A"/>
                <w:sz w:val="16"/>
                <w:rFonts w:ascii="Consolas" w:hAnsi="Consolas" w:cs="Consolas"/>
              </w:rPr>
              <w:t>Company Pages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(v) Redes sociais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Analista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6"/>
                <w:rFonts w:ascii="Consolas" w:hAnsi="Consolas" w:cs="Consolas"/>
              </w:rPr>
              <w:t>PENDENTE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Sem concessão.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YouTube e TikTok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(v) Redes sociais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Analista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6"/>
                <w:rFonts w:ascii="Consolas" w:hAnsi="Consolas" w:cs="Consolas"/>
              </w:rPr>
              <w:t>PENDENTE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Sem concessão. O GTM confirma que os dois estão instrumentados, então não é mais descobrir quais canais existem: é acessar os que já sabemos que existem.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Salesforce Marketing Cloud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(i) CRM Marketing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Leitura com exportação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6"/>
                <w:rFonts w:ascii="Consolas" w:hAnsi="Consolas" w:cs="Consolas"/>
              </w:rPr>
              <w:t>PENDENTE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Sem concessão. O GTM revelou Insider, Braze e RD Station convivendo com o Marketing Cloud — confirmar qual é a ferramenta de fato em uso muda o escopo deste diagnóstico.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CRM comercial</w:t>
            </w:r>
          </w:p>
          <w:p>
            <w:pPr>
              <w:spacing w:before="20" w:after="0"/>
            </w:pPr>
            <w:r>
              <w:rPr>
                <w:b w:val="0"/>
                <w:i w:val="0"/>
                <w:color w:val="8F858A"/>
                <w:sz w:val="16"/>
                <w:rFonts w:ascii="Consolas" w:hAnsi="Consolas" w:cs="Consolas"/>
              </w:rPr>
              <w:t>pipeline, estágios e motivos de perda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(ix) Pré-vendas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Leitura com exportação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6"/>
                <w:rFonts w:ascii="Consolas" w:hAnsi="Consolas" w:cs="Consolas"/>
              </w:rPr>
              <w:t>PENDENTE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Sem concessão. Confirmar também se a ferramenta é o Salesforce ou outra.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Plataforma de cadência e discagem</w:t>
            </w:r>
          </w:p>
          <w:p>
            <w:pPr>
              <w:spacing w:before="20" w:after="0"/>
            </w:pPr>
            <w:r>
              <w:rPr>
                <w:b w:val="0"/>
                <w:i w:val="0"/>
                <w:color w:val="8F858A"/>
                <w:sz w:val="16"/>
                <w:rFonts w:ascii="Consolas" w:hAnsi="Consolas" w:cs="Consolas"/>
              </w:rPr>
              <w:t>sales engagement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(ix) Pré-vendas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Leitura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6"/>
                <w:rFonts w:ascii="Consolas" w:hAnsi="Consolas" w:cs="Consolas"/>
              </w:rPr>
              <w:t>PENDENTE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Sem concessão. Confirmar qual é a ferramenta.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Gravações de calls de qualificação</w:t>
            </w:r>
          </w:p>
          <w:p>
            <w:pPr>
              <w:spacing w:before="20" w:after="0"/>
            </w:pPr>
            <w:r>
              <w:rPr>
                <w:b w:val="0"/>
                <w:i w:val="0"/>
                <w:color w:val="8F858A"/>
                <w:sz w:val="16"/>
                <w:rFonts w:ascii="Consolas" w:hAnsi="Consolas" w:cs="Consolas"/>
              </w:rPr>
              <w:t>amostra de 10 a 15 recentes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(ix) Pré-vendas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Amostra, com consentimento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6"/>
                <w:rFonts w:ascii="Consolas" w:hAnsi="Consolas" w:cs="Consolas"/>
              </w:rPr>
              <w:t>PENDENTE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Envolve consentimento e LGPD, então é o item de prazo menos previsível da lista. Se o trâmite não fechar, a auditoria de pré-vendas sai sem a camada experiencial.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Mouseflow</w:t>
            </w:r>
          </w:p>
          <w:p>
            <w:pPr>
              <w:spacing w:before="20" w:after="0"/>
            </w:pPr>
            <w:r>
              <w:rPr>
                <w:b w:val="0"/>
                <w:i w:val="0"/>
                <w:color w:val="8F858A"/>
                <w:sz w:val="16"/>
                <w:rFonts w:ascii="Consolas" w:hAnsi="Consolas" w:cs="Consolas"/>
              </w:rPr>
              <w:t>projeto b837e449-83ee-457f-9ef5-8f976953f2bc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(viii) Páginas de captura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Leitura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6"/>
                <w:rFonts w:ascii="Consolas" w:hAnsi="Consolas" w:cs="Consolas"/>
              </w:rPr>
              <w:t>PENDENTE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Identificado no GTM, gravando sessão em todas as páginas web. Deixou de ser hipótese e virou pedido concreto.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Unbounce</w:t>
            </w:r>
          </w:p>
          <w:p>
            <w:pPr>
              <w:spacing w:before="20" w:after="0"/>
            </w:pPr>
            <w:r>
              <w:rPr>
                <w:b w:val="0"/>
                <w:i w:val="0"/>
                <w:color w:val="8F858A"/>
                <w:sz w:val="16"/>
                <w:rFonts w:ascii="Consolas" w:hAnsi="Consolas" w:cs="Consolas"/>
              </w:rPr>
              <w:t>onde as landing pages vivem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(viii) Páginas de captura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Leitura, ou export das LPs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6"/>
                <w:rFonts w:ascii="Consolas" w:hAnsi="Consolas" w:cs="Consolas"/>
              </w:rPr>
              <w:t>PENDENTE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Sem concessão. O contêiner de GTM das LPs já foi recebido; falta a plataforma.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CMS dos domínios B2B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(ii) CRO e SEO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Leitura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6"/>
                <w:rFonts w:ascii="Consolas" w:hAnsi="Consolas" w:cs="Consolas"/>
              </w:rPr>
              <w:t>PENDENTE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Sem concessão.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Ferramenta de SEO</w:t>
            </w:r>
          </w:p>
          <w:p>
            <w:pPr>
              <w:spacing w:before="20" w:after="0"/>
            </w:pPr>
            <w:r>
              <w:rPr>
                <w:b w:val="0"/>
                <w:i w:val="0"/>
                <w:color w:val="8F858A"/>
                <w:sz w:val="16"/>
                <w:rFonts w:ascii="Consolas" w:hAnsi="Consolas" w:cs="Consolas"/>
              </w:rPr>
              <w:t>SEMrush, Ahrefs ou similar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(ii) CRO e SEO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Leitura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6"/>
                <w:rFonts w:ascii="Consolas" w:hAnsi="Consolas" w:cs="Consolas"/>
              </w:rPr>
              <w:t>PENDENTE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Sem concessão. Pode não existir — e “não existe” é uma resposta completa, que registramos como leitura de maturidade.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BI ou fonte única de verdade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Bloco A — fluxo de receita e forecast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Leitura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6"/>
                <w:rFonts w:ascii="Consolas" w:hAnsi="Consolas" w:cs="Consolas"/>
              </w:rPr>
              <w:t>PENDENTE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Sem concessão. Se não houver fonte única, isso já é sintoma a registrar.</w:t>
            </w:r>
          </w:p>
        </w:tc>
      </w:tr>
      <w:tr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ERP e financeiro</w:t>
            </w:r>
          </w:p>
          <w:p>
            <w:pPr>
              <w:spacing w:before="20" w:after="0"/>
            </w:pPr>
            <w:r>
              <w:rPr>
                <w:b w:val="0"/>
                <w:i w:val="0"/>
                <w:color w:val="8F858A"/>
                <w:sz w:val="16"/>
                <w:rFonts w:ascii="Consolas" w:hAnsi="Consolas" w:cs="Consolas"/>
              </w:rPr>
              <w:t>custo variável e margem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>Bloco A — fluxo de receita e forecast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i w:val="0"/>
                <w:color w:val="1A1416"/>
                <w:sz w:val="18"/>
                <w:rFonts w:ascii="Calibri" w:hAnsi="Calibri" w:cs="Calibri"/>
              </w:rPr>
              <w:t>Leitura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6"/>
                <w:rFonts w:ascii="Consolas" w:hAnsi="Consolas" w:cs="Consolas"/>
              </w:rPr>
              <w:t>PENDENTE</w:t>
            </w:r>
            <w:r>
              <w:rPr>
                <w:b w:val="0"/>
                <w:i w:val="0"/>
                <w:color w:val="1A1416"/>
                <w:sz w:val="18"/>
                <w:rFonts w:ascii="Calibri" w:hAnsi="Calibri" w:cs="Calibri"/>
              </w:rPr>
              <w:t xml:space="preserve">  Sem concessão. É o que converte receita em truput.</w:t>
            </w:r>
          </w:p>
        </w:tc>
      </w:tr>
    </w:tbl>
    <w:p>
      <w:pPr>
        <w:spacing w:before="0" w:after="40" w:line="283" w:lineRule="auto"/>
      </w:pPr>
    </w:p>
    <w:p>
      <w:pPr>
        <w:spacing w:before="400" w:after="80"/>
      </w:pPr>
      <w:r>
        <w:rPr>
          <w:b/>
          <w:i w:val="0"/>
          <w:color w:val="970013"/>
          <w:sz w:val="26"/>
          <w:rFonts w:ascii="Consolas" w:hAnsi="Consolas" w:cs="Consolas"/>
        </w:rPr>
        <w:t xml:space="preserve">02   </w:t>
      </w:r>
      <w:r>
        <w:rPr>
          <w:b/>
          <w:i w:val="0"/>
          <w:color w:val="1A1416"/>
          <w:sz w:val="30"/>
          <w:rFonts w:ascii="Calibri" w:hAnsi="Calibri" w:cs="Calibri"/>
        </w:rPr>
        <w:t>O que já está concedido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80" w:line="283" w:lineRule="auto"/>
      </w:pPr>
      <w:r>
        <w:rPr>
          <w:b w:val="0"/>
          <w:i w:val="0"/>
          <w:color w:val="5E5458"/>
          <w:sz w:val="19"/>
          <w:rFonts w:ascii="Calibri" w:hAnsi="Calibri" w:cs="Calibri"/>
        </w:rPr>
        <w:t>Registrado para que nada seja pedido duas vezes.</w:t>
      </w:r>
    </w:p>
    <w:p>
      <w:pPr>
        <w:spacing w:after="40" w:line="276" w:lineRule="auto"/>
      </w:pPr>
      <w:r>
        <w:rPr>
          <w:b/>
          <w:i w:val="0"/>
          <w:color w:val="2F6B4F"/>
          <w:sz w:val="16"/>
          <w:rFonts w:ascii="Consolas" w:hAnsi="Consolas" w:cs="Consolas"/>
        </w:rPr>
        <w:t>CONCEDIDO</w:t>
      </w:r>
      <w:r>
        <w:rPr>
          <w:b/>
          <w:i w:val="0"/>
          <w:color w:val="1A1416"/>
          <w:sz w:val="19"/>
          <w:rFonts w:ascii="Calibri" w:hAnsi="Calibri" w:cs="Calibri"/>
        </w:rPr>
        <w:t xml:space="preserve">  Google Ads · MCC VR09 ZAP+ (526-656-0190) — </w:t>
      </w:r>
      <w:r>
        <w:rPr>
          <w:b w:val="0"/>
          <w:i w:val="0"/>
          <w:color w:val="5E5458"/>
          <w:sz w:val="19"/>
          <w:rFonts w:ascii="Calibri" w:hAnsi="Calibri" w:cs="Calibri"/>
        </w:rPr>
        <w:t>aceite em 24/08, ingerindo no V4MOS desde então</w:t>
      </w:r>
    </w:p>
    <w:p>
      <w:pPr>
        <w:spacing w:after="40" w:line="276" w:lineRule="auto"/>
      </w:pPr>
      <w:r>
        <w:rPr>
          <w:b/>
          <w:i w:val="0"/>
          <w:color w:val="2F6B4F"/>
          <w:sz w:val="16"/>
          <w:rFonts w:ascii="Consolas" w:hAnsi="Consolas" w:cs="Consolas"/>
        </w:rPr>
        <w:t>CONCEDIDO</w:t>
      </w:r>
      <w:r>
        <w:rPr>
          <w:b/>
          <w:i w:val="0"/>
          <w:color w:val="1A1416"/>
          <w:sz w:val="19"/>
          <w:rFonts w:ascii="Calibri" w:hAnsi="Calibri" w:cs="Calibri"/>
        </w:rPr>
        <w:t xml:space="preserve">  Google Analytics 4 · 3 contas, 26 propriedades — </w:t>
      </w:r>
      <w:r>
        <w:rPr>
          <w:b w:val="0"/>
          <w:i w:val="0"/>
          <w:color w:val="5E5458"/>
          <w:sz w:val="19"/>
          <w:rFonts w:ascii="Calibri" w:hAnsi="Calibri" w:cs="Calibri"/>
        </w:rPr>
        <w:t>leitura confirmada em 31/08 — falta a elevação de nível, na lista acima</w:t>
      </w:r>
    </w:p>
    <w:p>
      <w:pPr>
        <w:spacing w:after="40" w:line="276" w:lineRule="auto"/>
      </w:pPr>
      <w:r>
        <w:rPr>
          <w:b/>
          <w:i w:val="0"/>
          <w:color w:val="2F6B4F"/>
          <w:sz w:val="16"/>
          <w:rFonts w:ascii="Consolas" w:hAnsi="Consolas" w:cs="Consolas"/>
        </w:rPr>
        <w:t>CONCEDIDO</w:t>
      </w:r>
      <w:r>
        <w:rPr>
          <w:b/>
          <w:i w:val="0"/>
          <w:color w:val="1A1416"/>
          <w:sz w:val="19"/>
          <w:rFonts w:ascii="Calibri" w:hAnsi="Calibri" w:cs="Calibri"/>
        </w:rPr>
        <w:t xml:space="preserve">  Google Tag Manager · conta BR - www.olx.com.br — </w:t>
      </w:r>
      <w:r>
        <w:rPr>
          <w:b w:val="0"/>
          <w:i w:val="0"/>
          <w:color w:val="5E5458"/>
          <w:sz w:val="19"/>
          <w:rFonts w:ascii="Calibri" w:hAnsi="Calibri" w:cs="Calibri"/>
        </w:rPr>
        <w:t>confirmada em 01/09, 11 exports de contêiner recebidos</w:t>
      </w:r>
    </w:p>
    <w:p>
      <w:pPr>
        <w:spacing w:after="40" w:line="276" w:lineRule="auto"/>
      </w:pPr>
      <w:r>
        <w:rPr>
          <w:b/>
          <w:i w:val="0"/>
          <w:color w:val="2F6B4F"/>
          <w:sz w:val="16"/>
          <w:rFonts w:ascii="Consolas" w:hAnsi="Consolas" w:cs="Consolas"/>
        </w:rPr>
        <w:t>CONCEDIDO</w:t>
      </w:r>
      <w:r>
        <w:rPr>
          <w:b/>
          <w:i w:val="0"/>
          <w:color w:val="1A1416"/>
          <w:sz w:val="19"/>
          <w:rFonts w:ascii="Calibri" w:hAnsi="Calibri" w:cs="Calibri"/>
        </w:rPr>
        <w:t xml:space="preserve">  Google Drive · data room — </w:t>
      </w:r>
      <w:r>
        <w:rPr>
          <w:b w:val="0"/>
          <w:i w:val="0"/>
          <w:color w:val="5E5458"/>
          <w:sz w:val="19"/>
          <w:rFonts w:ascii="Calibri" w:hAnsi="Calibri" w:cs="Calibri"/>
        </w:rPr>
        <w:t>aberto em 24/08 pela conta rafael.corazza-ext@olxbr.com</w:t>
      </w:r>
    </w:p>
    <w:p>
      <w:pPr>
        <w:spacing w:before="0" w:after="80" w:line="283" w:lineRule="auto"/>
      </w:pPr>
    </w:p>
    <w:p>
      <w:pPr>
        <w:spacing w:before="400" w:after="80"/>
      </w:pPr>
      <w:r>
        <w:rPr>
          <w:b/>
          <w:i w:val="0"/>
          <w:color w:val="970013"/>
          <w:sz w:val="26"/>
          <w:rFonts w:ascii="Consolas" w:hAnsi="Consolas" w:cs="Consolas"/>
        </w:rPr>
        <w:t xml:space="preserve">03   </w:t>
      </w:r>
      <w:r>
        <w:rPr>
          <w:b/>
          <w:i w:val="0"/>
          <w:color w:val="1A1416"/>
          <w:sz w:val="30"/>
          <w:rFonts w:ascii="Calibri" w:hAnsi="Calibri" w:cs="Calibri"/>
        </w:rPr>
        <w:t>Duas coisas que não são acesso, e que também faltam</w:t>
      </w:r>
    </w:p>
    <w:p>
      <w:pPr>
        <w:spacing w:before="40" w:after="200"/>
        <w:pBdr>
          <w:bottom w:val="single" w:sz="8" w:space="1" w:color="CFC6C8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9858"/>
      </w:tblGrid>
      <w:tr>
        <w:tc>
          <w:tcPr>
            <w:tcW w:type="dxa" w:w="9858"/>
            <w:shd w:val="clear" w:color="auto" w:fill="FBEFF0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7A0010"/>
                <w:sz w:val="16"/>
                <w:rFonts w:ascii="Calibri" w:hAnsi="Calibri" w:cs="Calibri"/>
              </w:rPr>
              <w:t>ENTREGA DE DADO, NÃO CONCESSÃO DE FERRAMENTA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O bloco A — receita mensal dos últimos 24 meses, funil comercial com volumes e taxas por etapa, e ticket médio com ciclo de vendas — segue sem nenhum item recebido. Nenhuma liberação de plataforma o destrava, e sem ele o forecast não tem matemática.</w:t>
            </w:r>
          </w:p>
          <w:p>
            <w:pPr>
              <w:spacing w:after="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As gravações de call da linha (ix) dependem do trâmite de consentimento, não de permissão em sistema. Vale começar esse trâmite antes de o acesso à ferramenta sair.</w:t>
            </w:r>
          </w:p>
        </w:tc>
      </w:tr>
    </w:tbl>
    <w:p>
      <w:pPr>
        <w:spacing w:before="0" w:after="40" w:line="283" w:lineRule="auto"/>
      </w:pPr>
    </w:p>
    <w:p>
      <w:pPr>
        <w:spacing w:before="40" w:after="200"/>
        <w:pBdr>
          <w:bottom w:val="single" w:sz="8" w:space="1" w:color="CFC6C8"/>
        </w:pBdr>
      </w:pPr>
    </w:p>
    <w:p>
      <w:pPr>
        <w:spacing w:before="120" w:after="80" w:line="283" w:lineRule="auto"/>
      </w:pPr>
      <w:r>
        <w:rPr>
          <w:b/>
          <w:i w:val="0"/>
          <w:color w:val="7A0010"/>
          <w:sz w:val="16"/>
          <w:rFonts w:ascii="Calibri" w:hAnsi="Calibri" w:cs="Calibri"/>
        </w:rPr>
        <w:t>PRIVACIDADE E USO</w:t>
      </w:r>
    </w:p>
    <w:p>
      <w:pPr>
        <w:spacing w:before="0" w:after="100" w:line="283" w:lineRule="auto"/>
      </w:pPr>
      <w:r>
        <w:rPr>
          <w:b w:val="0"/>
          <w:i w:val="0"/>
          <w:color w:val="5E5458"/>
          <w:sz w:val="18"/>
          <w:rFonts w:ascii="Calibri" w:hAnsi="Calibri" w:cs="Calibri"/>
        </w:rPr>
        <w:t>Os acessos solicitados são usados exclusivamente para a finalidade contratual e restritos aos profissionais estritamente necessários, sob compromisso de confidencialidade. Onde o nível administrativo é necessário, ele serve para estabelecer a integração de dados, e nenhuma alteração de configuração, campanha, verba ou publicação acontece sem aprovação prévia e explícita do Grupo OLX. Credenciais ficam em gerenciador de senhas, com troca obrigatória ao término da prestação ou em suspeita de incidente, e armazenamento residual máximo de 30 dias após o encerramento. A OLX pode revogar ou reduzir qualquer permissão a qualquer tempo.</w:t>
      </w:r>
    </w:p>
    <w:p>
      <w:pPr>
        <w:spacing w:before="0" w:after="0" w:line="283" w:lineRule="auto"/>
      </w:pPr>
      <w:r>
        <w:rPr>
          <w:b w:val="0"/>
          <w:i w:val="0"/>
          <w:color w:val="5E5458"/>
          <w:sz w:val="18"/>
          <w:rFonts w:ascii="Calibri" w:hAnsi="Calibri" w:cs="Calibri"/>
        </w:rPr>
        <w:t>Encarregado de proteção de dados da V4: lgpd@v4company.com.br. A justificativa técnica de cada nível está no documento Acessos e níveis de dado.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1A1416"/>
      <w:sz w:val="21"/>
      <w:rFonts w:ascii="Calibri" w:hAnsi="Calibri" w:cs="Calibri" w:eastAsia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