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83" w:lineRule="auto"/>
      </w:pPr>
      <w:r>
        <w:rPr>
          <w:b/>
          <w:i w:val="0"/>
          <w:color w:val="7A0010"/>
          <w:sz w:val="16"/>
          <w:rFonts w:ascii="Calibri" w:hAnsi="Calibri" w:cs="Calibri"/>
        </w:rPr>
        <w:t>V4 COMPANY  ·  GRUPO OLX  ·  DESTRAVA RECEITA, CICLO 1</w:t>
      </w:r>
    </w:p>
    <w:p>
      <w:pPr>
        <w:spacing w:before="0" w:after="120" w:line="283" w:lineRule="auto"/>
      </w:pPr>
      <w:r>
        <w:rPr>
          <w:b/>
          <w:i w:val="0"/>
          <w:color w:val="1A1416"/>
          <w:sz w:val="52"/>
          <w:rFonts w:ascii="Calibri" w:hAnsi="Calibri" w:cs="Calibri"/>
        </w:rPr>
        <w:t>Análise Diagnóstica</w:t>
      </w:r>
    </w:p>
    <w:p>
      <w:pPr>
        <w:spacing w:before="0" w:after="160" w:line="283" w:lineRule="auto"/>
      </w:pPr>
      <w:r>
        <w:rPr>
          <w:b w:val="0"/>
          <w:i w:val="0"/>
          <w:color w:val="5E5458"/>
          <w:sz w:val="24"/>
          <w:rFonts w:ascii="Calibri" w:hAnsi="Calibri" w:cs="Calibri"/>
        </w:rPr>
        <w:t>Fluxo de receita, as 8 travas e a maturidade digital — Ciclo 1</w:t>
      </w:r>
    </w:p>
    <w:p>
      <w:pPr>
        <w:spacing w:before="40" w:after="200"/>
        <w:pBdr>
          <w:bottom w:val="single" w:sz="18" w:space="1" w:color="1A1416"/>
        </w:pBdr>
      </w:pPr>
    </w:p>
    <w:p>
      <w:pPr>
        <w:spacing w:after="80"/>
      </w:pPr>
      <w:r>
        <w:rPr>
          <w:b w:val="0"/>
          <w:i w:val="0"/>
          <w:color w:val="8F858A"/>
          <w:sz w:val="17"/>
          <w:rFonts w:ascii="Consolas" w:hAnsi="Consolas" w:cs="Consolas"/>
        </w:rPr>
        <w:t>04/09/2026  ·  leitura parcial, anterior ao desbloqueio de acesso de 08/09</w:t>
      </w:r>
    </w:p>
    <w:tbl>
      <w:tblPr>
        <w:tblW w:type="auto" w:w="0"/>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9858"/>
      </w:tblGrid>
      <w:tr>
        <w:tc>
          <w:tcPr>
            <w:tcW w:type="dxa" w:w="9858"/>
            <w:shd w:val="clear" w:color="auto" w:fill="FBEFF0"/>
            <w:tcMar>
              <w:top w:w="140" w:type="dxa"/>
              <w:start w:w="170" w:type="dxa"/>
              <w:bottom w:w="140" w:type="dxa"/>
              <w:end w:w="170" w:type="dxa"/>
            </w:tcMar>
          </w:tcPr>
          <w:p>
            <w:pPr>
              <w:spacing w:after="60"/>
            </w:pPr>
            <w:r/>
            <w:r>
              <w:rPr>
                <w:b/>
                <w:i w:val="0"/>
                <w:color w:val="7A0010"/>
                <w:sz w:val="16"/>
                <w:rFonts w:ascii="Calibri" w:hAnsi="Calibri" w:cs="Calibri"/>
              </w:rPr>
              <w:t>COMO LER ESTE DOCUMENTO</w:t>
            </w:r>
          </w:p>
          <w:p>
            <w:pPr>
              <w:spacing w:after="60" w:line="283" w:lineRule="auto"/>
            </w:pPr>
            <w:r>
              <w:rPr>
                <w:b w:val="0"/>
                <w:i w:val="0"/>
                <w:color w:val="1A1416"/>
                <w:sz w:val="19"/>
                <w:rFonts w:ascii="Calibri" w:hAnsi="Calibri" w:cs="Calibri"/>
              </w:rPr>
              <w:t>Produzido com a evidência disponível em 04/09, antes da atualização de acessos comprometida pela OLX para 08/09. É leitura parcial e datada.</w:t>
            </w:r>
          </w:p>
          <w:p>
            <w:pPr>
              <w:spacing w:after="60" w:line="283" w:lineRule="auto"/>
            </w:pPr>
            <w:r>
              <w:rPr>
                <w:b w:val="0"/>
                <w:i w:val="0"/>
                <w:color w:val="1A1416"/>
                <w:sz w:val="19"/>
                <w:rFonts w:ascii="Calibri" w:hAnsi="Calibri" w:cs="Calibri"/>
              </w:rPr>
              <w:t>Onde um campo aparece como “sem dado”, ele está assim por falta de dado e não por omissão: a regra do método é que campo sem fonte fica vazio e vira pendência, nunca um valor aproximado.</w:t>
            </w:r>
          </w:p>
          <w:p>
            <w:pPr>
              <w:spacing w:after="0" w:line="283" w:lineRule="auto"/>
            </w:pPr>
            <w:r>
              <w:rPr>
                <w:b w:val="0"/>
                <w:i w:val="0"/>
                <w:color w:val="1A1416"/>
                <w:sz w:val="19"/>
                <w:rFonts w:ascii="Calibri" w:hAnsi="Calibri" w:cs="Calibri"/>
              </w:rPr>
              <w:t>Marcação de origem: [D] indica número declarado pelo Grupo OLX e ainda não apurado pela V4; [E] indica estimativa da V4. Número sem marca é apurado na ferramenta.</w:t>
            </w:r>
          </w:p>
        </w:tc>
      </w:tr>
    </w:tbl>
    <w:p>
      <w:pPr>
        <w:spacing w:before="0" w:after="40" w:line="283" w:lineRule="auto"/>
      </w:pPr>
    </w:p>
    <w:p>
      <w:pPr>
        <w:spacing w:before="400" w:after="80"/>
      </w:pPr>
      <w:r>
        <w:rPr>
          <w:b/>
          <w:i w:val="0"/>
          <w:color w:val="970013"/>
          <w:sz w:val="26"/>
          <w:rFonts w:ascii="Consolas" w:hAnsi="Consolas" w:cs="Consolas"/>
        </w:rPr>
        <w:t xml:space="preserve">01   </w:t>
      </w:r>
      <w:r>
        <w:rPr>
          <w:b/>
          <w:i w:val="0"/>
          <w:color w:val="1A1416"/>
          <w:sz w:val="30"/>
          <w:rFonts w:ascii="Calibri" w:hAnsi="Calibri" w:cs="Calibri"/>
        </w:rPr>
        <w:t>Mapeamento do Fluxo de Receita</w:t>
      </w:r>
    </w:p>
    <w:p>
      <w:pPr>
        <w:spacing w:before="40" w:after="200"/>
        <w:pBdr>
          <w:bottom w:val="single" w:sz="8" w:space="1" w:color="CFC6C8"/>
        </w:pBdr>
      </w:pPr>
    </w:p>
    <w:p>
      <w:pPr>
        <w:spacing w:before="0" w:after="120" w:line="283" w:lineRule="auto"/>
      </w:pPr>
      <w:r>
        <w:rPr>
          <w:b/>
          <w:i w:val="0"/>
          <w:color w:val="1A1416"/>
          <w:sz w:val="22"/>
          <w:rFonts w:ascii="Calibri" w:hAnsi="Calibri" w:cs="Calibri"/>
        </w:rPr>
        <w:t>O fluxo do anunciante profissional está narrado, não mapeado: zero das dez etapas tem volume, zero tem tempo médio.</w:t>
      </w:r>
    </w:p>
    <w:p>
      <w:pPr>
        <w:spacing w:before="0" w:after="160" w:line="283" w:lineRule="auto"/>
      </w:pPr>
      <w:r>
        <w:rPr>
          <w:b w:val="0"/>
          <w:i w:val="0"/>
          <w:color w:val="5E5458"/>
          <w:sz w:val="20"/>
          <w:rFonts w:ascii="Calibri" w:hAnsi="Calibri" w:cs="Calibri"/>
        </w:rPr>
        <w:t>O fluxo de receita do anunciante profissional do Grupo OLX está narrado ponta a ponta em dez etapas com fonte nomeada, mas não está mapeado: nenhuma das dez tem volume absoluto e nenhuma tem tempo médio, então perda_absoluta é null nas dez e o ranking por perda absoluta que o POP exige é indeterminável — ordenar por percentual violaria o próprio checklist da skill. Dos seis percentuais declarados, apenas um (80% de pagamento da 1ª fatura) é taxa de passagem entre etapas; os outros cinco são grandezas incomensuráveis somadas sob o mesmo rótulo. A regra 7 não pode ser verificada por nenhum dos dois caminhos: pela via do cliente falta volume, ticket médio e receita por vertical (bloco A do checklist, três itens em ⚪); pela via instrumentada o funil B2B do GA4 tem numerador zero (lead_b2b = 0 em agosto/2026), purchase contaminado e denominador provavelmente não segmentável. Nenhuma trava recebe score aqui e nenhuma restrição é nomeada.</w:t>
      </w:r>
    </w:p>
    <w:p>
      <w:pPr>
        <w:spacing w:before="280" w:after="40"/>
      </w:pPr>
      <w:r>
        <w:rPr>
          <w:b/>
          <w:i w:val="0"/>
          <w:color w:val="1A1416"/>
          <w:sz w:val="23"/>
          <w:rFonts w:ascii="Calibri" w:hAnsi="Calibri" w:cs="Calibri"/>
        </w:rPr>
        <w:t>Em números</w:t>
      </w:r>
    </w:p>
    <w:tbl>
      <w:tblPr>
        <w:tblW w:type="auto" w:w="0"/>
        <w:jc w:val="left"/>
        <w:tblLayout w:type="fixed"/>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4929"/>
        <w:gridCol w:w="4929"/>
      </w:tblGrid>
      <w:tr>
        <w:tc>
          <w:tcPr>
            <w:tcW w:type="dxa" w:w="2268"/>
            <w:shd w:val="clear" w:color="auto" w:fill="F4F0F1"/>
            <w:tcMar>
              <w:top w:w="80" w:type="dxa"/>
              <w:start w:w="110" w:type="dxa"/>
              <w:bottom w:w="80" w:type="dxa"/>
              <w:end w:w="110" w:type="dxa"/>
            </w:tcMar>
          </w:tcPr>
          <w:p>
            <w:pPr>
              <w:spacing w:after="0"/>
            </w:pPr>
            <w:r/>
            <w:r>
              <w:rPr>
                <w:b/>
                <w:i w:val="0"/>
                <w:color w:val="8F858A"/>
                <w:sz w:val="16"/>
                <w:rFonts w:ascii="Calibri" w:hAnsi="Calibri" w:cs="Calibri"/>
              </w:rPr>
              <w:t>INDICADOR</w:t>
            </w:r>
          </w:p>
        </w:tc>
        <w:tc>
          <w:tcPr>
            <w:tcW w:type="dxa" w:w="7257"/>
            <w:shd w:val="clear" w:color="auto" w:fill="F4F0F1"/>
            <w:tcMar>
              <w:top w:w="80" w:type="dxa"/>
              <w:start w:w="110" w:type="dxa"/>
              <w:bottom w:w="80" w:type="dxa"/>
              <w:end w:w="110" w:type="dxa"/>
            </w:tcMar>
          </w:tcPr>
          <w:p>
            <w:pPr>
              <w:spacing w:after="0"/>
            </w:pPr>
            <w:r/>
            <w:r>
              <w:rPr>
                <w:b/>
                <w:i w:val="0"/>
                <w:color w:val="8F858A"/>
                <w:sz w:val="16"/>
                <w:rFonts w:ascii="Calibri" w:hAnsi="Calibri" w:cs="Calibri"/>
              </w:rPr>
              <w:t>O QUE SIGNIFICA</w:t>
            </w:r>
          </w:p>
        </w:tc>
      </w:tr>
      <w:tr>
        <w:tc>
          <w:tcPr>
            <w:tcW w:type="dxa" w:w="2268"/>
            <w:tcMar>
              <w:top w:w="80" w:type="dxa"/>
              <w:start w:w="110" w:type="dxa"/>
              <w:bottom w:w="80" w:type="dxa"/>
              <w:end w:w="110" w:type="dxa"/>
            </w:tcMar>
          </w:tcPr>
          <w:p>
            <w:pPr>
              <w:spacing w:after="0" w:line="274" w:lineRule="auto"/>
            </w:pPr>
            <w:r/>
            <w:r>
              <w:rPr>
                <w:b/>
                <w:i w:val="0"/>
                <w:color w:val="1A1416"/>
                <w:sz w:val="18"/>
                <w:rFonts w:ascii="Calibri" w:hAnsi="Calibri" w:cs="Calibri"/>
              </w:rPr>
              <w:t>0 de 10</w:t>
            </w:r>
          </w:p>
        </w:tc>
        <w:tc>
          <w:tcPr>
            <w:tcW w:type="dxa" w:w="7257"/>
            <w:tcMar>
              <w:top w:w="80" w:type="dxa"/>
              <w:start w:w="110" w:type="dxa"/>
              <w:bottom w:w="80" w:type="dxa"/>
              <w:end w:w="110" w:type="dxa"/>
            </w:tcMar>
          </w:tcPr>
          <w:p>
            <w:pPr>
              <w:spacing w:after="0" w:line="274" w:lineRule="auto"/>
            </w:pPr>
            <w:r/>
            <w:r>
              <w:rPr>
                <w:b w:val="0"/>
                <w:i w:val="0"/>
                <w:color w:val="1A1416"/>
                <w:sz w:val="17"/>
                <w:rFonts w:ascii="Calibri" w:hAnsi="Calibri" w:cs="Calibri"/>
              </w:rPr>
              <w:t>etapas com volume absoluto — perda_absoluta é null nas dez</w:t>
            </w:r>
          </w:p>
        </w:tc>
      </w:tr>
      <w:tr>
        <w:tc>
          <w:tcPr>
            <w:tcW w:type="dxa" w:w="2268"/>
            <w:tcMar>
              <w:top w:w="80" w:type="dxa"/>
              <w:start w:w="110" w:type="dxa"/>
              <w:bottom w:w="80" w:type="dxa"/>
              <w:end w:w="110" w:type="dxa"/>
            </w:tcMar>
          </w:tcPr>
          <w:p>
            <w:pPr>
              <w:spacing w:after="0" w:line="274" w:lineRule="auto"/>
            </w:pPr>
            <w:r/>
            <w:r>
              <w:rPr>
                <w:b/>
                <w:i w:val="0"/>
                <w:color w:val="1A1416"/>
                <w:sz w:val="18"/>
                <w:rFonts w:ascii="Calibri" w:hAnsi="Calibri" w:cs="Calibri"/>
              </w:rPr>
              <w:t>0 de 10</w:t>
            </w:r>
          </w:p>
        </w:tc>
        <w:tc>
          <w:tcPr>
            <w:tcW w:type="dxa" w:w="7257"/>
            <w:tcMar>
              <w:top w:w="80" w:type="dxa"/>
              <w:start w:w="110" w:type="dxa"/>
              <w:bottom w:w="80" w:type="dxa"/>
              <w:end w:w="110" w:type="dxa"/>
            </w:tcMar>
          </w:tcPr>
          <w:p>
            <w:pPr>
              <w:spacing w:after="0" w:line="274" w:lineRule="auto"/>
            </w:pPr>
            <w:r/>
            <w:r>
              <w:rPr>
                <w:b w:val="0"/>
                <w:i w:val="0"/>
                <w:color w:val="1A1416"/>
                <w:sz w:val="17"/>
                <w:rFonts w:ascii="Calibri" w:hAnsi="Calibri" w:cs="Calibri"/>
              </w:rPr>
              <w:t>etapas com tempo médio de passagem apurado</w:t>
            </w:r>
          </w:p>
        </w:tc>
      </w:tr>
      <w:tr>
        <w:tc>
          <w:tcPr>
            <w:tcW w:type="dxa" w:w="2268"/>
            <w:tcMar>
              <w:top w:w="80" w:type="dxa"/>
              <w:start w:w="110" w:type="dxa"/>
              <w:bottom w:w="80" w:type="dxa"/>
              <w:end w:w="110" w:type="dxa"/>
            </w:tcMar>
          </w:tcPr>
          <w:p>
            <w:pPr>
              <w:spacing w:after="0" w:line="274" w:lineRule="auto"/>
            </w:pPr>
            <w:r/>
            <w:r>
              <w:rPr>
                <w:b/>
                <w:i w:val="0"/>
                <w:color w:val="1A1416"/>
                <w:sz w:val="18"/>
                <w:rFonts w:ascii="Calibri" w:hAnsi="Calibri" w:cs="Calibri"/>
              </w:rPr>
              <w:t>1 de 6</w:t>
            </w:r>
          </w:p>
        </w:tc>
        <w:tc>
          <w:tcPr>
            <w:tcW w:type="dxa" w:w="7257"/>
            <w:tcMar>
              <w:top w:w="80" w:type="dxa"/>
              <w:start w:w="110" w:type="dxa"/>
              <w:bottom w:w="80" w:type="dxa"/>
              <w:end w:w="110" w:type="dxa"/>
            </w:tcMar>
          </w:tcPr>
          <w:p>
            <w:pPr>
              <w:spacing w:after="0" w:line="274" w:lineRule="auto"/>
            </w:pPr>
            <w:r/>
            <w:r>
              <w:rPr>
                <w:b w:val="0"/>
                <w:i w:val="0"/>
                <w:color w:val="1A1416"/>
                <w:sz w:val="17"/>
                <w:rFonts w:ascii="Calibri" w:hAnsi="Calibri" w:cs="Calibri"/>
              </w:rPr>
              <w:t>percentuais que são taxa de passagem: o 80% da 1ª fatura [D]</w:t>
            </w:r>
          </w:p>
        </w:tc>
      </w:tr>
      <w:tr>
        <w:tc>
          <w:tcPr>
            <w:tcW w:type="dxa" w:w="2268"/>
            <w:tcMar>
              <w:top w:w="80" w:type="dxa"/>
              <w:start w:w="110" w:type="dxa"/>
              <w:bottom w:w="80" w:type="dxa"/>
              <w:end w:w="110" w:type="dxa"/>
            </w:tcMar>
          </w:tcPr>
          <w:p>
            <w:pPr>
              <w:spacing w:after="0" w:line="274" w:lineRule="auto"/>
            </w:pPr>
            <w:r/>
            <w:r>
              <w:rPr>
                <w:b/>
                <w:i w:val="0"/>
                <w:color w:val="1A1416"/>
                <w:sz w:val="18"/>
                <w:rFonts w:ascii="Calibri" w:hAnsi="Calibri" w:cs="Calibri"/>
              </w:rPr>
              <w:t>null</w:t>
            </w:r>
          </w:p>
        </w:tc>
        <w:tc>
          <w:tcPr>
            <w:tcW w:type="dxa" w:w="7257"/>
            <w:tcMar>
              <w:top w:w="80" w:type="dxa"/>
              <w:start w:w="110" w:type="dxa"/>
              <w:bottom w:w="80" w:type="dxa"/>
              <w:end w:w="110" w:type="dxa"/>
            </w:tcMar>
          </w:tcPr>
          <w:p>
            <w:pPr>
              <w:spacing w:after="0" w:line="274" w:lineRule="auto"/>
            </w:pPr>
            <w:r/>
            <w:r>
              <w:rPr>
                <w:b w:val="0"/>
                <w:i w:val="0"/>
                <w:color w:val="1A1416"/>
                <w:sz w:val="17"/>
                <w:rFonts w:ascii="Calibri" w:hAnsi="Calibri" w:cs="Calibri"/>
              </w:rPr>
              <w:t>reconciliação da regra 7 bloqueada pelos dois caminhos</w:t>
            </w:r>
          </w:p>
        </w:tc>
      </w:tr>
      <w:tr>
        <w:tc>
          <w:tcPr>
            <w:tcW w:type="dxa" w:w="2268"/>
            <w:tcMar>
              <w:top w:w="80" w:type="dxa"/>
              <w:start w:w="110" w:type="dxa"/>
              <w:bottom w:w="80" w:type="dxa"/>
              <w:end w:w="110" w:type="dxa"/>
            </w:tcMar>
          </w:tcPr>
          <w:p>
            <w:pPr>
              <w:spacing w:after="0" w:line="274" w:lineRule="auto"/>
            </w:pPr>
            <w:r/>
            <w:r>
              <w:rPr>
                <w:b/>
                <w:i w:val="0"/>
                <w:color w:val="1A1416"/>
                <w:sz w:val="18"/>
                <w:rFonts w:ascii="Calibri" w:hAnsi="Calibri" w:cs="Calibri"/>
              </w:rPr>
              <w:t>89% · 8–10%</w:t>
            </w:r>
          </w:p>
        </w:tc>
        <w:tc>
          <w:tcPr>
            <w:tcW w:type="dxa" w:w="7257"/>
            <w:tcMar>
              <w:top w:w="80" w:type="dxa"/>
              <w:start w:w="110" w:type="dxa"/>
              <w:bottom w:w="80" w:type="dxa"/>
              <w:end w:w="110" w:type="dxa"/>
            </w:tcMar>
          </w:tcPr>
          <w:p>
            <w:pPr>
              <w:spacing w:after="0" w:line="274" w:lineRule="auto"/>
            </w:pPr>
            <w:r/>
            <w:r>
              <w:rPr>
                <w:b w:val="0"/>
                <w:i w:val="0"/>
                <w:color w:val="1A1416"/>
                <w:sz w:val="17"/>
                <w:rFonts w:ascii="Calibri" w:hAnsi="Calibri" w:cs="Calibri"/>
              </w:rPr>
              <w:t>[D] anúncios de Imóveis sem lead · churn mensal, unidade não declarada</w:t>
            </w:r>
          </w:p>
        </w:tc>
      </w:tr>
      <w:tr>
        <w:tc>
          <w:tcPr>
            <w:tcW w:type="dxa" w:w="2268"/>
            <w:tcMar>
              <w:top w:w="80" w:type="dxa"/>
              <w:start w:w="110" w:type="dxa"/>
              <w:bottom w:w="80" w:type="dxa"/>
              <w:end w:w="110" w:type="dxa"/>
            </w:tcMar>
          </w:tcPr>
          <w:p>
            <w:pPr>
              <w:spacing w:after="0" w:line="274" w:lineRule="auto"/>
            </w:pPr>
            <w:r/>
            <w:r>
              <w:rPr>
                <w:b/>
                <w:i w:val="0"/>
                <w:color w:val="1A1416"/>
                <w:sz w:val="18"/>
                <w:rFonts w:ascii="Calibri" w:hAnsi="Calibri" w:cs="Calibri"/>
              </w:rPr>
              <w:t>661.144</w:t>
            </w:r>
          </w:p>
        </w:tc>
        <w:tc>
          <w:tcPr>
            <w:tcW w:type="dxa" w:w="7257"/>
            <w:tcMar>
              <w:top w:w="80" w:type="dxa"/>
              <w:start w:w="110" w:type="dxa"/>
              <w:bottom w:w="80" w:type="dxa"/>
              <w:end w:w="110" w:type="dxa"/>
            </w:tcMar>
          </w:tcPr>
          <w:p>
            <w:pPr>
              <w:spacing w:after="0" w:line="274" w:lineRule="auto"/>
            </w:pPr>
            <w:r/>
            <w:r>
              <w:rPr>
                <w:b w:val="0"/>
                <w:i w:val="0"/>
                <w:color w:val="1A1416"/>
                <w:sz w:val="17"/>
                <w:rFonts w:ascii="Calibri" w:hAnsi="Calibri" w:cs="Calibri"/>
              </w:rPr>
              <w:t>generate_lead_pro: candidato a numerador, significado não confirmado</w:t>
            </w:r>
          </w:p>
        </w:tc>
      </w:tr>
    </w:tbl>
    <w:p>
      <w:pPr>
        <w:spacing w:before="0" w:after="40" w:line="283" w:lineRule="auto"/>
      </w:pPr>
    </w:p>
    <w:p>
      <w:pPr>
        <w:spacing w:before="280" w:after="40"/>
      </w:pPr>
      <w:r>
        <w:rPr>
          <w:b/>
          <w:i w:val="0"/>
          <w:color w:val="1A1416"/>
          <w:sz w:val="23"/>
          <w:rFonts w:ascii="Calibri" w:hAnsi="Calibri" w:cs="Calibri"/>
        </w:rPr>
        <w:t>Os achados</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RANKING IMPOSSÍVEL, E ISSO É O ACHADO. O POP manda ordenar por perda absoluta, não por percentual. Sem volume em nenhuma das dez etapas, perda_absoluta é null nas dez e ranking_perda[] sai sem ordem. Pior: quatro etapas (Exposição, Qualificação, Pós-pago Autos, Expansão) não têm sequer taxa, e o pós-pago de Autos carrega 'alta taxa de abono e contestação' — vazamento de magnitude desconhecida que incide sobre receita JÁ RECONHECIDA e por isso não pode ser excluído do topo. Declarar um máximo sobre esse conjunto seria somar um score com dimensão faltando.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AS 'SEIS TAXAS DO FUNIL' NÃO SÃO SEIS TAXAS. Só o 80% de pagamento da 1ª fatura é passagem etapa→etapa. Os outros cinco são participação de origem (50%, denominador em disputa entre receita e base), participação de receita por canal (25% Autos / 10% Imóveis), fatia de quem sai (12%), participação de estado por anúncio (89%, só Imóveis) e hazard mensal sobre a base (8–10%). Somá-los como placar de completude é mapa errado com aparência de mapa certo — e é o que 03-estrategia/meta-do-projeto.md §3 e 02-diagnostico/jornada-do-cliente-profissional.md fazem hoje.</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EMPATE TÉCNICO ENTRE CHURN E PAGAMENTO — a frase que ordenava as alavancas estava errada. Pela identidade de regime, −1 p.p. de churn vale +14,3% a 8%, +12,5% a 9% e +11,1% a 10%; levar o pagamento de 80% para 90% vale +12,5%. As duas empatam no ponto médio e o pagamento vence no topo da faixa declarada. Todos [E]. A afirmação de que 'um ponto de churn vale mais que dez pontos de conversão de pagamento' precisa ser corrigida em meta-do-projeto.md §4.1 e §9 antes de qualquer material do Comitê 1.</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 CADEIA ENTREGA-ZERO → CHURN É RELATO ÚNICO, NÃO CONVERGÊNCIA. O 89% (00:19:40) e a atribuição do churn a baixa performance (00:22:16) são a MESMA falante na MESMA sessão, a dois minutos de distância. O voto do kick-off é percepção da liderança, rotulada como tal pelo próprio repositório, e a regra 5 não a admite como evidência. Não há corroboração instrumentada. dados/client.json deve continuar com score null nas oito travas e restricao_identificada null.</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 DESBLOQUEIO É EXTRAÇÃO, NÃO COLETA. As taxas MQL→SQL e SQL→venda já existem no dashboard de funil B2B por vertical, canal, time e período, com 12 meses de histórico; sessão→vitrine→checkout→venda existe no dashboard de canal online. A V4 viu os dois em 00:07:00–00:08:59 e não extraiu um dado — faltam os links (lacuna 1 da ata, DRI Leonardo Rosa, prazo '—'). Junto vai a pergunta mais barata do projeto: o que generate_lead_pro mede.</w:t>
      </w:r>
    </w:p>
    <w:p>
      <w:pPr>
        <w:spacing w:before="280" w:after="40"/>
      </w:pPr>
      <w:r>
        <w:rPr>
          <w:b/>
          <w:i w:val="0"/>
          <w:color w:val="1A1416"/>
          <w:sz w:val="23"/>
          <w:rFonts w:ascii="Calibri" w:hAnsi="Calibri" w:cs="Calibri"/>
        </w:rPr>
        <w:t>As dez etapas</w:t>
      </w:r>
    </w:p>
    <w:p>
      <w:pPr>
        <w:spacing w:before="0" w:after="80" w:line="283" w:lineRule="auto"/>
      </w:pPr>
      <w:r>
        <w:rPr>
          <w:b w:val="0"/>
          <w:i w:val="0"/>
          <w:color w:val="5E5458"/>
          <w:sz w:val="18"/>
          <w:rFonts w:ascii="Calibri" w:hAnsi="Calibri" w:cs="Calibri"/>
        </w:rPr>
        <w:t>Origem: apurado = a V4 mediu · declarado [D] = o cliente afirmou e ninguém conferiu · inferido = leitura da V4 · ausente = não há dado.</w:t>
      </w:r>
    </w:p>
    <w:tbl>
      <w:tblPr>
        <w:tblW w:type="auto" w:w="0"/>
        <w:jc w:val="left"/>
        <w:tblLayout w:type="fixed"/>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1643"/>
        <w:gridCol w:w="1643"/>
        <w:gridCol w:w="1643"/>
        <w:gridCol w:w="1643"/>
        <w:gridCol w:w="1643"/>
        <w:gridCol w:w="1643"/>
      </w:tblGrid>
      <w:tr>
        <w:tc>
          <w:tcPr>
            <w:tcW w:type="dxa" w:w="567"/>
            <w:shd w:val="clear" w:color="auto" w:fill="F4F0F1"/>
            <w:tcMar>
              <w:top w:w="80" w:type="dxa"/>
              <w:start w:w="110" w:type="dxa"/>
              <w:bottom w:w="80" w:type="dxa"/>
              <w:end w:w="110" w:type="dxa"/>
            </w:tcMar>
          </w:tcPr>
          <w:p>
            <w:pPr>
              <w:spacing w:after="0"/>
            </w:pPr>
            <w:r/>
            <w:r>
              <w:rPr>
                <w:b/>
                <w:i w:val="0"/>
                <w:color w:val="8F858A"/>
                <w:sz w:val="16"/>
                <w:rFonts w:ascii="Calibri" w:hAnsi="Calibri" w:cs="Calibri"/>
              </w:rPr>
              <w:t>#</w:t>
            </w:r>
          </w:p>
        </w:tc>
        <w:tc>
          <w:tcPr>
            <w:tcW w:type="dxa" w:w="2608"/>
            <w:shd w:val="clear" w:color="auto" w:fill="F4F0F1"/>
            <w:tcMar>
              <w:top w:w="80" w:type="dxa"/>
              <w:start w:w="110" w:type="dxa"/>
              <w:bottom w:w="80" w:type="dxa"/>
              <w:end w:w="110" w:type="dxa"/>
            </w:tcMar>
          </w:tcPr>
          <w:p>
            <w:pPr>
              <w:spacing w:after="0"/>
            </w:pPr>
            <w:r/>
            <w:r>
              <w:rPr>
                <w:b/>
                <w:i w:val="0"/>
                <w:color w:val="8F858A"/>
                <w:sz w:val="16"/>
                <w:rFonts w:ascii="Calibri" w:hAnsi="Calibri" w:cs="Calibri"/>
              </w:rPr>
              <w:t>ETAPA</w:t>
            </w:r>
          </w:p>
        </w:tc>
        <w:tc>
          <w:tcPr>
            <w:tcW w:type="dxa" w:w="1077"/>
            <w:shd w:val="clear" w:color="auto" w:fill="F4F0F1"/>
            <w:tcMar>
              <w:top w:w="80" w:type="dxa"/>
              <w:start w:w="110" w:type="dxa"/>
              <w:bottom w:w="80" w:type="dxa"/>
              <w:end w:w="110" w:type="dxa"/>
            </w:tcMar>
          </w:tcPr>
          <w:p>
            <w:pPr>
              <w:spacing w:after="0"/>
            </w:pPr>
            <w:r/>
            <w:r>
              <w:rPr>
                <w:b/>
                <w:i w:val="0"/>
                <w:color w:val="8F858A"/>
                <w:sz w:val="16"/>
                <w:rFonts w:ascii="Calibri" w:hAnsi="Calibri" w:cs="Calibri"/>
              </w:rPr>
              <w:t>ORIGEM</w:t>
            </w:r>
          </w:p>
        </w:tc>
        <w:tc>
          <w:tcPr>
            <w:tcW w:type="dxa" w:w="1701"/>
            <w:shd w:val="clear" w:color="auto" w:fill="F4F0F1"/>
            <w:tcMar>
              <w:top w:w="80" w:type="dxa"/>
              <w:start w:w="110" w:type="dxa"/>
              <w:bottom w:w="80" w:type="dxa"/>
              <w:end w:w="110" w:type="dxa"/>
            </w:tcMar>
          </w:tcPr>
          <w:p>
            <w:pPr>
              <w:spacing w:after="0"/>
            </w:pPr>
            <w:r/>
            <w:r>
              <w:rPr>
                <w:b/>
                <w:i w:val="0"/>
                <w:color w:val="8F858A"/>
                <w:sz w:val="16"/>
                <w:rFonts w:ascii="Calibri" w:hAnsi="Calibri" w:cs="Calibri"/>
              </w:rPr>
              <w:t>VOLUME</w:t>
            </w:r>
          </w:p>
        </w:tc>
        <w:tc>
          <w:tcPr>
            <w:tcW w:type="dxa" w:w="1361"/>
            <w:shd w:val="clear" w:color="auto" w:fill="F4F0F1"/>
            <w:tcMar>
              <w:top w:w="80" w:type="dxa"/>
              <w:start w:w="110" w:type="dxa"/>
              <w:bottom w:w="80" w:type="dxa"/>
              <w:end w:w="110" w:type="dxa"/>
            </w:tcMar>
          </w:tcPr>
          <w:p>
            <w:pPr>
              <w:spacing w:after="0"/>
            </w:pPr>
            <w:r/>
            <w:r>
              <w:rPr>
                <w:b/>
                <w:i w:val="0"/>
                <w:color w:val="8F858A"/>
                <w:sz w:val="16"/>
                <w:rFonts w:ascii="Calibri" w:hAnsi="Calibri" w:cs="Calibri"/>
              </w:rPr>
              <w:t>PERDA ABSOLUTA</w:t>
            </w:r>
          </w:p>
        </w:tc>
        <w:tc>
          <w:tcPr>
            <w:tcW w:type="dxa" w:w="2211"/>
            <w:shd w:val="clear" w:color="auto" w:fill="F4F0F1"/>
            <w:tcMar>
              <w:top w:w="80" w:type="dxa"/>
              <w:start w:w="110" w:type="dxa"/>
              <w:bottom w:w="80" w:type="dxa"/>
              <w:end w:w="110" w:type="dxa"/>
            </w:tcMar>
          </w:tcPr>
          <w:p>
            <w:pPr>
              <w:spacing w:after="0"/>
            </w:pPr>
            <w:r/>
            <w:r>
              <w:rPr>
                <w:b/>
                <w:i w:val="0"/>
                <w:color w:val="8F858A"/>
                <w:sz w:val="16"/>
                <w:rFonts w:ascii="Calibri" w:hAnsi="Calibri" w:cs="Calibri"/>
              </w:rPr>
              <w:t>TRAVAS</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1</w:t>
            </w:r>
          </w:p>
        </w:tc>
        <w:tc>
          <w:tcPr>
            <w:tcW w:type="dxa" w:w="2608"/>
            <w:tcMar>
              <w:top w:w="80" w:type="dxa"/>
              <w:start w:w="110" w:type="dxa"/>
              <w:bottom w:w="80" w:type="dxa"/>
              <w:end w:w="110" w:type="dxa"/>
            </w:tcMar>
          </w:tcPr>
          <w:p>
            <w:pPr>
              <w:spacing w:after="0" w:line="274" w:lineRule="auto"/>
            </w:pPr>
            <w:r/>
            <w:r>
              <w:rPr>
                <w:b/>
                <w:i w:val="0"/>
                <w:color w:val="1A1416"/>
                <w:sz w:val="18"/>
                <w:rFonts w:ascii="Calibri" w:hAnsi="Calibri" w:cs="Calibri"/>
              </w:rPr>
              <w:t>Exposição e geração de demanda (mix de canais)</w:t>
            </w:r>
          </w:p>
        </w:tc>
        <w:tc>
          <w:tcPr>
            <w:tcW w:type="dxa" w:w="1077"/>
            <w:tcMar>
              <w:top w:w="80" w:type="dxa"/>
              <w:start w:w="110" w:type="dxa"/>
              <w:bottom w:w="80" w:type="dxa"/>
              <w:end w:w="110" w:type="dxa"/>
            </w:tcMar>
          </w:tcPr>
          <w:p>
            <w:pPr>
              <w:spacing w:after="0" w:line="274" w:lineRule="auto"/>
            </w:pPr>
            <w:r/>
            <w:r>
              <w:rPr>
                <w:b w:val="0"/>
                <w:i w:val="0"/>
                <w:color w:val="1A1416"/>
                <w:sz w:val="17"/>
                <w:rFonts w:ascii="Calibri" w:hAnsi="Calibri" w:cs="Calibri"/>
              </w:rPr>
              <w:t>declarado</w:t>
            </w:r>
          </w:p>
        </w:tc>
        <w:tc>
          <w:tcPr>
            <w:tcW w:type="dxa" w:w="1701"/>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1361"/>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2211"/>
            <w:tcMar>
              <w:top w:w="80" w:type="dxa"/>
              <w:start w:w="110" w:type="dxa"/>
              <w:bottom w:w="80" w:type="dxa"/>
              <w:end w:w="110" w:type="dxa"/>
            </w:tcMar>
          </w:tcPr>
          <w:p>
            <w:pPr>
              <w:spacing w:after="0" w:line="274" w:lineRule="auto"/>
            </w:pPr>
            <w:r/>
            <w:r>
              <w:rPr>
                <w:b w:val="0"/>
                <w:i w:val="0"/>
                <w:color w:val="1A1416"/>
                <w:sz w:val="17"/>
                <w:rFonts w:ascii="Calibri" w:hAnsi="Calibri" w:cs="Calibri"/>
              </w:rPr>
              <w:t>Cegueira, Exposicao</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2</w:t>
            </w:r>
          </w:p>
        </w:tc>
        <w:tc>
          <w:tcPr>
            <w:tcW w:type="dxa" w:w="2608"/>
            <w:tcMar>
              <w:top w:w="80" w:type="dxa"/>
              <w:start w:w="110" w:type="dxa"/>
              <w:bottom w:w="80" w:type="dxa"/>
              <w:end w:w="110" w:type="dxa"/>
            </w:tcMar>
          </w:tcPr>
          <w:p>
            <w:pPr>
              <w:spacing w:after="0" w:line="274" w:lineRule="auto"/>
            </w:pPr>
            <w:r/>
            <w:r>
              <w:rPr>
                <w:b/>
                <w:i w:val="0"/>
                <w:color w:val="1A1416"/>
                <w:sz w:val="18"/>
                <w:rFonts w:ascii="Calibri" w:hAnsi="Calibri" w:cs="Calibri"/>
              </w:rPr>
              <w:t>Entrada — captação do contato e geração de MQL</w:t>
            </w:r>
          </w:p>
        </w:tc>
        <w:tc>
          <w:tcPr>
            <w:tcW w:type="dxa" w:w="1077"/>
            <w:tcMar>
              <w:top w:w="80" w:type="dxa"/>
              <w:start w:w="110" w:type="dxa"/>
              <w:bottom w:w="80" w:type="dxa"/>
              <w:end w:w="110" w:type="dxa"/>
            </w:tcMar>
          </w:tcPr>
          <w:p>
            <w:pPr>
              <w:spacing w:after="0" w:line="274" w:lineRule="auto"/>
            </w:pPr>
            <w:r/>
            <w:r>
              <w:rPr>
                <w:b w:val="0"/>
                <w:i w:val="0"/>
                <w:color w:val="1A1416"/>
                <w:sz w:val="17"/>
                <w:rFonts w:ascii="Calibri" w:hAnsi="Calibri" w:cs="Calibri"/>
              </w:rPr>
              <w:t>declarado</w:t>
            </w:r>
          </w:p>
        </w:tc>
        <w:tc>
          <w:tcPr>
            <w:tcW w:type="dxa" w:w="1701"/>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1361"/>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2211"/>
            <w:tcMar>
              <w:top w:w="80" w:type="dxa"/>
              <w:start w:w="110" w:type="dxa"/>
              <w:bottom w:w="80" w:type="dxa"/>
              <w:end w:w="110" w:type="dxa"/>
            </w:tcMar>
          </w:tcPr>
          <w:p>
            <w:pPr>
              <w:spacing w:after="0" w:line="274" w:lineRule="auto"/>
            </w:pPr>
            <w:r/>
            <w:r>
              <w:rPr>
                <w:b w:val="0"/>
                <w:i w:val="0"/>
                <w:color w:val="1A1416"/>
                <w:sz w:val="17"/>
                <w:rFonts w:ascii="Calibri" w:hAnsi="Calibri" w:cs="Calibri"/>
              </w:rPr>
              <w:t>Exposicao, Qualificacao</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3</w:t>
            </w:r>
          </w:p>
        </w:tc>
        <w:tc>
          <w:tcPr>
            <w:tcW w:type="dxa" w:w="2608"/>
            <w:tcMar>
              <w:top w:w="80" w:type="dxa"/>
              <w:start w:w="110" w:type="dxa"/>
              <w:bottom w:w="80" w:type="dxa"/>
              <w:end w:w="110" w:type="dxa"/>
            </w:tcMar>
          </w:tcPr>
          <w:p>
            <w:pPr>
              <w:spacing w:after="0" w:line="274" w:lineRule="auto"/>
            </w:pPr>
            <w:r/>
            <w:r>
              <w:rPr>
                <w:b/>
                <w:i w:val="0"/>
                <w:color w:val="1A1416"/>
                <w:sz w:val="18"/>
                <w:rFonts w:ascii="Calibri" w:hAnsi="Calibri" w:cs="Calibri"/>
              </w:rPr>
              <w:t>Qualificação (MQL → SQL)</w:t>
            </w:r>
          </w:p>
        </w:tc>
        <w:tc>
          <w:tcPr>
            <w:tcW w:type="dxa" w:w="1077"/>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1701"/>
            <w:tcMar>
              <w:top w:w="80" w:type="dxa"/>
              <w:start w:w="110" w:type="dxa"/>
              <w:bottom w:w="80" w:type="dxa"/>
              <w:end w:w="110" w:type="dxa"/>
            </w:tcMar>
          </w:tcPr>
          <w:p>
            <w:pPr>
              <w:spacing w:after="0" w:line="274" w:lineRule="auto"/>
            </w:pPr>
            <w:r/>
            <w:r>
              <w:rPr>
                <w:b w:val="0"/>
                <w:i w:val="0"/>
                <w:color w:val="1A1416"/>
                <w:sz w:val="17"/>
                <w:rFonts w:ascii="Calibri" w:hAnsi="Calibri" w:cs="Calibri"/>
              </w:rPr>
              <w:t>ausente para o recorte B2B. Existem candidatos apurados sem confirmação de significado: generate_lead_pro 661.144 e generate_lead 830.116 (agosto/2026, GA4 VivaReal 407391347); lead_b2b = 0 (agosto/2026, OLX App + Web 152644854).</w:t>
            </w:r>
          </w:p>
        </w:tc>
        <w:tc>
          <w:tcPr>
            <w:tcW w:type="dxa" w:w="1361"/>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2211"/>
            <w:tcMar>
              <w:top w:w="80" w:type="dxa"/>
              <w:start w:w="110" w:type="dxa"/>
              <w:bottom w:w="80" w:type="dxa"/>
              <w:end w:w="110" w:type="dxa"/>
            </w:tcMar>
          </w:tcPr>
          <w:p>
            <w:pPr>
              <w:spacing w:after="0" w:line="274" w:lineRule="auto"/>
            </w:pPr>
            <w:r/>
            <w:r>
              <w:rPr>
                <w:b w:val="0"/>
                <w:i w:val="0"/>
                <w:color w:val="1A1416"/>
                <w:sz w:val="17"/>
                <w:rFonts w:ascii="Calibri" w:hAnsi="Calibri" w:cs="Calibri"/>
              </w:rPr>
              <w:t>Qualificacao, Compromisso</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4</w:t>
            </w:r>
          </w:p>
        </w:tc>
        <w:tc>
          <w:tcPr>
            <w:tcW w:type="dxa" w:w="2608"/>
            <w:tcMar>
              <w:top w:w="80" w:type="dxa"/>
              <w:start w:w="110" w:type="dxa"/>
              <w:bottom w:w="80" w:type="dxa"/>
              <w:end w:w="110" w:type="dxa"/>
            </w:tcMar>
          </w:tcPr>
          <w:p>
            <w:pPr>
              <w:spacing w:after="0" w:line="274" w:lineRule="auto"/>
            </w:pPr>
            <w:r/>
            <w:r>
              <w:rPr>
                <w:b/>
                <w:i w:val="0"/>
                <w:color w:val="1A1416"/>
                <w:sz w:val="18"/>
                <w:rFonts w:ascii="Calibri" w:hAnsi="Calibri" w:cs="Calibri"/>
              </w:rPr>
              <w:t>Contratação (fechamento da venda)</w:t>
            </w:r>
          </w:p>
        </w:tc>
        <w:tc>
          <w:tcPr>
            <w:tcW w:type="dxa" w:w="1077"/>
            <w:tcMar>
              <w:top w:w="80" w:type="dxa"/>
              <w:start w:w="110" w:type="dxa"/>
              <w:bottom w:w="80" w:type="dxa"/>
              <w:end w:w="110" w:type="dxa"/>
            </w:tcMar>
          </w:tcPr>
          <w:p>
            <w:pPr>
              <w:spacing w:after="0" w:line="274" w:lineRule="auto"/>
            </w:pPr>
            <w:r/>
            <w:r>
              <w:rPr>
                <w:b w:val="0"/>
                <w:i w:val="0"/>
                <w:color w:val="1A1416"/>
                <w:sz w:val="17"/>
                <w:rFonts w:ascii="Calibri" w:hAnsi="Calibri" w:cs="Calibri"/>
              </w:rPr>
              <w:t>declarado</w:t>
            </w:r>
          </w:p>
        </w:tc>
        <w:tc>
          <w:tcPr>
            <w:tcW w:type="dxa" w:w="1701"/>
            <w:tcMar>
              <w:top w:w="80" w:type="dxa"/>
              <w:start w:w="110" w:type="dxa"/>
              <w:bottom w:w="80" w:type="dxa"/>
              <w:end w:w="110" w:type="dxa"/>
            </w:tcMar>
          </w:tcPr>
          <w:p>
            <w:pPr>
              <w:spacing w:after="0" w:line="274" w:lineRule="auto"/>
            </w:pPr>
            <w:r/>
            <w:r>
              <w:rPr>
                <w:b w:val="0"/>
                <w:i w:val="0"/>
                <w:color w:val="1A1416"/>
                <w:sz w:val="17"/>
                <w:rFonts w:ascii="Calibri" w:hAnsi="Calibri" w:cs="Calibri"/>
              </w:rPr>
              <w:t>ausente — única pista: '414 vendas' [D], referenciada por Leonardo Costa (00:11:03) sobre o dashboard de canal online que Lu Machim apresentava na tela; não foi lida em voz alta, não consta de nenhum documento, e vem sem período, vertical nem denominador</w:t>
            </w:r>
          </w:p>
        </w:tc>
        <w:tc>
          <w:tcPr>
            <w:tcW w:type="dxa" w:w="1361"/>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2211"/>
            <w:tcMar>
              <w:top w:w="80" w:type="dxa"/>
              <w:start w:w="110" w:type="dxa"/>
              <w:bottom w:w="80" w:type="dxa"/>
              <w:end w:w="110" w:type="dxa"/>
            </w:tcMar>
          </w:tcPr>
          <w:p>
            <w:pPr>
              <w:spacing w:after="0" w:line="274" w:lineRule="auto"/>
            </w:pPr>
            <w:r/>
            <w:r>
              <w:rPr>
                <w:b w:val="0"/>
                <w:i w:val="0"/>
                <w:color w:val="1A1416"/>
                <w:sz w:val="17"/>
                <w:rFonts w:ascii="Calibri" w:hAnsi="Calibri" w:cs="Calibri"/>
              </w:rPr>
              <w:t>Decisao, Compromisso</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5</w:t>
            </w:r>
          </w:p>
        </w:tc>
        <w:tc>
          <w:tcPr>
            <w:tcW w:type="dxa" w:w="2608"/>
            <w:tcMar>
              <w:top w:w="80" w:type="dxa"/>
              <w:start w:w="110" w:type="dxa"/>
              <w:bottom w:w="80" w:type="dxa"/>
              <w:end w:w="110" w:type="dxa"/>
            </w:tcMar>
          </w:tcPr>
          <w:p>
            <w:pPr>
              <w:spacing w:after="0" w:line="274" w:lineRule="auto"/>
            </w:pPr>
            <w:r/>
            <w:r>
              <w:rPr>
                <w:b/>
                <w:i w:val="0"/>
                <w:color w:val="1A1416"/>
                <w:sz w:val="18"/>
                <w:rFonts w:ascii="Calibri" w:hAnsi="Calibri" w:cs="Calibri"/>
              </w:rPr>
              <w:t>Pagamento da primeira fatura</w:t>
            </w:r>
          </w:p>
        </w:tc>
        <w:tc>
          <w:tcPr>
            <w:tcW w:type="dxa" w:w="1077"/>
            <w:tcMar>
              <w:top w:w="80" w:type="dxa"/>
              <w:start w:w="110" w:type="dxa"/>
              <w:bottom w:w="80" w:type="dxa"/>
              <w:end w:w="110" w:type="dxa"/>
            </w:tcMar>
          </w:tcPr>
          <w:p>
            <w:pPr>
              <w:spacing w:after="0" w:line="274" w:lineRule="auto"/>
            </w:pPr>
            <w:r/>
            <w:r>
              <w:rPr>
                <w:b w:val="0"/>
                <w:i w:val="0"/>
                <w:color w:val="1A1416"/>
                <w:sz w:val="17"/>
                <w:rFonts w:ascii="Calibri" w:hAnsi="Calibri" w:cs="Calibri"/>
              </w:rPr>
              <w:t>declarado</w:t>
            </w:r>
          </w:p>
        </w:tc>
        <w:tc>
          <w:tcPr>
            <w:tcW w:type="dxa" w:w="1701"/>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1361"/>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2211"/>
            <w:tcMar>
              <w:top w:w="80" w:type="dxa"/>
              <w:start w:w="110" w:type="dxa"/>
              <w:bottom w:w="80" w:type="dxa"/>
              <w:end w:w="110" w:type="dxa"/>
            </w:tcMar>
          </w:tcPr>
          <w:p>
            <w:pPr>
              <w:spacing w:after="0" w:line="274" w:lineRule="auto"/>
            </w:pPr>
            <w:r/>
            <w:r>
              <w:rPr>
                <w:b w:val="0"/>
                <w:i w:val="0"/>
                <w:color w:val="1A1416"/>
                <w:sz w:val="17"/>
                <w:rFonts w:ascii="Calibri" w:hAnsi="Calibri" w:cs="Calibri"/>
              </w:rPr>
              <w:t>Decisao</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6</w:t>
            </w:r>
          </w:p>
        </w:tc>
        <w:tc>
          <w:tcPr>
            <w:tcW w:type="dxa" w:w="2608"/>
            <w:tcMar>
              <w:top w:w="80" w:type="dxa"/>
              <w:start w:w="110" w:type="dxa"/>
              <w:bottom w:w="80" w:type="dxa"/>
              <w:end w:w="110" w:type="dxa"/>
            </w:tcMar>
          </w:tcPr>
          <w:p>
            <w:pPr>
              <w:spacing w:after="0" w:line="274" w:lineRule="auto"/>
            </w:pPr>
            <w:r/>
            <w:r>
              <w:rPr>
                <w:b/>
                <w:i w:val="0"/>
                <w:color w:val="1A1416"/>
                <w:sz w:val="18"/>
                <w:rFonts w:ascii="Calibri" w:hAnsi="Calibri" w:cs="Calibri"/>
              </w:rPr>
              <w:t>Ativação — publicação do primeiro anúncio</w:t>
            </w:r>
          </w:p>
        </w:tc>
        <w:tc>
          <w:tcPr>
            <w:tcW w:type="dxa" w:w="1077"/>
            <w:tcMar>
              <w:top w:w="80" w:type="dxa"/>
              <w:start w:w="110" w:type="dxa"/>
              <w:bottom w:w="80" w:type="dxa"/>
              <w:end w:w="110" w:type="dxa"/>
            </w:tcMar>
          </w:tcPr>
          <w:p>
            <w:pPr>
              <w:spacing w:after="0" w:line="274" w:lineRule="auto"/>
            </w:pPr>
            <w:r/>
            <w:r>
              <w:rPr>
                <w:b w:val="0"/>
                <w:i w:val="0"/>
                <w:color w:val="1A1416"/>
                <w:sz w:val="17"/>
                <w:rFonts w:ascii="Calibri" w:hAnsi="Calibri" w:cs="Calibri"/>
              </w:rPr>
              <w:t>declarado</w:t>
            </w:r>
          </w:p>
        </w:tc>
        <w:tc>
          <w:tcPr>
            <w:tcW w:type="dxa" w:w="1701"/>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1361"/>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2211"/>
            <w:tcMar>
              <w:top w:w="80" w:type="dxa"/>
              <w:start w:w="110" w:type="dxa"/>
              <w:bottom w:w="80" w:type="dxa"/>
              <w:end w:w="110" w:type="dxa"/>
            </w:tcMar>
          </w:tcPr>
          <w:p>
            <w:pPr>
              <w:spacing w:after="0" w:line="274" w:lineRule="auto"/>
            </w:pPr>
            <w:r/>
            <w:r>
              <w:rPr>
                <w:b w:val="0"/>
                <w:i w:val="0"/>
                <w:color w:val="1A1416"/>
                <w:sz w:val="17"/>
                <w:rFonts w:ascii="Calibri" w:hAnsi="Calibri" w:cs="Calibri"/>
              </w:rPr>
              <w:t>Compromisso, Retencao</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7</w:t>
            </w:r>
          </w:p>
        </w:tc>
        <w:tc>
          <w:tcPr>
            <w:tcW w:type="dxa" w:w="2608"/>
            <w:tcMar>
              <w:top w:w="80" w:type="dxa"/>
              <w:start w:w="110" w:type="dxa"/>
              <w:bottom w:w="80" w:type="dxa"/>
              <w:end w:w="110" w:type="dxa"/>
            </w:tcMar>
          </w:tcPr>
          <w:p>
            <w:pPr>
              <w:spacing w:after="0" w:line="274" w:lineRule="auto"/>
            </w:pPr>
            <w:r/>
            <w:r>
              <w:rPr>
                <w:b/>
                <w:i w:val="0"/>
                <w:color w:val="1A1416"/>
                <w:sz w:val="18"/>
                <w:rFonts w:ascii="Calibri" w:hAnsi="Calibri" w:cs="Calibri"/>
              </w:rPr>
              <w:t>Entrega do produto — recebimento de leads</w:t>
            </w:r>
          </w:p>
        </w:tc>
        <w:tc>
          <w:tcPr>
            <w:tcW w:type="dxa" w:w="1077"/>
            <w:tcMar>
              <w:top w:w="80" w:type="dxa"/>
              <w:start w:w="110" w:type="dxa"/>
              <w:bottom w:w="80" w:type="dxa"/>
              <w:end w:w="110" w:type="dxa"/>
            </w:tcMar>
          </w:tcPr>
          <w:p>
            <w:pPr>
              <w:spacing w:after="0" w:line="274" w:lineRule="auto"/>
            </w:pPr>
            <w:r/>
            <w:r>
              <w:rPr>
                <w:b w:val="0"/>
                <w:i w:val="0"/>
                <w:color w:val="1A1416"/>
                <w:sz w:val="17"/>
                <w:rFonts w:ascii="Calibri" w:hAnsi="Calibri" w:cs="Calibri"/>
              </w:rPr>
              <w:t>declarado</w:t>
            </w:r>
          </w:p>
        </w:tc>
        <w:tc>
          <w:tcPr>
            <w:tcW w:type="dxa" w:w="1701"/>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1361"/>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2211"/>
            <w:tcMar>
              <w:top w:w="80" w:type="dxa"/>
              <w:start w:w="110" w:type="dxa"/>
              <w:bottom w:w="80" w:type="dxa"/>
              <w:end w:w="110" w:type="dxa"/>
            </w:tcMar>
          </w:tcPr>
          <w:p>
            <w:pPr>
              <w:spacing w:after="0" w:line="274" w:lineRule="auto"/>
            </w:pPr>
            <w:r/>
            <w:r>
              <w:rPr>
                <w:b w:val="0"/>
                <w:i w:val="0"/>
                <w:color w:val="1A1416"/>
                <w:sz w:val="17"/>
                <w:rFonts w:ascii="Calibri" w:hAnsi="Calibri" w:cs="Calibri"/>
              </w:rPr>
              <w:t>Retencao, Cegueira</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8</w:t>
            </w:r>
          </w:p>
        </w:tc>
        <w:tc>
          <w:tcPr>
            <w:tcW w:type="dxa" w:w="2608"/>
            <w:tcMar>
              <w:top w:w="80" w:type="dxa"/>
              <w:start w:w="110" w:type="dxa"/>
              <w:bottom w:w="80" w:type="dxa"/>
              <w:end w:w="110" w:type="dxa"/>
            </w:tcMar>
          </w:tcPr>
          <w:p>
            <w:pPr>
              <w:spacing w:after="0" w:line="274" w:lineRule="auto"/>
            </w:pPr>
            <w:r/>
            <w:r>
              <w:rPr>
                <w:b/>
                <w:i w:val="0"/>
                <w:color w:val="1A1416"/>
                <w:sz w:val="18"/>
                <w:rFonts w:ascii="Calibri" w:hAnsi="Calibri" w:cs="Calibri"/>
              </w:rPr>
              <w:t>Recorrência ou churn</w:t>
            </w:r>
          </w:p>
        </w:tc>
        <w:tc>
          <w:tcPr>
            <w:tcW w:type="dxa" w:w="1077"/>
            <w:tcMar>
              <w:top w:w="80" w:type="dxa"/>
              <w:start w:w="110" w:type="dxa"/>
              <w:bottom w:w="80" w:type="dxa"/>
              <w:end w:w="110" w:type="dxa"/>
            </w:tcMar>
          </w:tcPr>
          <w:p>
            <w:pPr>
              <w:spacing w:after="0" w:line="274" w:lineRule="auto"/>
            </w:pPr>
            <w:r/>
            <w:r>
              <w:rPr>
                <w:b w:val="0"/>
                <w:i w:val="0"/>
                <w:color w:val="1A1416"/>
                <w:sz w:val="17"/>
                <w:rFonts w:ascii="Calibri" w:hAnsi="Calibri" w:cs="Calibri"/>
              </w:rPr>
              <w:t>declarado</w:t>
            </w:r>
          </w:p>
        </w:tc>
        <w:tc>
          <w:tcPr>
            <w:tcW w:type="dxa" w:w="1701"/>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1361"/>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2211"/>
            <w:tcMar>
              <w:top w:w="80" w:type="dxa"/>
              <w:start w:w="110" w:type="dxa"/>
              <w:bottom w:w="80" w:type="dxa"/>
              <w:end w:w="110" w:type="dxa"/>
            </w:tcMar>
          </w:tcPr>
          <w:p>
            <w:pPr>
              <w:spacing w:after="0" w:line="274" w:lineRule="auto"/>
            </w:pPr>
            <w:r/>
            <w:r>
              <w:rPr>
                <w:b w:val="0"/>
                <w:i w:val="0"/>
                <w:color w:val="1A1416"/>
                <w:sz w:val="17"/>
                <w:rFonts w:ascii="Calibri" w:hAnsi="Calibri" w:cs="Calibri"/>
              </w:rPr>
              <w:t>Retencao</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9</w:t>
            </w:r>
          </w:p>
        </w:tc>
        <w:tc>
          <w:tcPr>
            <w:tcW w:type="dxa" w:w="2608"/>
            <w:tcMar>
              <w:top w:w="80" w:type="dxa"/>
              <w:start w:w="110" w:type="dxa"/>
              <w:bottom w:w="80" w:type="dxa"/>
              <w:end w:w="110" w:type="dxa"/>
            </w:tcMar>
          </w:tcPr>
          <w:p>
            <w:pPr>
              <w:spacing w:after="0" w:line="274" w:lineRule="auto"/>
            </w:pPr>
            <w:r/>
            <w:r>
              <w:rPr>
                <w:b/>
                <w:i w:val="0"/>
                <w:color w:val="1A1416"/>
                <w:sz w:val="18"/>
                <w:rFonts w:ascii="Calibri" w:hAnsi="Calibri" w:cs="Calibri"/>
              </w:rPr>
              <w:t>Faturamento e recebimento do pós-pago (só Autos)</w:t>
            </w:r>
          </w:p>
        </w:tc>
        <w:tc>
          <w:tcPr>
            <w:tcW w:type="dxa" w:w="1077"/>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1701"/>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1361"/>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2211"/>
            <w:tcMar>
              <w:top w:w="80" w:type="dxa"/>
              <w:start w:w="110" w:type="dxa"/>
              <w:bottom w:w="80" w:type="dxa"/>
              <w:end w:w="110" w:type="dxa"/>
            </w:tcMar>
          </w:tcPr>
          <w:p>
            <w:pPr>
              <w:spacing w:after="0" w:line="274" w:lineRule="auto"/>
            </w:pPr>
            <w:r/>
            <w:r>
              <w:rPr>
                <w:b w:val="0"/>
                <w:i w:val="0"/>
                <w:color w:val="1A1416"/>
                <w:sz w:val="17"/>
                <w:rFonts w:ascii="Calibri" w:hAnsi="Calibri" w:cs="Calibri"/>
              </w:rPr>
              <w:t>Decisao, Retencao, Cegueira</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10</w:t>
            </w:r>
          </w:p>
        </w:tc>
        <w:tc>
          <w:tcPr>
            <w:tcW w:type="dxa" w:w="2608"/>
            <w:tcMar>
              <w:top w:w="80" w:type="dxa"/>
              <w:start w:w="110" w:type="dxa"/>
              <w:bottom w:w="80" w:type="dxa"/>
              <w:end w:w="110" w:type="dxa"/>
            </w:tcMar>
          </w:tcPr>
          <w:p>
            <w:pPr>
              <w:spacing w:after="0" w:line="274" w:lineRule="auto"/>
            </w:pPr>
            <w:r/>
            <w:r>
              <w:rPr>
                <w:b/>
                <w:i w:val="0"/>
                <w:color w:val="1A1416"/>
                <w:sz w:val="18"/>
                <w:rFonts w:ascii="Calibri" w:hAnsi="Calibri" w:cs="Calibri"/>
              </w:rPr>
              <w:t>Expansão e recompra</w:t>
            </w:r>
          </w:p>
        </w:tc>
        <w:tc>
          <w:tcPr>
            <w:tcW w:type="dxa" w:w="1077"/>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1701"/>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1361"/>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2211"/>
            <w:tcMar>
              <w:top w:w="80" w:type="dxa"/>
              <w:start w:w="110" w:type="dxa"/>
              <w:bottom w:w="80" w:type="dxa"/>
              <w:end w:w="110" w:type="dxa"/>
            </w:tcMar>
          </w:tcPr>
          <w:p>
            <w:pPr>
              <w:spacing w:after="0" w:line="274" w:lineRule="auto"/>
            </w:pPr>
            <w:r/>
            <w:r>
              <w:rPr>
                <w:b w:val="0"/>
                <w:i w:val="0"/>
                <w:color w:val="1A1416"/>
                <w:sz w:val="17"/>
                <w:rFonts w:ascii="Calibri" w:hAnsi="Calibri" w:cs="Calibri"/>
              </w:rPr>
              <w:t>Retencao, Decisao</w:t>
            </w:r>
          </w:p>
        </w:tc>
      </w:tr>
    </w:tbl>
    <w:p>
      <w:pPr>
        <w:spacing w:before="0" w:after="40" w:line="283" w:lineRule="auto"/>
      </w:pPr>
    </w:p>
    <w:p>
      <w:pPr>
        <w:spacing w:before="280" w:after="40"/>
      </w:pPr>
      <w:r>
        <w:rPr>
          <w:b/>
          <w:i w:val="0"/>
          <w:color w:val="1A1416"/>
          <w:sz w:val="23"/>
          <w:rFonts w:ascii="Calibri" w:hAnsi="Calibri" w:cs="Calibri"/>
        </w:rPr>
        <w:t>Ranking de perda — indeterminável</w:t>
      </w:r>
    </w:p>
    <w:tbl>
      <w:tblPr>
        <w:tblW w:type="auto" w:w="0"/>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9858"/>
      </w:tblGrid>
      <w:tr>
        <w:tc>
          <w:tcPr>
            <w:tcW w:type="dxa" w:w="9858"/>
            <w:shd w:val="clear" w:color="auto" w:fill="FBEFF0"/>
            <w:tcMar>
              <w:top w:w="140" w:type="dxa"/>
              <w:start w:w="170" w:type="dxa"/>
              <w:bottom w:w="140" w:type="dxa"/>
              <w:end w:w="170" w:type="dxa"/>
            </w:tcMar>
          </w:tcPr>
          <w:p>
            <w:pPr>
              <w:spacing w:after="60"/>
            </w:pPr>
            <w:r/>
            <w:r>
              <w:rPr>
                <w:b/>
                <w:i w:val="0"/>
                <w:color w:val="7A0010"/>
                <w:sz w:val="16"/>
                <w:rFonts w:ascii="Calibri" w:hAnsi="Calibri" w:cs="Calibri"/>
              </w:rPr>
              <w:t>O RANKING QUE O POP EXIGE NÃO PODE SER PRODUZIDO</w:t>
            </w:r>
          </w:p>
          <w:p>
            <w:pPr>
              <w:spacing w:after="0" w:line="283" w:lineRule="auto"/>
            </w:pPr>
            <w:r>
              <w:rPr>
                <w:b w:val="0"/>
                <w:i w:val="0"/>
                <w:color w:val="1A1416"/>
                <w:sz w:val="19"/>
                <w:rFonts w:ascii="Calibri" w:hAnsi="Calibri" w:cs="Calibri"/>
              </w:rPr>
              <w:t>O ranking por perda absoluta é indeterminável hoje: nenhuma etapa tem volume, e quatro (Exposição, Qualificação, Pós-pago Autos, Expansão) não têm sequer taxa. Ordenar por percentual violaria o Passo 4 e o checklist de fechamento da skill ('Ordene as etapas por perda absoluta de receita potencial, nao por taxa percentual… uma taxa ruim em cima de volume pequeno perde para uma taxa mediana em cima de volume grande'). NESTA ETAPA, especificamente: não há taxa nenhuma — os percentuais de canal são mix de origem de MQL — e a única perda nomeada é a atribuição perdida do canal Direto, cuja magnitude o próprio slide declara existir sem quantificar (L15/F12).</w:t>
            </w:r>
          </w:p>
        </w:tc>
      </w:tr>
    </w:tbl>
    <w:p>
      <w:pPr>
        <w:spacing w:before="0" w:after="40" w:line="283" w:lineRule="auto"/>
      </w:pPr>
    </w:p>
    <w:p>
      <w:pPr>
        <w:spacing w:before="280" w:after="40"/>
      </w:pPr>
      <w:r>
        <w:rPr>
          <w:b/>
          <w:i w:val="0"/>
          <w:color w:val="1A1416"/>
          <w:sz w:val="23"/>
          <w:rFonts w:ascii="Calibri" w:hAnsi="Calibri" w:cs="Calibri"/>
        </w:rPr>
        <w:t>Reconciliação de receita</w:t>
      </w:r>
    </w:p>
    <w:p>
      <w:pPr>
        <w:spacing w:before="0" w:after="120" w:line="283" w:lineRule="auto"/>
      </w:pPr>
      <w:r>
        <w:rPr>
          <w:b w:val="0"/>
          <w:i w:val="0"/>
          <w:color w:val="1A1416"/>
          <w:sz w:val="19"/>
          <w:rFonts w:ascii="Calibri" w:hAnsi="Calibri" w:cs="Calibri"/>
        </w:rPr>
        <w:t>A REGRA 7 NÃO É VERIFICÁVEL HOJE, POR NENHUM DOS DOIS CAMINHOS. Ela exige que a receita derivada do funil bata com a declarada dentro de 5%; os quatro campos ficam null, e o null é o registro — não a omissão — de que a regra está bloqueada. Regra 1 do repositório: campo sem dado fica null, não é apagado. PELA VIA DO CLIENTE falta tudo o que a multiplicação pede. Não há volume de entrada em nenhuma das dez etapas, não há ticket médio (dados/client.json: briefing.ticket_medio = null; bloco A3 do checklist, ⚪), não há receita declarada por vertical, e os 100% da etapa 2 não fecham — o denominador do 50% está dividido entre 'receita' (slide) e 'base' (Carolina Dallolio, 00:05:42) em dois documentos do próprio repositório, e falta a fatia de renovação e de Inside/Field Sales. O bloco A do checklist (A1–A3) está com os três itens em ⚪, nenhum recebido, e nenhuma concessão de ferramenta o destrava: é entrega de dado, não acesso. PELA VIA INSTRUMENTADA o GA4 também não fecha. O funil B2B derivável hoje tem NUMERADOR INEXISTENTE — lead_b2b = 0 em agosto/2026 na propriedade OLX App + Web (152644854), com a tag 429 montada e ativa e a tag 349 identificando o lead por posição no DOM (auditoria vii, achado 3). Tem CONVERSÃO CONTAMINADA — a tag 426 de purchase dispara no gatilho 215, que escuta begin_checkout, em Planos Profissionais e PAYG (achado 1); a parcela B2B contaminada dentro dos 565.258 purchase de agosto nunca foi isolada. E tem um DENOMINADOR PROVAVELMENTE NÃO SEGMENTÁVEL, com a formulação que importa: a única tag do export que grava user_olx está pausada e seller_category depende dela, MAS a própria auditoria escreve 'A confirmar: se o site grava user_olx por código próprio, fora do GTM. Se gravar, o problema não existe'. Isso é inferência sobre export de GTM condicionada a uma verificação que ninguém fez — não é estado apurado, e não deve ir ao Board como se fosse. MESMO QUE OS DOIS CAMINHOS ABRISSEM, A DERIVAÇÃO AINDA NÃO FECHARIA por um terceiro motivo: das seis taxas declaradas do mapa, apenas UMA (o 80% do pagamento da 1ª fatura) é taxa de passagem entre etapas. As outras cinco são grandezas incomensuráveis entre si — participação de origem (50%), participa…</w:t>
      </w:r>
    </w:p>
    <w:p>
      <w:pPr>
        <w:spacing w:before="280" w:after="40"/>
      </w:pPr>
      <w:r>
        <w:rPr>
          <w:b/>
          <w:i w:val="0"/>
          <w:color w:val="1A1416"/>
          <w:sz w:val="23"/>
          <w:rFonts w:ascii="Calibri" w:hAnsi="Calibri" w:cs="Calibri"/>
        </w:rPr>
        <w:t>Ordem de diagnóstico das travas</w:t>
      </w:r>
    </w:p>
    <w:p>
      <w:pPr>
        <w:spacing w:before="0" w:after="80" w:line="283" w:lineRule="auto"/>
      </w:pPr>
      <w:r>
        <w:rPr>
          <w:b w:val="0"/>
          <w:i w:val="0"/>
          <w:color w:val="5E5458"/>
          <w:sz w:val="18"/>
          <w:rFonts w:ascii="Calibri" w:hAnsi="Calibri" w:cs="Calibri"/>
        </w:rPr>
        <w:t>Regra de Goldratt: de baixo para cima no funil. Resolver Exposição com Retenção quebrada só aumenta o custo do desperdício.</w:t>
      </w:r>
    </w:p>
    <w:tbl>
      <w:tblPr>
        <w:tblW w:type="auto" w:w="0"/>
        <w:jc w:val="left"/>
        <w:tblLayout w:type="fixed"/>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3286"/>
        <w:gridCol w:w="3286"/>
        <w:gridCol w:w="3286"/>
      </w:tblGrid>
      <w:tr>
        <w:tc>
          <w:tcPr>
            <w:tcW w:type="dxa" w:w="567"/>
            <w:shd w:val="clear" w:color="auto" w:fill="F4F0F1"/>
            <w:tcMar>
              <w:top w:w="80" w:type="dxa"/>
              <w:start w:w="110" w:type="dxa"/>
              <w:bottom w:w="80" w:type="dxa"/>
              <w:end w:w="110" w:type="dxa"/>
            </w:tcMar>
          </w:tcPr>
          <w:p>
            <w:pPr>
              <w:spacing w:after="0"/>
            </w:pPr>
            <w:r/>
            <w:r>
              <w:rPr>
                <w:b/>
                <w:i w:val="0"/>
                <w:color w:val="8F858A"/>
                <w:sz w:val="16"/>
                <w:rFonts w:ascii="Calibri" w:hAnsi="Calibri" w:cs="Calibri"/>
              </w:rPr>
              <w:t>#</w:t>
            </w:r>
          </w:p>
        </w:tc>
        <w:tc>
          <w:tcPr>
            <w:tcW w:type="dxa" w:w="1814"/>
            <w:shd w:val="clear" w:color="auto" w:fill="F4F0F1"/>
            <w:tcMar>
              <w:top w:w="80" w:type="dxa"/>
              <w:start w:w="110" w:type="dxa"/>
              <w:bottom w:w="80" w:type="dxa"/>
              <w:end w:w="110" w:type="dxa"/>
            </w:tcMar>
          </w:tcPr>
          <w:p>
            <w:pPr>
              <w:spacing w:after="0"/>
            </w:pPr>
            <w:r/>
            <w:r>
              <w:rPr>
                <w:b/>
                <w:i w:val="0"/>
                <w:color w:val="8F858A"/>
                <w:sz w:val="16"/>
                <w:rFonts w:ascii="Calibri" w:hAnsi="Calibri" w:cs="Calibri"/>
              </w:rPr>
              <w:t>TRAVA</w:t>
            </w:r>
          </w:p>
        </w:tc>
        <w:tc>
          <w:tcPr>
            <w:tcW w:type="dxa" w:w="7143"/>
            <w:shd w:val="clear" w:color="auto" w:fill="F4F0F1"/>
            <w:tcMar>
              <w:top w:w="80" w:type="dxa"/>
              <w:start w:w="110" w:type="dxa"/>
              <w:bottom w:w="80" w:type="dxa"/>
              <w:end w:w="110" w:type="dxa"/>
            </w:tcMar>
          </w:tcPr>
          <w:p>
            <w:pPr>
              <w:spacing w:after="0"/>
            </w:pPr>
            <w:r/>
            <w:r>
              <w:rPr>
                <w:b/>
                <w:i w:val="0"/>
                <w:color w:val="8F858A"/>
                <w:sz w:val="16"/>
                <w:rFonts w:ascii="Calibri" w:hAnsi="Calibri" w:cs="Calibri"/>
              </w:rPr>
              <w:t>POR QUÊ</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1</w:t>
            </w:r>
          </w:p>
        </w:tc>
        <w:tc>
          <w:tcPr>
            <w:tcW w:type="dxa" w:w="1814"/>
            <w:tcMar>
              <w:top w:w="80" w:type="dxa"/>
              <w:start w:w="110" w:type="dxa"/>
              <w:bottom w:w="80" w:type="dxa"/>
              <w:end w:w="110" w:type="dxa"/>
            </w:tcMar>
          </w:tcPr>
          <w:p>
            <w:pPr>
              <w:spacing w:after="0" w:line="274" w:lineRule="auto"/>
            </w:pPr>
            <w:r/>
            <w:r>
              <w:rPr>
                <w:b/>
                <w:i w:val="0"/>
                <w:color w:val="1A1416"/>
                <w:sz w:val="18"/>
                <w:rFonts w:ascii="Calibri" w:hAnsi="Calibri" w:cs="Calibri"/>
              </w:rPr>
              <w:t>Cegueira</w:t>
            </w:r>
          </w:p>
        </w:tc>
        <w:tc>
          <w:tcPr>
            <w:tcW w:type="dxa" w:w="7143"/>
            <w:tcMar>
              <w:top w:w="80" w:type="dxa"/>
              <w:start w:w="110" w:type="dxa"/>
              <w:bottom w:w="80" w:type="dxa"/>
              <w:end w:w="110" w:type="dxa"/>
            </w:tcMar>
          </w:tcPr>
          <w:p>
            <w:pPr>
              <w:spacing w:after="0" w:line="274" w:lineRule="auto"/>
            </w:pPr>
            <w:r/>
            <w:r>
              <w:rPr>
                <w:b w:val="0"/>
                <w:i w:val="0"/>
                <w:color w:val="1A1416"/>
                <w:sz w:val="17"/>
                <w:rFonts w:ascii="Calibri" w:hAnsi="Calibri" w:cs="Calibri"/>
              </w:rPr>
              <w:t>PRÉ-CONDIÇÃO, NÃO RESTRIÇÃO — entra em primeiro por ser gate, não por ser candidata a governante. Pelo playbook, 'Cegueira não é uma restrição de receita — é uma pré-condição', e ela é o motivo pelo qual as outras sete não podem ser pontuadas hoje: sem volume por etapa, sem tempo médio, com lead_b2b = 0 em agosto/2026 (tag 429 ativa, lead identificado por posição no DOM), purchase contaminado pelo gatilho 215 e deno…</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2</w:t>
            </w:r>
          </w:p>
        </w:tc>
        <w:tc>
          <w:tcPr>
            <w:tcW w:type="dxa" w:w="1814"/>
            <w:tcMar>
              <w:top w:w="80" w:type="dxa"/>
              <w:start w:w="110" w:type="dxa"/>
              <w:bottom w:w="80" w:type="dxa"/>
              <w:end w:w="110" w:type="dxa"/>
            </w:tcMar>
          </w:tcPr>
          <w:p>
            <w:pPr>
              <w:spacing w:after="0" w:line="274" w:lineRule="auto"/>
            </w:pPr>
            <w:r/>
            <w:r>
              <w:rPr>
                <w:b/>
                <w:i w:val="0"/>
                <w:color w:val="1A1416"/>
                <w:sz w:val="18"/>
                <w:rFonts w:ascii="Calibri" w:hAnsi="Calibri" w:cs="Calibri"/>
              </w:rPr>
              <w:t>Retencao</w:t>
            </w:r>
          </w:p>
        </w:tc>
        <w:tc>
          <w:tcPr>
            <w:tcW w:type="dxa" w:w="7143"/>
            <w:tcMar>
              <w:top w:w="80" w:type="dxa"/>
              <w:start w:w="110" w:type="dxa"/>
              <w:bottom w:w="80" w:type="dxa"/>
              <w:end w:w="110" w:type="dxa"/>
            </w:tcMar>
          </w:tcPr>
          <w:p>
            <w:pPr>
              <w:spacing w:after="0" w:line="274" w:lineRule="auto"/>
            </w:pPr>
            <w:r/>
            <w:r>
              <w:rPr>
                <w:b w:val="0"/>
                <w:i w:val="0"/>
                <w:color w:val="1A1416"/>
                <w:sz w:val="17"/>
                <w:rFonts w:ascii="Calibri" w:hAnsi="Calibri" w:cs="Calibri"/>
              </w:rPr>
              <w:t>REGRA DE GOLDRATT, DE BAIXO PARA CIMA: é a trava mais a jusante do fluxo, associada às etapas 7 (entrega de leads), 8 (churn), 9 (pós-pago) e 10 (expansão), e contamina a leitura de tudo o que está acima — resolver Exposição com Retenção quebrada só aumenta o custo do desperdício. É também onde estão os dois percentuais de maior magnitude declarada: 89% dos anúncios de Imóveis sem lead [D] e churn de 8–10% ao mês [D…</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3</w:t>
            </w:r>
          </w:p>
        </w:tc>
        <w:tc>
          <w:tcPr>
            <w:tcW w:type="dxa" w:w="1814"/>
            <w:tcMar>
              <w:top w:w="80" w:type="dxa"/>
              <w:start w:w="110" w:type="dxa"/>
              <w:bottom w:w="80" w:type="dxa"/>
              <w:end w:w="110" w:type="dxa"/>
            </w:tcMar>
          </w:tcPr>
          <w:p>
            <w:pPr>
              <w:spacing w:after="0" w:line="274" w:lineRule="auto"/>
            </w:pPr>
            <w:r/>
            <w:r>
              <w:rPr>
                <w:b/>
                <w:i w:val="0"/>
                <w:color w:val="1A1416"/>
                <w:sz w:val="18"/>
                <w:rFonts w:ascii="Calibri" w:hAnsi="Calibri" w:cs="Calibri"/>
              </w:rPr>
              <w:t>Decisao</w:t>
            </w:r>
          </w:p>
        </w:tc>
        <w:tc>
          <w:tcPr>
            <w:tcW w:type="dxa" w:w="7143"/>
            <w:tcMar>
              <w:top w:w="80" w:type="dxa"/>
              <w:start w:w="110" w:type="dxa"/>
              <w:bottom w:w="80" w:type="dxa"/>
              <w:end w:w="110" w:type="dxa"/>
            </w:tcMar>
          </w:tcPr>
          <w:p>
            <w:pPr>
              <w:spacing w:after="0" w:line="274" w:lineRule="auto"/>
            </w:pPr>
            <w:r/>
            <w:r>
              <w:rPr>
                <w:b w:val="0"/>
                <w:i w:val="0"/>
                <w:color w:val="1A1416"/>
                <w:sz w:val="17"/>
                <w:rFonts w:ascii="Calibri" w:hAnsi="Calibri" w:cs="Calibri"/>
              </w:rPr>
              <w:t>Segunda de baixo para cima: associada às etapas 4, 5, 9 e 10. Carrega a ÚNICA taxa de passagem etapa→etapa do mapa inteiro — 80% dos contratos que geraram cobrança pagam a 1ª fatura [D] —, o que a torna a única trava com um número tecnicamente utilizável hoje. Pela aritmética de regime ela EMPATA com Retenção no ponto médio da faixa de churn e a VENCE no topo (levar 80%→90% vale +12,5% [E]), de modo que sequenciá-la…</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4</w:t>
            </w:r>
          </w:p>
        </w:tc>
        <w:tc>
          <w:tcPr>
            <w:tcW w:type="dxa" w:w="1814"/>
            <w:tcMar>
              <w:top w:w="80" w:type="dxa"/>
              <w:start w:w="110" w:type="dxa"/>
              <w:bottom w:w="80" w:type="dxa"/>
              <w:end w:w="110" w:type="dxa"/>
            </w:tcMar>
          </w:tcPr>
          <w:p>
            <w:pPr>
              <w:spacing w:after="0" w:line="274" w:lineRule="auto"/>
            </w:pPr>
            <w:r/>
            <w:r>
              <w:rPr>
                <w:b/>
                <w:i w:val="0"/>
                <w:color w:val="1A1416"/>
                <w:sz w:val="18"/>
                <w:rFonts w:ascii="Calibri" w:hAnsi="Calibri" w:cs="Calibri"/>
              </w:rPr>
              <w:t>Compromisso</w:t>
            </w:r>
          </w:p>
        </w:tc>
        <w:tc>
          <w:tcPr>
            <w:tcW w:type="dxa" w:w="7143"/>
            <w:tcMar>
              <w:top w:w="80" w:type="dxa"/>
              <w:start w:w="110" w:type="dxa"/>
              <w:bottom w:w="80" w:type="dxa"/>
              <w:end w:w="110" w:type="dxa"/>
            </w:tcMar>
          </w:tcPr>
          <w:p>
            <w:pPr>
              <w:spacing w:after="0" w:line="274" w:lineRule="auto"/>
            </w:pPr>
            <w:r/>
            <w:r>
              <w:rPr>
                <w:b w:val="0"/>
                <w:i w:val="0"/>
                <w:color w:val="1A1416"/>
                <w:sz w:val="17"/>
                <w:rFonts w:ascii="Calibri" w:hAnsi="Calibri" w:cs="Calibri"/>
              </w:rPr>
              <w:t>Associada às etapas 3, 4 e 6, com a etapa 6 (ativação — publicação do primeiro anúncio) como núcleo. A política implícita já está formulada no formato da regra 4 e é testável: a empresa transfere integralmente ao anunciante o trabalho de ativação — não publica em nome dele, exige integrador de terceiros ou publicação unitária, mantém cadastro e senha separados no CanalPro e só libera login depois do pagamento —, cri…</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5</w:t>
            </w:r>
          </w:p>
        </w:tc>
        <w:tc>
          <w:tcPr>
            <w:tcW w:type="dxa" w:w="1814"/>
            <w:tcMar>
              <w:top w:w="80" w:type="dxa"/>
              <w:start w:w="110" w:type="dxa"/>
              <w:bottom w:w="80" w:type="dxa"/>
              <w:end w:w="110" w:type="dxa"/>
            </w:tcMar>
          </w:tcPr>
          <w:p>
            <w:pPr>
              <w:spacing w:after="0" w:line="274" w:lineRule="auto"/>
            </w:pPr>
            <w:r/>
            <w:r>
              <w:rPr>
                <w:b/>
                <w:i w:val="0"/>
                <w:color w:val="1A1416"/>
                <w:sz w:val="18"/>
                <w:rFonts w:ascii="Calibri" w:hAnsi="Calibri" w:cs="Calibri"/>
              </w:rPr>
              <w:t>Qualificacao</w:t>
            </w:r>
          </w:p>
        </w:tc>
        <w:tc>
          <w:tcPr>
            <w:tcW w:type="dxa" w:w="7143"/>
            <w:tcMar>
              <w:top w:w="80" w:type="dxa"/>
              <w:start w:w="110" w:type="dxa"/>
              <w:bottom w:w="80" w:type="dxa"/>
              <w:end w:w="110" w:type="dxa"/>
            </w:tcMar>
          </w:tcPr>
          <w:p>
            <w:pPr>
              <w:spacing w:after="0" w:line="274" w:lineRule="auto"/>
            </w:pPr>
            <w:r/>
            <w:r>
              <w:rPr>
                <w:b w:val="0"/>
                <w:i w:val="0"/>
                <w:color w:val="1A1416"/>
                <w:sz w:val="17"/>
                <w:rFonts w:ascii="Calibri" w:hAnsi="Calibri" w:cs="Calibri"/>
              </w:rPr>
              <w:t>Associada às etapas 2 e 3. Fica em quinto pela regra de Goldratt — está acima de Compromisso no funil — e porque o material que existe hoje não sustenta score: as definições de MQL ('nome, e-mail, telefone e em alguns canais documento') e de SQL (elegibilidade por CNPJ da área) são declaração verbal em reunião (00:44:38), e não há no repositório nem foi entregue pelo cliente qualquer política de qualificação, critér…</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6</w:t>
            </w:r>
          </w:p>
        </w:tc>
        <w:tc>
          <w:tcPr>
            <w:tcW w:type="dxa" w:w="1814"/>
            <w:tcMar>
              <w:top w:w="80" w:type="dxa"/>
              <w:start w:w="110" w:type="dxa"/>
              <w:bottom w:w="80" w:type="dxa"/>
              <w:end w:w="110" w:type="dxa"/>
            </w:tcMar>
          </w:tcPr>
          <w:p>
            <w:pPr>
              <w:spacing w:after="0" w:line="274" w:lineRule="auto"/>
            </w:pPr>
            <w:r/>
            <w:r>
              <w:rPr>
                <w:b/>
                <w:i w:val="0"/>
                <w:color w:val="1A1416"/>
                <w:sz w:val="18"/>
                <w:rFonts w:ascii="Calibri" w:hAnsi="Calibri" w:cs="Calibri"/>
              </w:rPr>
              <w:t>Exposicao</w:t>
            </w:r>
          </w:p>
        </w:tc>
        <w:tc>
          <w:tcPr>
            <w:tcW w:type="dxa" w:w="7143"/>
            <w:tcMar>
              <w:top w:w="80" w:type="dxa"/>
              <w:start w:w="110" w:type="dxa"/>
              <w:bottom w:w="80" w:type="dxa"/>
              <w:end w:w="110" w:type="dxa"/>
            </w:tcMar>
          </w:tcPr>
          <w:p>
            <w:pPr>
              <w:spacing w:after="0" w:line="274" w:lineRule="auto"/>
            </w:pPr>
            <w:r/>
            <w:r>
              <w:rPr>
                <w:b w:val="0"/>
                <w:i w:val="0"/>
                <w:color w:val="1A1416"/>
                <w:sz w:val="17"/>
                <w:rFonts w:ascii="Calibri" w:hAnsi="Calibri" w:cs="Calibri"/>
              </w:rPr>
              <w:t>ÚLTIMA ENTRE AS RESTRIÇÕES, POR REGRA DE GOLDRATT — Retenção antes de Exposição, sempre. Associada às etapas 1 e 2. Diagnosticá-la agora seria caro e cego por duas razões independentes: (a) o maior canal do mapa é em parte artefato de mensuração — o próprio slide anota que campanha paga para WhatsApp 'entra tudo como Direto', logo Pago (16%) [D] está subestimado e CAC por canal não existe hoje; (b) sobre DEMANDA não…</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7</w:t>
            </w:r>
          </w:p>
        </w:tc>
        <w:tc>
          <w:tcPr>
            <w:tcW w:type="dxa" w:w="1814"/>
            <w:tcMar>
              <w:top w:w="80" w:type="dxa"/>
              <w:start w:w="110" w:type="dxa"/>
              <w:bottom w:w="80" w:type="dxa"/>
              <w:end w:w="110" w:type="dxa"/>
            </w:tcMar>
          </w:tcPr>
          <w:p>
            <w:pPr>
              <w:spacing w:after="0" w:line="274" w:lineRule="auto"/>
            </w:pPr>
            <w:r/>
            <w:r>
              <w:rPr>
                <w:b/>
                <w:i w:val="0"/>
                <w:color w:val="1A1416"/>
                <w:sz w:val="18"/>
                <w:rFonts w:ascii="Calibri" w:hAnsi="Calibri" w:cs="Calibri"/>
              </w:rPr>
              <w:t>Atencao</w:t>
            </w:r>
          </w:p>
        </w:tc>
        <w:tc>
          <w:tcPr>
            <w:tcW w:type="dxa" w:w="7143"/>
            <w:tcMar>
              <w:top w:w="80" w:type="dxa"/>
              <w:start w:w="110" w:type="dxa"/>
              <w:bottom w:w="80" w:type="dxa"/>
              <w:end w:w="110" w:type="dxa"/>
            </w:tcMar>
          </w:tcPr>
          <w:p>
            <w:pPr>
              <w:spacing w:after="0" w:line="274" w:lineRule="auto"/>
            </w:pPr>
            <w:r/>
            <w:r>
              <w:rPr>
                <w:b w:val="0"/>
                <w:i w:val="0"/>
                <w:color w:val="1A1416"/>
                <w:sz w:val="17"/>
                <w:rFonts w:ascii="Calibri" w:hAnsi="Calibri" w:cs="Calibri"/>
              </w:rPr>
              <w:t>NÃO AGENDADA. Nenhuma das dez etapas do fluxo mapeia para esta trava — o material da sessão de 28/08 não descreve nenhuma estação de captura de atenção com volume, taxa ou tempo. Registrar como não mapeada é diferente de registrar como saudável: não há dado em nenhuma direção, e nenhum score deve ser produzido. Reavaliar quando o slide de FLUXOS for versionado (L28) e o diagrama do caminho de aquisição, que hoje fal…</w:t>
            </w:r>
          </w:p>
        </w:tc>
      </w:tr>
      <w:tr>
        <w:tc>
          <w:tcPr>
            <w:tcW w:type="dxa" w:w="567"/>
            <w:tcMar>
              <w:top w:w="80" w:type="dxa"/>
              <w:start w:w="110" w:type="dxa"/>
              <w:bottom w:w="80" w:type="dxa"/>
              <w:end w:w="110" w:type="dxa"/>
            </w:tcMar>
          </w:tcPr>
          <w:p>
            <w:pPr>
              <w:spacing w:after="0" w:line="274" w:lineRule="auto"/>
            </w:pPr>
            <w:r/>
            <w:r>
              <w:rPr>
                <w:b w:val="0"/>
                <w:i w:val="0"/>
                <w:color w:val="5E5458"/>
                <w:sz w:val="17"/>
                <w:rFonts w:ascii="Consolas" w:hAnsi="Consolas" w:cs="Consolas"/>
              </w:rPr>
              <w:t>8</w:t>
            </w:r>
          </w:p>
        </w:tc>
        <w:tc>
          <w:tcPr>
            <w:tcW w:type="dxa" w:w="1814"/>
            <w:tcMar>
              <w:top w:w="80" w:type="dxa"/>
              <w:start w:w="110" w:type="dxa"/>
              <w:bottom w:w="80" w:type="dxa"/>
              <w:end w:w="110" w:type="dxa"/>
            </w:tcMar>
          </w:tcPr>
          <w:p>
            <w:pPr>
              <w:spacing w:after="0" w:line="274" w:lineRule="auto"/>
            </w:pPr>
            <w:r/>
            <w:r>
              <w:rPr>
                <w:b/>
                <w:i w:val="0"/>
                <w:color w:val="1A1416"/>
                <w:sz w:val="18"/>
                <w:rFonts w:ascii="Calibri" w:hAnsi="Calibri" w:cs="Calibri"/>
              </w:rPr>
              <w:t>Interesse</w:t>
            </w:r>
          </w:p>
        </w:tc>
        <w:tc>
          <w:tcPr>
            <w:tcW w:type="dxa" w:w="7143"/>
            <w:tcMar>
              <w:top w:w="80" w:type="dxa"/>
              <w:start w:w="110" w:type="dxa"/>
              <w:bottom w:w="80" w:type="dxa"/>
              <w:end w:w="110" w:type="dxa"/>
            </w:tcMar>
          </w:tcPr>
          <w:p>
            <w:pPr>
              <w:spacing w:after="0" w:line="274" w:lineRule="auto"/>
            </w:pPr>
            <w:r/>
            <w:r>
              <w:rPr>
                <w:b w:val="0"/>
                <w:i w:val="0"/>
                <w:color w:val="1A1416"/>
                <w:sz w:val="17"/>
                <w:rFonts w:ascii="Calibri" w:hAnsi="Calibri" w:cs="Calibri"/>
              </w:rPr>
              <w:t>NÃO AGENDADA, pelo mesmo motivo: nenhuma etapa do fluxo narrado mapeia para ela. Ausência de mapeamento não é evidência de saúde nem de trava — é ausência de dado, e o campo fica sem score. Reavaliar junto com Atenção quando o material de topo de funil (diagrama de canais, LPs de marketing, réguas de CRM) chegar com volume e taxa.</w:t>
            </w:r>
          </w:p>
        </w:tc>
      </w:tr>
    </w:tbl>
    <w:p>
      <w:pPr>
        <w:spacing w:before="0" w:after="40" w:line="283" w:lineRule="auto"/>
      </w:pPr>
    </w:p>
    <w:p>
      <w:pPr>
        <w:spacing w:before="280" w:after="40"/>
      </w:pPr>
      <w:r>
        <w:rPr>
          <w:b/>
          <w:i w:val="0"/>
          <w:color w:val="1A1416"/>
          <w:sz w:val="23"/>
          <w:rFonts w:ascii="Calibri" w:hAnsi="Calibri" w:cs="Calibri"/>
        </w:rPr>
        <w:t>O que falta para fechar</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CONFIRMAR O QUE generate_lead_pro MEDE — é a pergunta mais barata do projeto e o repositório já a formulou. 661.144 eventos em agosto/2026 na propriedade GA4 VivaReal (407391347), e PENDENCIAS.md:346 diz que 'se ele for mesmo o lead de anunciante, é o numerador que falta para o fluxo de receita'. Junto: qual das duas propriedades é a de referência para generate_lead (830.116), porque o gatilho [208] lead_dbm dispara as tags 209 e 356 em duas pro…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VOLUME ABSOLUTO SEGMENTÁVEL AO RECORTE B2B. Correção importante em relação à versão anterior deste mapa: NÃO é verdade que 'não existe um único número de anúncios publicados/mês ou leads/mês em documento nenhum'. Existem, apurados na API do GA4: ad_insertion 4.602.128 e ad_edition 4.140.566 (agosto/2026, OLX App + Web 152644854), registrados em dados/client.json e na auditoria (vii). O que falta é o CORTE profissional × particular (seller_catego…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LINKS DOS DASHBOARDS DE FUNIL B2B E DE CANAL ONLINE. O trabalho já mudou de coletar para EXTRAIR: as taxas de qualificação (MQL→SQL) e de conversão (SQL→venda) existem lá, por vertical, canal, time e período, com histórico de 12 meses. Lacuna 1 da ata, DRI Leonardo Rosa, prazo '—' (não acordado na sessão; a ata manda não inventar). Primeira extração a fazer: recuperar as '414 vendas' com período, vertical e denominador.</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TEMPO MÉDIO DE PASSAGEM POR ETAPA — zero das dez etapas tem, e o campo tempo_medio_dias sai null nas dez. Sem ele nenhuma das perguntas-gatilho de tempo do POP é respondível, e a tabela do roteiro segue vazia.</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PERÍODO DE APURAÇÃO DOS SEIS PERCENTUAIS. O slide não traz data-base, janela nem safra. O dashboard olha 12 meses por padrão; o slide de FLUXOS diz 'todo o período histórico' (L5). Não se sabe se 89%, 12%, 80% e 8–10% são de 12 meses, do mês corrente ou do histórico inteiro.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SEPARAÇÃO POR VERTICAL EM QUATRO DOS SEIS PERCENTUAIS. Só as etapas 4 (25%/10%) e 7 (89%, só Imóveis) vêm quebradas. Entrada, Pagamento, Publicação e Churn vêm somados sobre Autos e Imóveis, que têm modelo de anúncio diferente (inserção × slot) e modelo de cobrança diferente (pré × pré/pós). Somar economias diferentes produz mapa errado com aparência de mapa certo — passo 1 do POP e critério de aceite da própria sessão, não cumprido. CONSEQUÊNCI…</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RESOLVER 'RECEITA' × 'BASE' NO 50% DA ETAPA 2. O slide diz receita, a fala de 00:05:42 diz base, e o repositório carrega as duas versões em documentos diferentes. Enquanto isso durar, a etapa 2 não entra em reconciliação. Falta também a fatia de renovação e de Inside/Field Sales que fecha os 100%.</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CONFIRMAR O DENOMINADOR DO 12% (etapa 6) E, SÓ DEPOIS, PROPAGAR A CONSEQUÊNCIA. Se confirmado que o 12% é fatia de quem SAI, p(publicação)=88% deixa de ser termo independente da identidade de regime de 03-estrategia/meta-do-projeto.md §4, e a linha 'Publicação 88%→92% = +4,5%' e os tetos de +26% e +44% precisam ser refeitos. NENHUMA aritmética deve ser alterada antes da confirmação da OLX — a base textual é transcrição automática do Gemini, mal …</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UNIDADE DO CHURN: logo ou receita (ambiguidade 4). Toda a derivação de 63–72%/ano, a constante de tempo de 11 meses, a tabela de elasticidades e o cascateamento por ciclo pendem dessa única resposta.</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DISTRIBUIÇÃO DO 89% POR CLIENTE (ambiguidade 1). O 89% é por anúncio; o churn é por cliente/pagamento. Sem a taxa por cliente as duas pontas da cadeia causal não se ligam.</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 QUE CONCENTRA OS LEADS NOS 11% (ambiguidade 2), com a pista da deduplicação reaberta — o número do kick-off tem conflito na própria fonte ('15 milhão' na fala, '1,5 milhão' no resumo) e precisa de reapuração antes de qualquer uso.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RECUPERAÇÃO DOS 20% QUE NÃO PAGAM (ambiguidade 6) e MAGNITUDE DA 'ALTA TAXA DE ABONO E CONTESTAÇÃO' NO PÓS-PAGO (ambiguidade 7). Nenhuma das duas foi perguntada na sessão. E, junto com a segunda, o nó 3B-11: quando a receita é reconhecida e quando o contrato passa a existir — pergunta 3 do roteiro, levada à sessão e não fechada em ata.</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PROXY DE PERFORMANCE PARA IMÓVEIS. Declarado inexistente (Leonardo Costa, 00:55:01). Enquanto não houver, a causa declarada do churn não é medida na vertical onde o churn dói.</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REGISTRO ESTRUTURADO DE MOTIVO DE CANCELAMENTO. Pergunta 6 do roteiro; grep na transcrição de 28/08 devolve só a atribuição genérica a baixa performance, e a pergunta também ficou sem resposta capturada no kick-off.</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POLÍTICA DE QUALIFICAÇÃO ESCRITA — critério de MQL/SQL, estágios do CRM, SLA e ICP documentado. As definições de 00:44:38 são declaração verbal em reunião; não há artefato formal no repositório nem entregue pelo cliente. Pela regra 5, as dimensões correspondentes da Trava de Qualificação ficam null até o documento chegar. Abrir linha em PENDENCIAS.md com DRI e prazo.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QUANTO DO CANAL DIRETO É MÍDIA PAGA SEM ATRIBUIÇÃO (L15/F12) — DRI 'a definir', sem prazo. Enquanto durar, CAC por canal não existe e a realocação de verba é cega.</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SE O SITE GRAVA user_olx POR CÓDIGO PRÓPRIO, FORA DO GTM. É um F12 na página, e decide se o achado 4 da auditoria (vii) — denominador não segmentável — existe ou 'cai por terra', nas palavras da própria auditoria. Nada no repositório registra que a verificação tenha sido feita ou a pergunta enviada à OLX.</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ARQUIVOS ORIGINAIS: o slide de FLUXOS não está versionado (L28) — conferido com find em assets/, o único original de negócio versionado é jornada-do-cliente-profissional.png; os percentuais de canal existem só em prosa. O da jornada é captura de tela, com o original no Drive (L27). Material de cliente que não pode ser conferido contra a fonte não sustenta comitê.</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 PAR DE ENTREGÁVEIS DESTE POP NÃO EXISTE: não há dados/outputs/dre-fluxo-receita.json nem 02-diagnostico/fluxo-de-receita.md (ou mapeamento-fluxo-receita.md), citados como destino em QUATRO documentos do repositório (jornada-do-cliente-profissional.md, lacunas-do-fluxo-de-receita.md, a ata de 28/08 e 02-diagnostico/README.md) e em CINCO skills (dre-fluxo-receita, dre-forecast, dre-consolidacao-causal, dre-diagnostico-trava, dre-continuar). dado…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CONFORMIDADE DE SCHEMA — RESOLVIDO NESTA REEMISSÃO, COM UMA EXCEÇÃO NOMEADA. Passaram a existir como campo, com null explícito onde não há dado: tempo_medio_dias (null nas dez), perda_absoluta (null nas dez), taxa_entrada (não-null só na etapa 5), estimado como booleano (true nas etapas 6, 8 e 9, onde a marcação [E] já existia no texto), travas_associadas[] por etapa (o campo que liga este mapa ao score 0–25 de cada trava), ranking_perda[], reco…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AS SETE AMBIGUIDADES DO SLIDE E AS QUATRO LACUNAS DA SESSÃO AINDA NÃO SÃO LINHA DE PENDENCIAS.md, com DRI e prazo. A ata registra prazo '—' nas quatro e DRI 'a definir' em uma, e 02-diagnostico/coleta-pendente.md não menciona a jornada nem os dashboards.</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CORRIGIR OS TIMESTAMPS CITADOS NOS DOCUMENTOS DO REPOSITÓRIO. Conferidos contra os cabeçalhos ### hh:mm:ss da transcrição: o 89% é 00:19:40 e está citado como 00:18:09; '3 leads em 7 dias' é 00:55:01 citado como 00:53:50; o benchmark de destaque é 01:00:35 citado como 00:59:26; a demonstração dos dashboards por Lu Machim é 00:07:00–00:08:59, não 00:05:42, que é fala de Carolina Dallolio; a frase do touch point de app é 00:40:31, não 00:38:26; o …</w:t>
      </w:r>
    </w:p>
    <w:p>
      <w:r>
        <w:br w:type="page"/>
      </w:r>
    </w:p>
    <w:p>
      <w:pPr>
        <w:spacing w:before="400" w:after="80"/>
      </w:pPr>
      <w:r>
        <w:rPr>
          <w:b/>
          <w:i w:val="0"/>
          <w:color w:val="970013"/>
          <w:sz w:val="26"/>
          <w:rFonts w:ascii="Consolas" w:hAnsi="Consolas" w:cs="Consolas"/>
        </w:rPr>
        <w:t xml:space="preserve">02   </w:t>
      </w:r>
      <w:r>
        <w:rPr>
          <w:b/>
          <w:i w:val="0"/>
          <w:color w:val="1A1416"/>
          <w:sz w:val="30"/>
          <w:rFonts w:ascii="Calibri" w:hAnsi="Calibri" w:cs="Calibri"/>
        </w:rPr>
        <w:t>Diagnóstico das 8 Travas de Receita</w:t>
      </w:r>
    </w:p>
    <w:p>
      <w:pPr>
        <w:spacing w:before="40" w:after="200"/>
        <w:pBdr>
          <w:bottom w:val="single" w:sz="8" w:space="1" w:color="CFC6C8"/>
        </w:pBdr>
      </w:pPr>
    </w:p>
    <w:p>
      <w:pPr>
        <w:spacing w:before="0" w:after="160" w:line="283" w:lineRule="auto"/>
      </w:pPr>
      <w:r>
        <w:rPr>
          <w:b w:val="0"/>
          <w:i w:val="0"/>
          <w:color w:val="5E5458"/>
          <w:sz w:val="20"/>
          <w:rFonts w:ascii="Calibri" w:hAnsi="Calibri" w:cs="Calibri"/>
        </w:rPr>
        <w:t>Cada trava tem cinco dimensões pontuadas de 0 a 5. A regra do método limita a nota a 3 quando não existe evidência formal — por isso o máximo praticável hoje é 3 por dimensão, e não 5. Ler uma soma bruta contra a faixa de 0 a 25 do playbook seria erro de escala.</w:t>
      </w:r>
    </w:p>
    <w:tbl>
      <w:tblPr>
        <w:tblW w:type="auto" w:w="0"/>
        <w:jc w:val="left"/>
        <w:tblLayout w:type="fixed"/>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1972"/>
        <w:gridCol w:w="1972"/>
        <w:gridCol w:w="1972"/>
        <w:gridCol w:w="1972"/>
        <w:gridCol w:w="1972"/>
      </w:tblGrid>
      <w:tr>
        <w:tc>
          <w:tcPr>
            <w:tcW w:type="dxa" w:w="1701"/>
            <w:shd w:val="clear" w:color="auto" w:fill="F4F0F1"/>
            <w:tcMar>
              <w:top w:w="80" w:type="dxa"/>
              <w:start w:w="110" w:type="dxa"/>
              <w:bottom w:w="80" w:type="dxa"/>
              <w:end w:w="110" w:type="dxa"/>
            </w:tcMar>
          </w:tcPr>
          <w:p>
            <w:pPr>
              <w:spacing w:after="0"/>
            </w:pPr>
            <w:r/>
            <w:r>
              <w:rPr>
                <w:b/>
                <w:i w:val="0"/>
                <w:color w:val="8F858A"/>
                <w:sz w:val="16"/>
                <w:rFonts w:ascii="Calibri" w:hAnsi="Calibri" w:cs="Calibri"/>
              </w:rPr>
              <w:t>TRAVA</w:t>
            </w:r>
          </w:p>
        </w:tc>
        <w:tc>
          <w:tcPr>
            <w:tcW w:type="dxa" w:w="1474"/>
            <w:shd w:val="clear" w:color="auto" w:fill="F4F0F1"/>
            <w:tcMar>
              <w:top w:w="80" w:type="dxa"/>
              <w:start w:w="110" w:type="dxa"/>
              <w:bottom w:w="80" w:type="dxa"/>
              <w:end w:w="110" w:type="dxa"/>
            </w:tcMar>
          </w:tcPr>
          <w:p>
            <w:pPr>
              <w:spacing w:after="0"/>
            </w:pPr>
            <w:r/>
            <w:r>
              <w:rPr>
                <w:b/>
                <w:i w:val="0"/>
                <w:color w:val="8F858A"/>
                <w:sz w:val="16"/>
                <w:rFonts w:ascii="Calibri" w:hAnsi="Calibri" w:cs="Calibri"/>
              </w:rPr>
              <w:t>DIMENSÕES COM NOTA</w:t>
            </w:r>
          </w:p>
        </w:tc>
        <w:tc>
          <w:tcPr>
            <w:tcW w:type="dxa" w:w="907"/>
            <w:shd w:val="clear" w:color="auto" w:fill="F4F0F1"/>
            <w:tcMar>
              <w:top w:w="80" w:type="dxa"/>
              <w:start w:w="110" w:type="dxa"/>
              <w:bottom w:w="80" w:type="dxa"/>
              <w:end w:w="110" w:type="dxa"/>
            </w:tcMar>
          </w:tcPr>
          <w:p>
            <w:pPr>
              <w:spacing w:after="0"/>
            </w:pPr>
            <w:r/>
            <w:r>
              <w:rPr>
                <w:b/>
                <w:i w:val="0"/>
                <w:color w:val="8F858A"/>
                <w:sz w:val="16"/>
                <w:rFonts w:ascii="Calibri" w:hAnsi="Calibri" w:cs="Calibri"/>
              </w:rPr>
              <w:t>SOMA</w:t>
            </w:r>
          </w:p>
        </w:tc>
        <w:tc>
          <w:tcPr>
            <w:tcW w:type="dxa" w:w="1361"/>
            <w:shd w:val="clear" w:color="auto" w:fill="F4F0F1"/>
            <w:tcMar>
              <w:top w:w="80" w:type="dxa"/>
              <w:start w:w="110" w:type="dxa"/>
              <w:bottom w:w="80" w:type="dxa"/>
              <w:end w:w="110" w:type="dxa"/>
            </w:tcMar>
          </w:tcPr>
          <w:p>
            <w:pPr>
              <w:spacing w:after="0"/>
            </w:pPr>
            <w:r/>
            <w:r>
              <w:rPr>
                <w:b/>
                <w:i w:val="0"/>
                <w:color w:val="8F858A"/>
                <w:sz w:val="16"/>
                <w:rFonts w:ascii="Calibri" w:hAnsi="Calibri" w:cs="Calibri"/>
              </w:rPr>
              <w:t>CONFIABILIDADE</w:t>
            </w:r>
          </w:p>
        </w:tc>
        <w:tc>
          <w:tcPr>
            <w:tcW w:type="dxa" w:w="4082"/>
            <w:shd w:val="clear" w:color="auto" w:fill="F4F0F1"/>
            <w:tcMar>
              <w:top w:w="80" w:type="dxa"/>
              <w:start w:w="110" w:type="dxa"/>
              <w:bottom w:w="80" w:type="dxa"/>
              <w:end w:w="110" w:type="dxa"/>
            </w:tcMar>
          </w:tcPr>
          <w:p>
            <w:pPr>
              <w:spacing w:after="0"/>
            </w:pPr>
            <w:r/>
            <w:r>
              <w:rPr>
                <w:b/>
                <w:i w:val="0"/>
                <w:color w:val="8F858A"/>
                <w:sz w:val="16"/>
                <w:rFonts w:ascii="Calibri" w:hAnsi="Calibri" w:cs="Calibri"/>
              </w:rPr>
              <w:t>ESCALA</w:t>
            </w:r>
          </w:p>
        </w:tc>
      </w:tr>
      <w:tr>
        <w:tc>
          <w:tcPr>
            <w:tcW w:type="dxa" w:w="1701"/>
            <w:tcMar>
              <w:top w:w="80" w:type="dxa"/>
              <w:start w:w="110" w:type="dxa"/>
              <w:bottom w:w="80" w:type="dxa"/>
              <w:end w:w="110" w:type="dxa"/>
            </w:tcMar>
          </w:tcPr>
          <w:p>
            <w:pPr>
              <w:spacing w:after="0" w:line="274" w:lineRule="auto"/>
            </w:pPr>
            <w:r/>
            <w:r>
              <w:rPr>
                <w:b/>
                <w:i w:val="0"/>
                <w:color w:val="1A1416"/>
                <w:sz w:val="18"/>
                <w:rFonts w:ascii="Calibri" w:hAnsi="Calibri" w:cs="Calibri"/>
              </w:rPr>
              <w:t>Cegueira</w:t>
            </w:r>
          </w:p>
        </w:tc>
        <w:tc>
          <w:tcPr>
            <w:tcW w:type="dxa" w:w="1474"/>
            <w:tcMar>
              <w:top w:w="80" w:type="dxa"/>
              <w:start w:w="110" w:type="dxa"/>
              <w:bottom w:w="80" w:type="dxa"/>
              <w:end w:w="110" w:type="dxa"/>
            </w:tcMar>
          </w:tcPr>
          <w:p>
            <w:pPr>
              <w:spacing w:after="0" w:line="274" w:lineRule="auto"/>
            </w:pPr>
            <w:r/>
            <w:r>
              <w:rPr>
                <w:b w:val="0"/>
                <w:i w:val="0"/>
                <w:color w:val="1A1416"/>
                <w:sz w:val="17"/>
                <w:rFonts w:ascii="Calibri" w:hAnsi="Calibri" w:cs="Calibri"/>
              </w:rPr>
              <w:t>5 de 5</w:t>
            </w:r>
          </w:p>
        </w:tc>
        <w:tc>
          <w:tcPr>
            <w:tcW w:type="dxa" w:w="907"/>
            <w:tcMar>
              <w:top w:w="80" w:type="dxa"/>
              <w:start w:w="110" w:type="dxa"/>
              <w:bottom w:w="80" w:type="dxa"/>
              <w:end w:w="110" w:type="dxa"/>
            </w:tcMar>
          </w:tcPr>
          <w:p>
            <w:pPr>
              <w:spacing w:after="0" w:line="274" w:lineRule="auto"/>
            </w:pPr>
            <w:r/>
            <w:r>
              <w:rPr>
                <w:b w:val="0"/>
                <w:i w:val="0"/>
                <w:color w:val="1A1416"/>
                <w:sz w:val="17"/>
                <w:rFonts w:ascii="Calibri" w:hAnsi="Calibri" w:cs="Calibri"/>
              </w:rPr>
              <w:t>6</w:t>
            </w:r>
          </w:p>
        </w:tc>
        <w:tc>
          <w:tcPr>
            <w:tcW w:type="dxa" w:w="1361"/>
            <w:tcMar>
              <w:top w:w="80" w:type="dxa"/>
              <w:start w:w="110" w:type="dxa"/>
              <w:bottom w:w="80" w:type="dxa"/>
              <w:end w:w="110" w:type="dxa"/>
            </w:tcMar>
          </w:tcPr>
          <w:p>
            <w:pPr>
              <w:spacing w:after="0" w:line="274" w:lineRule="auto"/>
            </w:pPr>
            <w:r/>
            <w:r>
              <w:rPr>
                <w:b w:val="0"/>
                <w:i w:val="0"/>
                <w:color w:val="1A1416"/>
                <w:sz w:val="17"/>
                <w:rFonts w:ascii="Calibri" w:hAnsi="Calibri" w:cs="Calibri"/>
              </w:rPr>
              <w:t>media</w:t>
            </w:r>
          </w:p>
        </w:tc>
        <w:tc>
          <w:tcPr>
            <w:tcW w:type="dxa" w:w="4082"/>
            <w:tcMar>
              <w:top w:w="80" w:type="dxa"/>
              <w:start w:w="110" w:type="dxa"/>
              <w:bottom w:w="80" w:type="dxa"/>
              <w:end w:w="110" w:type="dxa"/>
            </w:tcMar>
          </w:tcPr>
          <w:p>
            <w:pPr>
              <w:spacing w:after="0" w:line="274" w:lineRule="auto"/>
            </w:pPr>
            <w:r/>
            <w:r>
              <w:rPr>
                <w:b w:val="0"/>
                <w:i w:val="0"/>
                <w:color w:val="1A1416"/>
                <w:sz w:val="17"/>
                <w:rFonts w:ascii="Calibri" w:hAnsi="Calibri" w:cs="Calibri"/>
              </w:rPr>
              <w:t>5 de 5 dimensões pontuadas · soma bruta 6 · máximo praticável 15 (5 dimensões × teto de 3 da regra 5), NÃO 25 · equivalente normalizado à escala do playbook: 10,0 de 25 [E], faixa 0–10 (Estruturalmente travada) · o número 'de 25'…</w:t>
            </w:r>
          </w:p>
        </w:tc>
      </w:tr>
      <w:tr>
        <w:tc>
          <w:tcPr>
            <w:tcW w:type="dxa" w:w="1701"/>
            <w:tcMar>
              <w:top w:w="80" w:type="dxa"/>
              <w:start w:w="110" w:type="dxa"/>
              <w:bottom w:w="80" w:type="dxa"/>
              <w:end w:w="110" w:type="dxa"/>
            </w:tcMar>
          </w:tcPr>
          <w:p>
            <w:pPr>
              <w:spacing w:after="0" w:line="274" w:lineRule="auto"/>
            </w:pPr>
            <w:r/>
            <w:r>
              <w:rPr>
                <w:b/>
                <w:i w:val="0"/>
                <w:color w:val="1A1416"/>
                <w:sz w:val="18"/>
                <w:rFonts w:ascii="Calibri" w:hAnsi="Calibri" w:cs="Calibri"/>
              </w:rPr>
              <w:t>Exposição</w:t>
            </w:r>
          </w:p>
        </w:tc>
        <w:tc>
          <w:tcPr>
            <w:tcW w:type="dxa" w:w="1474"/>
            <w:tcMar>
              <w:top w:w="80" w:type="dxa"/>
              <w:start w:w="110" w:type="dxa"/>
              <w:bottom w:w="80" w:type="dxa"/>
              <w:end w:w="110" w:type="dxa"/>
            </w:tcMar>
          </w:tcPr>
          <w:p>
            <w:pPr>
              <w:spacing w:after="0" w:line="274" w:lineRule="auto"/>
            </w:pPr>
            <w:r/>
            <w:r>
              <w:rPr>
                <w:b w:val="0"/>
                <w:i w:val="0"/>
                <w:color w:val="1A1416"/>
                <w:sz w:val="17"/>
                <w:rFonts w:ascii="Calibri" w:hAnsi="Calibri" w:cs="Calibri"/>
              </w:rPr>
              <w:t>3 de 5</w:t>
            </w:r>
          </w:p>
        </w:tc>
        <w:tc>
          <w:tcPr>
            <w:tcW w:type="dxa" w:w="907"/>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1361"/>
            <w:tcMar>
              <w:top w:w="80" w:type="dxa"/>
              <w:start w:w="110" w:type="dxa"/>
              <w:bottom w:w="80" w:type="dxa"/>
              <w:end w:w="110" w:type="dxa"/>
            </w:tcMar>
          </w:tcPr>
          <w:p>
            <w:pPr>
              <w:spacing w:after="0" w:line="274" w:lineRule="auto"/>
            </w:pPr>
            <w:r/>
            <w:r>
              <w:rPr>
                <w:b w:val="0"/>
                <w:i w:val="0"/>
                <w:color w:val="1A1416"/>
                <w:sz w:val="17"/>
                <w:rFonts w:ascii="Calibri" w:hAnsi="Calibri" w:cs="Calibri"/>
              </w:rPr>
              <w:t>baixa</w:t>
            </w:r>
          </w:p>
        </w:tc>
        <w:tc>
          <w:tcPr>
            <w:tcW w:type="dxa" w:w="4082"/>
            <w:tcMar>
              <w:top w:w="80" w:type="dxa"/>
              <w:start w:w="110" w:type="dxa"/>
              <w:bottom w:w="80" w:type="dxa"/>
              <w:end w:w="110" w:type="dxa"/>
            </w:tcMar>
          </w:tcPr>
          <w:p>
            <w:pPr>
              <w:spacing w:after="0" w:line="274" w:lineRule="auto"/>
            </w:pPr>
            <w:r/>
            <w:r>
              <w:rPr>
                <w:b w:val="0"/>
                <w:i w:val="0"/>
                <w:color w:val="1A1416"/>
                <w:sz w:val="17"/>
                <w:rFonts w:ascii="Calibri" w:hAnsi="Calibri" w:cs="Calibri"/>
              </w:rPr>
              <w:t>6 pontos em 3 das 5 dimensões · máximo praticável 9 sob o teto de 3 da regra 5 · média por dimensão pontuada 2,00 · NÃO somável, NÃO normalizável para a escala de 25 do playbook (o denominador de cinco dimensões não existe) e NÃO…</w:t>
            </w:r>
          </w:p>
        </w:tc>
      </w:tr>
      <w:tr>
        <w:tc>
          <w:tcPr>
            <w:tcW w:type="dxa" w:w="1701"/>
            <w:tcMar>
              <w:top w:w="80" w:type="dxa"/>
              <w:start w:w="110" w:type="dxa"/>
              <w:bottom w:w="80" w:type="dxa"/>
              <w:end w:w="110" w:type="dxa"/>
            </w:tcMar>
          </w:tcPr>
          <w:p>
            <w:pPr>
              <w:spacing w:after="0" w:line="274" w:lineRule="auto"/>
            </w:pPr>
            <w:r/>
            <w:r>
              <w:rPr>
                <w:b/>
                <w:i w:val="0"/>
                <w:color w:val="1A1416"/>
                <w:sz w:val="18"/>
                <w:rFonts w:ascii="Calibri" w:hAnsi="Calibri" w:cs="Calibri"/>
              </w:rPr>
              <w:t>Atenção</w:t>
            </w:r>
          </w:p>
        </w:tc>
        <w:tc>
          <w:tcPr>
            <w:tcW w:type="dxa" w:w="1474"/>
            <w:tcMar>
              <w:top w:w="80" w:type="dxa"/>
              <w:start w:w="110" w:type="dxa"/>
              <w:bottom w:w="80" w:type="dxa"/>
              <w:end w:w="110" w:type="dxa"/>
            </w:tcMar>
          </w:tcPr>
          <w:p>
            <w:pPr>
              <w:spacing w:after="0" w:line="274" w:lineRule="auto"/>
            </w:pPr>
            <w:r/>
            <w:r>
              <w:rPr>
                <w:b w:val="0"/>
                <w:i w:val="0"/>
                <w:color w:val="1A1416"/>
                <w:sz w:val="17"/>
                <w:rFonts w:ascii="Calibri" w:hAnsi="Calibri" w:cs="Calibri"/>
              </w:rPr>
              <w:t>3 de 5</w:t>
            </w:r>
          </w:p>
        </w:tc>
        <w:tc>
          <w:tcPr>
            <w:tcW w:type="dxa" w:w="907"/>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1361"/>
            <w:tcMar>
              <w:top w:w="80" w:type="dxa"/>
              <w:start w:w="110" w:type="dxa"/>
              <w:bottom w:w="80" w:type="dxa"/>
              <w:end w:w="110" w:type="dxa"/>
            </w:tcMar>
          </w:tcPr>
          <w:p>
            <w:pPr>
              <w:spacing w:after="0" w:line="274" w:lineRule="auto"/>
            </w:pPr>
            <w:r/>
            <w:r>
              <w:rPr>
                <w:b w:val="0"/>
                <w:i w:val="0"/>
                <w:color w:val="1A1416"/>
                <w:sz w:val="17"/>
                <w:rFonts w:ascii="Calibri" w:hAnsi="Calibri" w:cs="Calibri"/>
              </w:rPr>
              <w:t>baixa</w:t>
            </w:r>
          </w:p>
        </w:tc>
        <w:tc>
          <w:tcPr>
            <w:tcW w:type="dxa" w:w="4082"/>
            <w:tcMar>
              <w:top w:w="80" w:type="dxa"/>
              <w:start w:w="110" w:type="dxa"/>
              <w:bottom w:w="80" w:type="dxa"/>
              <w:end w:w="110" w:type="dxa"/>
            </w:tcMar>
          </w:tcPr>
          <w:p>
            <w:pPr>
              <w:spacing w:after="0" w:line="274" w:lineRule="auto"/>
            </w:pPr>
            <w:r/>
            <w:r>
              <w:rPr>
                <w:b w:val="0"/>
                <w:i w:val="0"/>
                <w:color w:val="1A1416"/>
                <w:sz w:val="17"/>
                <w:rFonts w:ascii="Calibri" w:hAnsi="Calibri" w:cs="Calibri"/>
              </w:rPr>
              <w:t>6 pontos em 3 das 5 dimensões · máximo praticável 9 sob o teto de 3 da regra 5 · média por dimensão pontuada 2,00 · NÃO somável, NÃO normalizável para a escala de 25 do playbook (o denominador de cinco dimensões não existe) e NÃO…</w:t>
            </w:r>
          </w:p>
        </w:tc>
      </w:tr>
      <w:tr>
        <w:tc>
          <w:tcPr>
            <w:tcW w:type="dxa" w:w="1701"/>
            <w:tcMar>
              <w:top w:w="80" w:type="dxa"/>
              <w:start w:w="110" w:type="dxa"/>
              <w:bottom w:w="80" w:type="dxa"/>
              <w:end w:w="110" w:type="dxa"/>
            </w:tcMar>
          </w:tcPr>
          <w:p>
            <w:pPr>
              <w:spacing w:after="0" w:line="274" w:lineRule="auto"/>
            </w:pPr>
            <w:r/>
            <w:r>
              <w:rPr>
                <w:b/>
                <w:i w:val="0"/>
                <w:color w:val="1A1416"/>
                <w:sz w:val="18"/>
                <w:rFonts w:ascii="Calibri" w:hAnsi="Calibri" w:cs="Calibri"/>
              </w:rPr>
              <w:t>Interesse</w:t>
            </w:r>
          </w:p>
        </w:tc>
        <w:tc>
          <w:tcPr>
            <w:tcW w:type="dxa" w:w="1474"/>
            <w:tcMar>
              <w:top w:w="80" w:type="dxa"/>
              <w:start w:w="110" w:type="dxa"/>
              <w:bottom w:w="80" w:type="dxa"/>
              <w:end w:w="110" w:type="dxa"/>
            </w:tcMar>
          </w:tcPr>
          <w:p>
            <w:pPr>
              <w:spacing w:after="0" w:line="274" w:lineRule="auto"/>
            </w:pPr>
            <w:r/>
            <w:r>
              <w:rPr>
                <w:b w:val="0"/>
                <w:i w:val="0"/>
                <w:color w:val="1A1416"/>
                <w:sz w:val="17"/>
                <w:rFonts w:ascii="Calibri" w:hAnsi="Calibri" w:cs="Calibri"/>
              </w:rPr>
              <w:t>3 de 5</w:t>
            </w:r>
          </w:p>
        </w:tc>
        <w:tc>
          <w:tcPr>
            <w:tcW w:type="dxa" w:w="907"/>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1361"/>
            <w:tcMar>
              <w:top w:w="80" w:type="dxa"/>
              <w:start w:w="110" w:type="dxa"/>
              <w:bottom w:w="80" w:type="dxa"/>
              <w:end w:w="110" w:type="dxa"/>
            </w:tcMar>
          </w:tcPr>
          <w:p>
            <w:pPr>
              <w:spacing w:after="0" w:line="274" w:lineRule="auto"/>
            </w:pPr>
            <w:r/>
            <w:r>
              <w:rPr>
                <w:b w:val="0"/>
                <w:i w:val="0"/>
                <w:color w:val="1A1416"/>
                <w:sz w:val="17"/>
                <w:rFonts w:ascii="Calibri" w:hAnsi="Calibri" w:cs="Calibri"/>
              </w:rPr>
              <w:t>baixa</w:t>
            </w:r>
          </w:p>
        </w:tc>
        <w:tc>
          <w:tcPr>
            <w:tcW w:type="dxa" w:w="4082"/>
            <w:tcMar>
              <w:top w:w="80" w:type="dxa"/>
              <w:start w:w="110" w:type="dxa"/>
              <w:bottom w:w="80" w:type="dxa"/>
              <w:end w:w="110" w:type="dxa"/>
            </w:tcMar>
          </w:tcPr>
          <w:p>
            <w:pPr>
              <w:spacing w:after="0" w:line="274" w:lineRule="auto"/>
            </w:pPr>
            <w:r/>
            <w:r>
              <w:rPr>
                <w:b w:val="0"/>
                <w:i w:val="0"/>
                <w:color w:val="1A1416"/>
                <w:sz w:val="17"/>
                <w:rFonts w:ascii="Calibri" w:hAnsi="Calibri" w:cs="Calibri"/>
              </w:rPr>
              <w:t>6 pontos em 3 das 5 dimensões · máximo praticável 9 sob o teto de 3 da regra 5 · média por dimensão pontuada 2,00 · NÃO somável, NÃO normalizável para a escala de 25 do playbook (o denominador de cinco dimensões não existe) e NÃO…</w:t>
            </w:r>
          </w:p>
        </w:tc>
      </w:tr>
      <w:tr>
        <w:tc>
          <w:tcPr>
            <w:tcW w:type="dxa" w:w="1701"/>
            <w:tcMar>
              <w:top w:w="80" w:type="dxa"/>
              <w:start w:w="110" w:type="dxa"/>
              <w:bottom w:w="80" w:type="dxa"/>
              <w:end w:w="110" w:type="dxa"/>
            </w:tcMar>
          </w:tcPr>
          <w:p>
            <w:pPr>
              <w:spacing w:after="0" w:line="274" w:lineRule="auto"/>
            </w:pPr>
            <w:r/>
            <w:r>
              <w:rPr>
                <w:b/>
                <w:i w:val="0"/>
                <w:color w:val="1A1416"/>
                <w:sz w:val="18"/>
                <w:rFonts w:ascii="Calibri" w:hAnsi="Calibri" w:cs="Calibri"/>
              </w:rPr>
              <w:t>Qualificação</w:t>
            </w:r>
          </w:p>
        </w:tc>
        <w:tc>
          <w:tcPr>
            <w:tcW w:type="dxa" w:w="1474"/>
            <w:tcMar>
              <w:top w:w="80" w:type="dxa"/>
              <w:start w:w="110" w:type="dxa"/>
              <w:bottom w:w="80" w:type="dxa"/>
              <w:end w:w="110" w:type="dxa"/>
            </w:tcMar>
          </w:tcPr>
          <w:p>
            <w:pPr>
              <w:spacing w:after="0" w:line="274" w:lineRule="auto"/>
            </w:pPr>
            <w:r/>
            <w:r>
              <w:rPr>
                <w:b w:val="0"/>
                <w:i w:val="0"/>
                <w:color w:val="1A1416"/>
                <w:sz w:val="17"/>
                <w:rFonts w:ascii="Calibri" w:hAnsi="Calibri" w:cs="Calibri"/>
              </w:rPr>
              <w:t>4 de 5</w:t>
            </w:r>
          </w:p>
        </w:tc>
        <w:tc>
          <w:tcPr>
            <w:tcW w:type="dxa" w:w="907"/>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1361"/>
            <w:tcMar>
              <w:top w:w="80" w:type="dxa"/>
              <w:start w:w="110" w:type="dxa"/>
              <w:bottom w:w="80" w:type="dxa"/>
              <w:end w:w="110" w:type="dxa"/>
            </w:tcMar>
          </w:tcPr>
          <w:p>
            <w:pPr>
              <w:spacing w:after="0" w:line="274" w:lineRule="auto"/>
            </w:pPr>
            <w:r/>
            <w:r>
              <w:rPr>
                <w:b w:val="0"/>
                <w:i w:val="0"/>
                <w:color w:val="1A1416"/>
                <w:sz w:val="17"/>
                <w:rFonts w:ascii="Calibri" w:hAnsi="Calibri" w:cs="Calibri"/>
              </w:rPr>
              <w:t>baixa</w:t>
            </w:r>
          </w:p>
        </w:tc>
        <w:tc>
          <w:tcPr>
            <w:tcW w:type="dxa" w:w="4082"/>
            <w:tcMar>
              <w:top w:w="80" w:type="dxa"/>
              <w:start w:w="110" w:type="dxa"/>
              <w:bottom w:w="80" w:type="dxa"/>
              <w:end w:w="110" w:type="dxa"/>
            </w:tcMar>
          </w:tcPr>
          <w:p>
            <w:pPr>
              <w:spacing w:after="0" w:line="274" w:lineRule="auto"/>
            </w:pPr>
            <w:r/>
            <w:r>
              <w:rPr>
                <w:b w:val="0"/>
                <w:i w:val="0"/>
                <w:color w:val="1A1416"/>
                <w:sz w:val="17"/>
                <w:rFonts w:ascii="Calibri" w:hAnsi="Calibri" w:cs="Calibri"/>
              </w:rPr>
              <w:t>9 pontos em 4 das 5 dimensões · máximo praticável 12 sob o teto de 3 da regra 5 · média por dimensão pontuada 2,25 · NÃO somável, NÃO normalizável para a escala de 25 do playbook (o denominador de cinco dimensões não existe) e NÃ…</w:t>
            </w:r>
          </w:p>
        </w:tc>
      </w:tr>
      <w:tr>
        <w:tc>
          <w:tcPr>
            <w:tcW w:type="dxa" w:w="1701"/>
            <w:tcMar>
              <w:top w:w="80" w:type="dxa"/>
              <w:start w:w="110" w:type="dxa"/>
              <w:bottom w:w="80" w:type="dxa"/>
              <w:end w:w="110" w:type="dxa"/>
            </w:tcMar>
          </w:tcPr>
          <w:p>
            <w:pPr>
              <w:spacing w:after="0" w:line="274" w:lineRule="auto"/>
            </w:pPr>
            <w:r/>
            <w:r>
              <w:rPr>
                <w:b/>
                <w:i w:val="0"/>
                <w:color w:val="1A1416"/>
                <w:sz w:val="18"/>
                <w:rFonts w:ascii="Calibri" w:hAnsi="Calibri" w:cs="Calibri"/>
              </w:rPr>
              <w:t>Compromisso</w:t>
            </w:r>
          </w:p>
        </w:tc>
        <w:tc>
          <w:tcPr>
            <w:tcW w:type="dxa" w:w="1474"/>
            <w:tcMar>
              <w:top w:w="80" w:type="dxa"/>
              <w:start w:w="110" w:type="dxa"/>
              <w:bottom w:w="80" w:type="dxa"/>
              <w:end w:w="110" w:type="dxa"/>
            </w:tcMar>
          </w:tcPr>
          <w:p>
            <w:pPr>
              <w:spacing w:after="0" w:line="274" w:lineRule="auto"/>
            </w:pPr>
            <w:r/>
            <w:r>
              <w:rPr>
                <w:b w:val="0"/>
                <w:i w:val="0"/>
                <w:color w:val="1A1416"/>
                <w:sz w:val="17"/>
                <w:rFonts w:ascii="Calibri" w:hAnsi="Calibri" w:cs="Calibri"/>
              </w:rPr>
              <w:t>2 de 5</w:t>
            </w:r>
          </w:p>
        </w:tc>
        <w:tc>
          <w:tcPr>
            <w:tcW w:type="dxa" w:w="907"/>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1361"/>
            <w:tcMar>
              <w:top w:w="80" w:type="dxa"/>
              <w:start w:w="110" w:type="dxa"/>
              <w:bottom w:w="80" w:type="dxa"/>
              <w:end w:w="110" w:type="dxa"/>
            </w:tcMar>
          </w:tcPr>
          <w:p>
            <w:pPr>
              <w:spacing w:after="0" w:line="274" w:lineRule="auto"/>
            </w:pPr>
            <w:r/>
            <w:r>
              <w:rPr>
                <w:b w:val="0"/>
                <w:i w:val="0"/>
                <w:color w:val="1A1416"/>
                <w:sz w:val="17"/>
                <w:rFonts w:ascii="Calibri" w:hAnsi="Calibri" w:cs="Calibri"/>
              </w:rPr>
              <w:t>baixa</w:t>
            </w:r>
          </w:p>
        </w:tc>
        <w:tc>
          <w:tcPr>
            <w:tcW w:type="dxa" w:w="4082"/>
            <w:tcMar>
              <w:top w:w="80" w:type="dxa"/>
              <w:start w:w="110" w:type="dxa"/>
              <w:bottom w:w="80" w:type="dxa"/>
              <w:end w:w="110" w:type="dxa"/>
            </w:tcMar>
          </w:tcPr>
          <w:p>
            <w:pPr>
              <w:spacing w:after="0" w:line="274" w:lineRule="auto"/>
            </w:pPr>
            <w:r/>
            <w:r>
              <w:rPr>
                <w:b w:val="0"/>
                <w:i w:val="0"/>
                <w:color w:val="1A1416"/>
                <w:sz w:val="17"/>
                <w:rFonts w:ascii="Calibri" w:hAnsi="Calibri" w:cs="Calibri"/>
              </w:rPr>
              <w:t>4 pontos em 2 das 5 dimensões · máximo praticável 6 sob o teto de 3 da regra 5 · média por dimensão pontuada 2,00 · NÃO somável, NÃO normalizável para a escala de 25 do playbook (o denominador de cinco dimensões não existe) e NÃO…</w:t>
            </w:r>
          </w:p>
        </w:tc>
      </w:tr>
      <w:tr>
        <w:tc>
          <w:tcPr>
            <w:tcW w:type="dxa" w:w="1701"/>
            <w:tcMar>
              <w:top w:w="80" w:type="dxa"/>
              <w:start w:w="110" w:type="dxa"/>
              <w:bottom w:w="80" w:type="dxa"/>
              <w:end w:w="110" w:type="dxa"/>
            </w:tcMar>
          </w:tcPr>
          <w:p>
            <w:pPr>
              <w:spacing w:after="0" w:line="274" w:lineRule="auto"/>
            </w:pPr>
            <w:r/>
            <w:r>
              <w:rPr>
                <w:b/>
                <w:i w:val="0"/>
                <w:color w:val="1A1416"/>
                <w:sz w:val="18"/>
                <w:rFonts w:ascii="Calibri" w:hAnsi="Calibri" w:cs="Calibri"/>
              </w:rPr>
              <w:t>Decisão</w:t>
            </w:r>
          </w:p>
        </w:tc>
        <w:tc>
          <w:tcPr>
            <w:tcW w:type="dxa" w:w="1474"/>
            <w:tcMar>
              <w:top w:w="80" w:type="dxa"/>
              <w:start w:w="110" w:type="dxa"/>
              <w:bottom w:w="80" w:type="dxa"/>
              <w:end w:w="110" w:type="dxa"/>
            </w:tcMar>
          </w:tcPr>
          <w:p>
            <w:pPr>
              <w:spacing w:after="0" w:line="274" w:lineRule="auto"/>
            </w:pPr>
            <w:r/>
            <w:r>
              <w:rPr>
                <w:b w:val="0"/>
                <w:i w:val="0"/>
                <w:color w:val="1A1416"/>
                <w:sz w:val="17"/>
                <w:rFonts w:ascii="Calibri" w:hAnsi="Calibri" w:cs="Calibri"/>
              </w:rPr>
              <w:t>4 de 5</w:t>
            </w:r>
          </w:p>
        </w:tc>
        <w:tc>
          <w:tcPr>
            <w:tcW w:type="dxa" w:w="907"/>
            <w:tcMar>
              <w:top w:w="80" w:type="dxa"/>
              <w:start w:w="110" w:type="dxa"/>
              <w:bottom w:w="80" w:type="dxa"/>
              <w:end w:w="110" w:type="dxa"/>
            </w:tcMar>
          </w:tcPr>
          <w:p>
            <w:pPr>
              <w:spacing w:after="0" w:line="274" w:lineRule="auto"/>
            </w:pPr>
            <w:r/>
            <w:r>
              <w:rPr>
                <w:b w:val="0"/>
                <w:i w:val="0"/>
                <w:color w:val="8F858A"/>
                <w:sz w:val="17"/>
                <w:rFonts w:ascii="Consolas" w:hAnsi="Consolas" w:cs="Consolas"/>
              </w:rPr>
              <w:t>sem dado</w:t>
            </w:r>
          </w:p>
        </w:tc>
        <w:tc>
          <w:tcPr>
            <w:tcW w:type="dxa" w:w="1361"/>
            <w:tcMar>
              <w:top w:w="80" w:type="dxa"/>
              <w:start w:w="110" w:type="dxa"/>
              <w:bottom w:w="80" w:type="dxa"/>
              <w:end w:w="110" w:type="dxa"/>
            </w:tcMar>
          </w:tcPr>
          <w:p>
            <w:pPr>
              <w:spacing w:after="0" w:line="274" w:lineRule="auto"/>
            </w:pPr>
            <w:r/>
            <w:r>
              <w:rPr>
                <w:b w:val="0"/>
                <w:i w:val="0"/>
                <w:color w:val="1A1416"/>
                <w:sz w:val="17"/>
                <w:rFonts w:ascii="Calibri" w:hAnsi="Calibri" w:cs="Calibri"/>
              </w:rPr>
              <w:t>baixa</w:t>
            </w:r>
          </w:p>
        </w:tc>
        <w:tc>
          <w:tcPr>
            <w:tcW w:type="dxa" w:w="4082"/>
            <w:tcMar>
              <w:top w:w="80" w:type="dxa"/>
              <w:start w:w="110" w:type="dxa"/>
              <w:bottom w:w="80" w:type="dxa"/>
              <w:end w:w="110" w:type="dxa"/>
            </w:tcMar>
          </w:tcPr>
          <w:p>
            <w:pPr>
              <w:spacing w:after="0" w:line="274" w:lineRule="auto"/>
            </w:pPr>
            <w:r/>
            <w:r>
              <w:rPr>
                <w:b w:val="0"/>
                <w:i w:val="0"/>
                <w:color w:val="1A1416"/>
                <w:sz w:val="17"/>
                <w:rFonts w:ascii="Calibri" w:hAnsi="Calibri" w:cs="Calibri"/>
              </w:rPr>
              <w:t>8 pontos em 4 das 5 dimensões · máximo praticável 12 sob o teto de 3 da regra 5 · média por dimensão pontuada 2,00 · NÃO somável, NÃO normalizável para a escala de 25 do playbook (o denominador de cinco dimensões não existe) e NÃ…</w:t>
            </w:r>
          </w:p>
        </w:tc>
      </w:tr>
      <w:tr>
        <w:tc>
          <w:tcPr>
            <w:tcW w:type="dxa" w:w="1701"/>
            <w:tcMar>
              <w:top w:w="80" w:type="dxa"/>
              <w:start w:w="110" w:type="dxa"/>
              <w:bottom w:w="80" w:type="dxa"/>
              <w:end w:w="110" w:type="dxa"/>
            </w:tcMar>
          </w:tcPr>
          <w:p>
            <w:pPr>
              <w:spacing w:after="0" w:line="274" w:lineRule="auto"/>
            </w:pPr>
            <w:r/>
            <w:r>
              <w:rPr>
                <w:b/>
                <w:i w:val="0"/>
                <w:color w:val="1A1416"/>
                <w:sz w:val="18"/>
                <w:rFonts w:ascii="Calibri" w:hAnsi="Calibri" w:cs="Calibri"/>
              </w:rPr>
              <w:t>Retenção</w:t>
            </w:r>
          </w:p>
        </w:tc>
        <w:tc>
          <w:tcPr>
            <w:tcW w:type="dxa" w:w="1474"/>
            <w:tcMar>
              <w:top w:w="80" w:type="dxa"/>
              <w:start w:w="110" w:type="dxa"/>
              <w:bottom w:w="80" w:type="dxa"/>
              <w:end w:w="110" w:type="dxa"/>
            </w:tcMar>
          </w:tcPr>
          <w:p>
            <w:pPr>
              <w:spacing w:after="0" w:line="274" w:lineRule="auto"/>
            </w:pPr>
            <w:r/>
            <w:r>
              <w:rPr>
                <w:b w:val="0"/>
                <w:i w:val="0"/>
                <w:color w:val="1A1416"/>
                <w:sz w:val="17"/>
                <w:rFonts w:ascii="Calibri" w:hAnsi="Calibri" w:cs="Calibri"/>
              </w:rPr>
              <w:t>5 de 5</w:t>
            </w:r>
          </w:p>
        </w:tc>
        <w:tc>
          <w:tcPr>
            <w:tcW w:type="dxa" w:w="907"/>
            <w:tcMar>
              <w:top w:w="80" w:type="dxa"/>
              <w:start w:w="110" w:type="dxa"/>
              <w:bottom w:w="80" w:type="dxa"/>
              <w:end w:w="110" w:type="dxa"/>
            </w:tcMar>
          </w:tcPr>
          <w:p>
            <w:pPr>
              <w:spacing w:after="0" w:line="274" w:lineRule="auto"/>
            </w:pPr>
            <w:r/>
            <w:r>
              <w:rPr>
                <w:b w:val="0"/>
                <w:i w:val="0"/>
                <w:color w:val="1A1416"/>
                <w:sz w:val="17"/>
                <w:rFonts w:ascii="Calibri" w:hAnsi="Calibri" w:cs="Calibri"/>
              </w:rPr>
              <w:t>9</w:t>
            </w:r>
          </w:p>
        </w:tc>
        <w:tc>
          <w:tcPr>
            <w:tcW w:type="dxa" w:w="1361"/>
            <w:tcMar>
              <w:top w:w="80" w:type="dxa"/>
              <w:start w:w="110" w:type="dxa"/>
              <w:bottom w:w="80" w:type="dxa"/>
              <w:end w:w="110" w:type="dxa"/>
            </w:tcMar>
          </w:tcPr>
          <w:p>
            <w:pPr>
              <w:spacing w:after="0" w:line="274" w:lineRule="auto"/>
            </w:pPr>
            <w:r/>
            <w:r>
              <w:rPr>
                <w:b w:val="0"/>
                <w:i w:val="0"/>
                <w:color w:val="1A1416"/>
                <w:sz w:val="17"/>
                <w:rFonts w:ascii="Calibri" w:hAnsi="Calibri" w:cs="Calibri"/>
              </w:rPr>
              <w:t>baixa</w:t>
            </w:r>
          </w:p>
        </w:tc>
        <w:tc>
          <w:tcPr>
            <w:tcW w:type="dxa" w:w="4082"/>
            <w:tcMar>
              <w:top w:w="80" w:type="dxa"/>
              <w:start w:w="110" w:type="dxa"/>
              <w:bottom w:w="80" w:type="dxa"/>
              <w:end w:w="110" w:type="dxa"/>
            </w:tcMar>
          </w:tcPr>
          <w:p>
            <w:pPr>
              <w:spacing w:after="0" w:line="274" w:lineRule="auto"/>
            </w:pPr>
            <w:r/>
            <w:r>
              <w:rPr>
                <w:b w:val="0"/>
                <w:i w:val="0"/>
                <w:color w:val="1A1416"/>
                <w:sz w:val="17"/>
                <w:rFonts w:ascii="Calibri" w:hAnsi="Calibri" w:cs="Calibri"/>
              </w:rPr>
              <w:t>5 de 5 dimensões pontuadas · soma bruta 9 · máximo praticável 15 (5 dimensões × teto de 3 da regra 5), NÃO 25 · equivalente normalizado à escala do playbook: 15,0 de 25 [E], faixa 11–15 (Frágil. Vazamento relevante) · o número 'd…</w:t>
            </w:r>
          </w:p>
        </w:tc>
      </w:tr>
    </w:tbl>
    <w:p>
      <w:pPr>
        <w:spacing w:before="0" w:after="40" w:line="283" w:lineRule="auto"/>
      </w:pPr>
    </w:p>
    <w:p>
      <w:pPr>
        <w:spacing w:before="280" w:after="40"/>
      </w:pPr>
      <w:r>
        <w:rPr>
          <w:b/>
          <w:i w:val="0"/>
          <w:color w:val="1A1416"/>
          <w:sz w:val="23"/>
          <w:rFonts w:ascii="Calibri" w:hAnsi="Calibri" w:cs="Calibri"/>
        </w:rPr>
        <w:t>Gate de consolidação causal</w:t>
      </w:r>
    </w:p>
    <w:tbl>
      <w:tblPr>
        <w:tblW w:type="auto" w:w="0"/>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9858"/>
      </w:tblGrid>
      <w:tr>
        <w:tc>
          <w:tcPr>
            <w:tcW w:type="dxa" w:w="9858"/>
            <w:shd w:val="clear" w:color="auto" w:fill="FBEFF0"/>
            <w:tcMar>
              <w:top w:w="140" w:type="dxa"/>
              <w:start w:w="170" w:type="dxa"/>
              <w:bottom w:w="140" w:type="dxa"/>
              <w:end w:w="170" w:type="dxa"/>
            </w:tcMar>
          </w:tcPr>
          <w:p>
            <w:pPr>
              <w:spacing w:after="60"/>
            </w:pPr>
            <w:r/>
            <w:r>
              <w:rPr>
                <w:b/>
                <w:i w:val="0"/>
                <w:color w:val="7A0010"/>
                <w:sz w:val="16"/>
                <w:rFonts w:ascii="Calibri" w:hAnsi="Calibri" w:cs="Calibri"/>
              </w:rPr>
              <w:t>A CONSOLIDAÇÃO CAUSAL NÃO PODE RODAR HOJE</w:t>
            </w:r>
          </w:p>
          <w:p>
            <w:pPr>
              <w:spacing w:after="0" w:line="283" w:lineRule="auto"/>
            </w:pPr>
            <w:r>
              <w:rPr>
                <w:b w:val="0"/>
                <w:i w:val="0"/>
                <w:color w:val="1A1416"/>
                <w:sz w:val="19"/>
                <w:rFonts w:ascii="Calibri" w:hAnsi="Calibri" w:cs="Calibri"/>
              </w:rPr>
              <w:t>A CONSOLIDAÇÃO CAUSAL NÃO PODE RODAR HOJE, 04/09/2026. Não é ressalva, não é "rodar com cautela": é bloqueio duro da própria régua do método, e o material de 29/09 precisa dizer isso com essas palavras. A REGRA. .claude/skills/dre-consolidacao-causal/SKILL.md, seção Pré-condições, linha 18: "As 8 travas com score em dados/client.json → travas. Trava sem score bloqueia a consolidacao." Linha 19 acrescenta a segunda pré-condição: "dados/outputs/dre-fluxo-receita.json fechado, com receita derivada batendo com a declarada." Linha 20 acrescenta a terceira: "Se alguma trava esta com confiabilidade: \"baixa\", a consolidacao sai com ressalva explicita — nunca silenciosamente." O ESTADO DE FATO, SEM SUAVIZAR. Em dados/client.json, hoje, as OITO travas estão com score: null e dimensoes: {} — a pré-condição literal falha 8 de 8, porque este dossiê ainda não foi escrito de volta no estado de máquina. E mesmo tomando este dossiê como se já estivesse gravado, SEIS das oito continuam sem score_total: Exposição, Atenção, Interesse, Qualificação, Compromisso e Decisão. Apenas Cegueira (6 bruto · 10,0 de 25 normalizado) e Retenção (9 bruto · 15,0 de 25 normalizado) têm as cinco dimensões pontuadas — e Cegueira, pelo playbook §3 e pela SKILL.md linha 28, é pré-condição e não concorre pela restrição. Sobra UMA trava de receita pontuada de sete. A consolidação que a skill pede — a tabela dos 8 scores (Passo 1), a regra de Goldratt lida de baixo para cima (Passo 2) e o teste de poder explicativo em três critérios (Passo 3) — não tem material para nenhum dos três passos. O QUE FALTA, TRAVA POR TRAVA, PARA CADA UMA SER PONTUÁVEL. 1) DECISÃO — falta 1 dimensão: (B) Tempo médio de decisão. É a que está mais perto de fechar, e é a mais urgente, porque com 8 pontos em 4 dimensões ela é hipótese concorrente viva de Retenção: qualquer nota de 0 a 3 em (B) a coloca entre 8 e 11 brutos. Precisa de: briefing.ciclo_venda_dias, hoje null em dados/client.json; o item A3 do checklist (ticket médio, ciclo de venda e CAC por canal), ⚪ não recebido; e o ciclo aberto por vertical, já que Autos e Imóveis têm modelos de cobrança diferentes (pré × pré/pós). 2) QUALIFICAÇÃO — falta 1 dimensão: (B) Alinhamento ICP vs. leads. Precisa do ICP documentado confrontado com a composição REAL dos leads entregues, o que exige os links dos dashboards de funil B2B e de canal online (lacuna 1 da ata de 28/08, sem…</w:t>
            </w:r>
          </w:p>
        </w:tc>
      </w:tr>
    </w:tbl>
    <w:p>
      <w:pPr>
        <w:spacing w:before="0" w:after="40" w:line="283" w:lineRule="auto"/>
      </w:pPr>
    </w:p>
    <w:p>
      <w:pPr>
        <w:spacing w:before="280" w:after="40"/>
      </w:pPr>
      <w:r>
        <w:rPr>
          <w:b/>
          <w:i w:val="0"/>
          <w:color w:val="1A1416"/>
          <w:sz w:val="23"/>
          <w:rFonts w:ascii="Calibri" w:hAnsi="Calibri" w:cs="Calibri"/>
        </w:rPr>
        <w:t>Candidata a restrição</w:t>
      </w:r>
    </w:p>
    <w:p>
      <w:pPr>
        <w:spacing w:before="0" w:after="120" w:line="283" w:lineRule="auto"/>
      </w:pPr>
      <w:r>
        <w:rPr>
          <w:b w:val="0"/>
          <w:i w:val="0"/>
          <w:color w:val="1A1416"/>
          <w:sz w:val="19"/>
          <w:rFonts w:ascii="Calibri" w:hAnsi="Calibri" w:cs="Calibri"/>
        </w:rPr>
        <w:t>RETENÇÃO, e apenas como HIPÓTESE DE TRABALHO — não como restrição determinada. A versão anterior deste diagnóstico apresentou Retenção como "candidata a restrição" apoiada em três argumentos, e os três caem na conferência com as fontes. O que sobra ainda aponta para Retenção, mas com força muito menor, e o material precisa dizer isso ao Board com essas palavras. O QUE CAIU, ARGUMENTO POR ARGUMENTO. (1) A exclusividade do score. O argumento era "é a única das oito travas com as cinco dimensões pontuadas e, portanto, a única com score somável: 9 de 25, faixa 0–10 — estruturalmente travada". Três defeitos. Primeiro, a exclusividade era artefato de um erro de método: Cegueira ficou sem score porque se afirmou que o playbook não lhe dá dimensões, quando .claude/skills/dre-diagnostico-trava/references/dimensoes-por-trava.md (linhas 10–14) nomeia as cinco e a SKILL.md linha 22 declara esse arquivo canônico. Pontuada, Cegueira dá 6 — MENOS que Retenção. Segundo, a faixa 0–10 não se aplica a um score com teto de 3 aplicado em todas as dimensões: o máximo praticável é 15, e 9/15 normaliza para 15,0/25, que é a faixa 11–15, "Frágil. Vazamento relevante"; a mesma normalização põe Cegueira em 10,0/25, que permanece na faixa 0–10 mas exatamente na borda. Terceiro, e mais grave, "ter score somável" premia quem tem mais dado coletado, não quem está pior. As outras seis travas estão sem score por AUSÊNCIA de evidência, que pelo método é pior e não melhor. Somando as notas efetivamente atribuídas: Compromisso 4 (2 dimensões), Exposição 6 (3), Atenção 6 (3), Interesse 6 (3), Decisão 8 (4), Qualificação 9 (4), Retenção 9 (5), Cegueira 6 (5). Pela única comparação defensável — nota média por dimensão pontuada — Cegueira é 1,2 · Retenção 1,8 · Decisão, Interesse, Atenção, Exposição e Compromisso 2,0 · Qualificação 2,25. Retenção é a mais baixa entre as sete travas de receita nessa leitura, mas por margem estreita e sobre bases não comparáveis. (2) A aritmética da ordenação. O argumento era: "um ponto de churn vale entre +11,1% e +14,3% de receita de regime, enquanto levar o pagamento de 80% para 90% vale +12,5% — um ponto de churn compra mais que dez pontos de conversão de pagamento". A frase se contradiz nos próprios números que cita: 11,1 &lt; 12,5. Conferido em 03-estrategia/meta-do-projeto.md §4.1 e em dados/outputs/meta-do-projeto.json (identidade receita ∝ p_pagamento × p_publicação / churn): p_pagamento 0,80→0,90 = 90/80 = +12,5%; churn 0,09→0,08 = 9/8 = +12,5% — EXATAMENTE IGUAIS no baseline de 9% que a própria V4 escolheu; churn 0,10→0,09 = +11,1%, MENOR. A afirmação s…</w:t>
      </w:r>
    </w:p>
    <w:p>
      <w:pPr>
        <w:spacing w:before="0" w:after="60" w:line="283" w:lineRule="auto"/>
      </w:pPr>
      <w:r>
        <w:rPr>
          <w:b/>
          <w:i w:val="0"/>
          <w:color w:val="1A1416"/>
          <w:sz w:val="19"/>
          <w:rFonts w:ascii="Calibri" w:hAnsi="Calibri" w:cs="Calibri"/>
        </w:rPr>
        <w:t>Por que ainda não é conclusivo</w:t>
      </w:r>
    </w:p>
    <w:p>
      <w:pPr>
        <w:spacing w:before="0" w:after="120" w:line="283" w:lineRule="auto"/>
      </w:pPr>
      <w:r>
        <w:rPr>
          <w:b w:val="0"/>
          <w:i w:val="0"/>
          <w:color w:val="1A1416"/>
          <w:sz w:val="19"/>
          <w:rFonts w:ascii="Calibri" w:hAnsi="Calibri" w:cs="Calibri"/>
        </w:rPr>
        <w:t>SEIS RAZÕES, EM ORDEM DE PESO. PRIMEIRA — nenhuma das travas de receita foi pontuada sobre dado apurado. As seis taxas da jornada (50% · 25%/10% · 80% · 12% · 89% · 8–10%) vêm de um slide capturado de tela numa sessão que a própria OLX enquadrou como educacional e explicitamente NÃO como funil ("não estou trazendo nenhuma visão de funil, uma visão de jornada mesmo do nosso cliente profissional", Carolina Dallolio, 28/08, 00:04:20). Nenhuma tem denominador, volume absoluto, período de apuração ou tempo de passagem; quatro das seis não são separadas por vertical, apesar de Autos e Imóveis terem modelos de anúncio (inserção × slot) e de cobrança (pré × pré/pós) diferentes. O arquivo-fonte do slide de FLUXOS não está versionado (L28) e o original da jornada está no Drive e não foi buscado (L27) — o repositório tem captura de tela. Pelo POP, as seis etapas estão NARRADAS, não mapeadas. O documento-fonte é categórico na seção "Como usar este documento": "Não citar percentual daqui em material de cliente sem a marca [D]. São números de apresentação, não de apuração. O primeiro que cair na verificação derruba a credibilidade dos outros cinco." Esta reescrita marca [D] em cada percentual no ponto de uso, e [E] em cada derivação da V4 — a versão anterior usava as marcas apenas em três frases de parágrafo e nunca no número, o que num material de Board faz cada taxa lida isolada aparentar apuração. SEGUNDA — três premissas do modelo de meta seguem não confirmadas, e a versão anterior sinalizava só duas. (a) A unidade do churn: logo ou receita (ambiguidade 4, aberta); Iuna Scheffler lê o net em receita, e os 8–10% não têm unidade declarada. (b) A base em equilíbrio: meta-do-projeto.md §4.3 declara essa premissa e admite que "em Imóveis ela não está". (c) NOVA, e de tamanho de ordem de grandeza: p_publicação = 88% supõe que os 12% sejam sobre a base total de contratos, e esse denominador NÃO está declarado. A leitura alternativa — 12% dos que saem no primeiro mês — leva p_public…</w:t>
      </w:r>
    </w:p>
    <w:p>
      <w:pPr>
        <w:spacing w:before="280" w:after="40"/>
      </w:pPr>
      <w:r>
        <w:rPr>
          <w:b/>
          <w:i w:val="0"/>
          <w:color w:val="1A1416"/>
          <w:sz w:val="23"/>
          <w:rFonts w:ascii="Calibri" w:hAnsi="Calibri" w:cs="Calibri"/>
        </w:rPr>
        <w:t>Alerta — o denominador da publicação</w:t>
      </w:r>
    </w:p>
    <w:tbl>
      <w:tblPr>
        <w:tblW w:type="auto" w:w="0"/>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9858"/>
      </w:tblGrid>
      <w:tr>
        <w:tc>
          <w:tcPr>
            <w:tcW w:type="dxa" w:w="9858"/>
            <w:shd w:val="clear" w:color="auto" w:fill="FBEFF0"/>
            <w:tcMar>
              <w:top w:w="140" w:type="dxa"/>
              <w:start w:w="170" w:type="dxa"/>
              <w:bottom w:w="140" w:type="dxa"/>
              <w:end w:w="170" w:type="dxa"/>
            </w:tcMar>
          </w:tcPr>
          <w:p>
            <w:pPr>
              <w:spacing w:after="60"/>
            </w:pPr>
            <w:r/>
            <w:r>
              <w:rPr>
                <w:b/>
                <w:i w:val="0"/>
                <w:color w:val="7A0010"/>
                <w:sz w:val="16"/>
                <w:rFonts w:ascii="Calibri" w:hAnsi="Calibri" w:cs="Calibri"/>
              </w:rPr>
              <w:t>AMBIGUIDADE ABERTA QUE ATRAVESSOU O MODELO DE META</w:t>
            </w:r>
          </w:p>
          <w:p>
            <w:pPr>
              <w:spacing w:after="0" w:line="283" w:lineRule="auto"/>
            </w:pPr>
            <w:r>
              <w:rPr>
                <w:b w:val="0"/>
                <w:i w:val="0"/>
                <w:color w:val="1A1416"/>
                <w:sz w:val="19"/>
                <w:rFonts w:ascii="Calibri" w:hAnsi="Calibri" w:cs="Calibri"/>
              </w:rPr>
              <w:t>AMBIGUIDADE ABERTA, NÃO RESOLVIDA. O repositório registra as duas leituras e NÃO escolhe entre elas. O que segue é o alerta, não a decisão. O NÚMERO E ONDE ELE NASCE. 02-diagnostico/jornada-do-cliente-profissional.md, linha 26, etapa 4 (Publicação dos anúncios): "12% dos clientes que saem no primeiro mês vão embora sem publicar" [D] — número de slide apresentado pelo Grupo OLX em 28/08, não de apuração. A ambiguidade está no próprio documento, linha 80, ambiguidade 3: "12% é dos que saem no primeiro mês, ou dos clientes totais? A frase do slide comporta as duas leituras. A diferença é de uma ordem de grandeza no tamanho do vazamento." POR QUE ELA VOLTOU A SER ABERTA. A tabela de atualização do MESMO documento, linha 98, marca a ambiguidade 3 como "Respondida e decomposta". Ela não foi. O que a transcrição de 28/08 entregou foi uma decomposição POR CANAL — até 20% no canal online contra 8–10% em inside e field sales —, e decompor por canal não declara denominador: os 20% e os 8–10% herdam exatamente a mesma ambiguidade dos 12%. Marcar a linha como respondida é o que fez o 88% atravessar o modelo de meta sem exame. A ambiguidade 3 precisa ser REABERTA no documento. A TRANSCRIÇÃO COMPORTA AS DUAS — E OS DOIS NÍVEIS DE REGISTRO DA MESMA SESSÃO SE CONTRADIZEM. A favor do denominador "quem sai": Lu Machim, 00:15:30 (06-reunioes/2026-08-28-jornada-do-cliente-transcricao.md, linha 475): "20% dos caras QUE SAEM no online no primeiro mês não publicam um primeiro anúncio"; Leonardo Costa, linha 469: "você falou dos 12% que saem sem publicar um anúncio", e linha 473: "desses 12%, 80, 90% desses 12% na verdade vem daquele grupo do online". Ambígua e truncada, servindo às duas: Carolina Dallolio, linha 483: "dos clientes que saem do 12% vai embora sem nunca ter sequer publicado"; e linha 597: "ele tá nesses 12% aqui que sequer publicou". A favor do denominador "base de clientes": o RESUMO EXECUTIVO da mesma transcrição, linha 97, lê a passagem ao contrário do que a fala diz — "de 8% a 10% dos CLIENTES de inside e field sales e até 20% dos CLIENTES DO CANAL ONLINE saem no primeiro mês sem publicar um primeiro anúncio". Aqui o denominador é a base de clientes do canal, não os cancelamentos. Resumo e transcrição literal da MESMA sessão, no MESMO arquivo, leem o mesmo número de dois jeitos. Isso é sozinho a prova de que a ambiguidade é real e não pedantismo de analista. AS DUAS LEITURAS, E O TAMANHO DE CADA UMA. LEITURA A — 12% da base total de contratos. p(publicação) = 88%. Vazamento: 12 em cada 100 contratos pagam e nunca publicam. É a leitura adotada, sem registro da…</w:t>
            </w:r>
          </w:p>
        </w:tc>
      </w:tr>
    </w:tbl>
    <w:p>
      <w:pPr>
        <w:spacing w:before="0" w:after="40" w:line="283" w:lineRule="auto"/>
      </w:pPr>
    </w:p>
    <w:p>
      <w:pPr>
        <w:spacing w:before="280" w:after="40"/>
      </w:pPr>
      <w:r>
        <w:rPr>
          <w:b/>
          <w:i w:val="0"/>
          <w:color w:val="1A1416"/>
          <w:sz w:val="23"/>
          <w:rFonts w:ascii="Calibri" w:hAnsi="Calibri" w:cs="Calibri"/>
        </w:rPr>
        <w:t>Trava a trava</w:t>
      </w:r>
    </w:p>
    <w:p>
      <w:pPr>
        <w:spacing w:before="160" w:after="40" w:line="283" w:lineRule="auto"/>
      </w:pPr>
      <w:r>
        <w:rPr>
          <w:b/>
          <w:i w:val="0"/>
          <w:color w:val="7A0010"/>
          <w:sz w:val="21"/>
          <w:rFonts w:ascii="Calibri" w:hAnsi="Calibri" w:cs="Calibri"/>
        </w:rPr>
        <w:t>Cegueira</w:t>
      </w:r>
    </w:p>
    <w:p>
      <w:pPr>
        <w:spacing w:before="0" w:after="80" w:line="283" w:lineRule="auto"/>
      </w:pPr>
      <w:r>
        <w:rPr>
          <w:b w:val="0"/>
          <w:i w:val="0"/>
          <w:color w:val="5E5458"/>
          <w:sz w:val="17"/>
          <w:rFonts w:ascii="Consolas" w:hAnsi="Consolas" w:cs="Consolas"/>
        </w:rPr>
        <w:t>5 de 5 dimensões pontuadas · soma bruta 6 · máximo praticável 15 (5 dimensões × teto de 3 da regra 5), NÃO 25 · equivalente normalizado à escala do playbook: 10,0 de 25 [E], faixa 0–10 (Estruturalmente travada) · o número 'de 25' só pode s…</w:t>
      </w:r>
    </w:p>
    <w:tbl>
      <w:tblPr>
        <w:tblW w:type="auto" w:w="0"/>
        <w:jc w:val="left"/>
        <w:tblLayout w:type="fixed"/>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2464"/>
        <w:gridCol w:w="2464"/>
        <w:gridCol w:w="2464"/>
        <w:gridCol w:w="2464"/>
      </w:tblGrid>
      <w:tr>
        <w:tc>
          <w:tcPr>
            <w:tcW w:type="dxa" w:w="1814"/>
            <w:shd w:val="clear" w:color="auto" w:fill="F4F0F1"/>
            <w:tcMar>
              <w:top w:w="80" w:type="dxa"/>
              <w:start w:w="110" w:type="dxa"/>
              <w:bottom w:w="80" w:type="dxa"/>
              <w:end w:w="110" w:type="dxa"/>
            </w:tcMar>
          </w:tcPr>
          <w:p>
            <w:pPr>
              <w:spacing w:after="0"/>
            </w:pPr>
            <w:r/>
            <w:r>
              <w:rPr>
                <w:b/>
                <w:i w:val="0"/>
                <w:color w:val="8F858A"/>
                <w:sz w:val="16"/>
                <w:rFonts w:ascii="Calibri" w:hAnsi="Calibri" w:cs="Calibri"/>
              </w:rPr>
              <w:t>DIMENSÃO</w:t>
            </w:r>
          </w:p>
        </w:tc>
        <w:tc>
          <w:tcPr>
            <w:tcW w:type="dxa" w:w="680"/>
            <w:shd w:val="clear" w:color="auto" w:fill="F4F0F1"/>
            <w:tcMar>
              <w:top w:w="80" w:type="dxa"/>
              <w:start w:w="110" w:type="dxa"/>
              <w:bottom w:w="80" w:type="dxa"/>
              <w:end w:w="110" w:type="dxa"/>
            </w:tcMar>
          </w:tcPr>
          <w:p>
            <w:pPr>
              <w:spacing w:after="0"/>
            </w:pPr>
            <w:r/>
            <w:r>
              <w:rPr>
                <w:b/>
                <w:i w:val="0"/>
                <w:color w:val="8F858A"/>
                <w:sz w:val="16"/>
                <w:rFonts w:ascii="Calibri" w:hAnsi="Calibri" w:cs="Calibri"/>
              </w:rPr>
              <w:t>NOTA</w:t>
            </w:r>
          </w:p>
        </w:tc>
        <w:tc>
          <w:tcPr>
            <w:tcW w:type="dxa" w:w="1134"/>
            <w:shd w:val="clear" w:color="auto" w:fill="F4F0F1"/>
            <w:tcMar>
              <w:top w:w="80" w:type="dxa"/>
              <w:start w:w="110" w:type="dxa"/>
              <w:bottom w:w="80" w:type="dxa"/>
              <w:end w:w="110" w:type="dxa"/>
            </w:tcMar>
          </w:tcPr>
          <w:p>
            <w:pPr>
              <w:spacing w:after="0"/>
            </w:pPr>
            <w:r/>
            <w:r>
              <w:rPr>
                <w:b/>
                <w:i w:val="0"/>
                <w:color w:val="8F858A"/>
                <w:sz w:val="16"/>
                <w:rFonts w:ascii="Calibri" w:hAnsi="Calibri" w:cs="Calibri"/>
              </w:rPr>
              <w:t>CAMADA</w:t>
            </w:r>
          </w:p>
        </w:tc>
        <w:tc>
          <w:tcPr>
            <w:tcW w:type="dxa" w:w="5896"/>
            <w:shd w:val="clear" w:color="auto" w:fill="F4F0F1"/>
            <w:tcMar>
              <w:top w:w="80" w:type="dxa"/>
              <w:start w:w="110" w:type="dxa"/>
              <w:bottom w:w="80" w:type="dxa"/>
              <w:end w:w="110" w:type="dxa"/>
            </w:tcMar>
          </w:tcPr>
          <w:p>
            <w:pPr>
              <w:spacing w:after="0"/>
            </w:pPr>
            <w:r/>
            <w:r>
              <w:rPr>
                <w:b/>
                <w:i w:val="0"/>
                <w:color w:val="8F858A"/>
                <w:sz w:val="16"/>
                <w:rFonts w:ascii="Calibri" w:hAnsi="Calibri" w:cs="Calibri"/>
              </w:rPr>
              <w:t>EVIDÊNCIA</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(A) Existência de dados básicos (lead, cliente, receita sep…</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A favor, DECLARADO [D]: o dashboard comercial separa MQL, SQL, venda e receita, com filtro por vertical, canal, time e período e processamento diário às 3h (Lu Machim, 28/08, 00:05:42–00:08:59; registrado em lacunas-do-fluxo-de-receita.md L6). Nada dele foi extraído — os links são a lacuna 1 da ata de 28/08. Contra, APURADO por contagem de eventos no GA4 (agosto/2026, auditoria-vii-rastreamento.md): lead_b2b = 0 eventos com a tag 429 montada e ativa (achado 3), e a tag 426 [TAG] GA4 - Purchase dispara no gatilho 215, que escuta begin_checkout (achado 1, conferido no export gtm-kgfgvfc_workspace131.json) — na camada digital,…</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(B) CAC calculado e confiável</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1</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1. Existe um CAC, e ele é médio: UDE 9, 'o CAC é uma média, sem abertura por iniciativa ou frente' — ancorado em [sala SP], 01:41:53, fala da sala de São Paulo NÃO atribuível a pessoa pelo padrão do cabeçalho da própria transcrição. O que sustenta a nota sem depender dela é UDE 7, atribuível: 'não existe leitura por safra, nem LTV, nem CAC por cliente, para orientar a aquisição' — Florence Scappini (Grupo OLX, lidera a frente de receita, ata do kick-off) 01:01:09 e Iuna Scheffler 01:02:48. Somam-se: o investimento de mídia não está no dashboard, é controle à parte de Mirella Mendonça (L9, 00:10:08) e não foi entregue; o item A…</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(C) LTV e payback calculados</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0</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0 — e 0 aqui é evidência de inexistência, não ausência de evidência. UDE 7, declarado por dois nomes do lado da OLX: 'não existe leitura por safra, nem LTV, nem CAC por cliente' (Florence Scappini 01:01:09; Iuna Scheffler 01:02:48). Grep por 'LTV' em todo o repositório retorna a métrica apenas como conceito de método (00-playbook, skills) e como item de checklist — nunca como valor do Grupo OLX. Não há payback em documento nenhum. E os insumos que permitiriam calculá-lo estão null em dados/client.json (ticket_medio, base_ativa) ou em aberto (a unidade do churn — ambiguidade 4 de jornada-do-cliente-profissional.md — segue sem r…</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(D) Fonte única de verdade (CRM/BI) vs. planilhas paralelas</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1</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1. DECLARADO [D]: UDE 11 — 'o dado existe mas não está em harmonia entre as áreas, e não vira análise' (Florence Scappini, 01:00:04 e 01:01:55); e L9, o investimento de mídia é 'outro controle que a gente tem' fora do dashboard (Mirella Mendonça, 00:10:08), que é um controle paralelo declarado pelo cliente. APURADO / leitura de configuração dos exports: a superfície B2B escreve em pelo menos três propriedades do GA4 — G-50C013M2CC (OLX App + Web, 152644854, tier 360), G-6TV9FSHYVM e G-ZBYP2KJ7L9 (achado 19) — enquanto o onboarding apontou uma quarta, GA4 Grupo OLX (503925542), que não recebe de nenhum dos 6 contêineres auditad…</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(E) Cadência de leitura dos indicadores</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A favor, DECLARADO [D]: a receita é a principal métrica de acompanhamento diário (Iuna Scheffler e Matheus Rodrigues, kick-off 01:55:41), e o dashboard processa a base às 3h com histórico padrão de 12 meses (Lu Machim, 00:05:42–00:08:59). Contra, DECLARADO: UDE 11 — o dado 'não vira análise'. Contra, APURADO por contagem de eventos: lead_b2b = 0 em agosto com a tag montada e ativa; ad_remove registrou 157.632 eventos enquanto o gatilho 377 escuta a grafia ads_remove, que deu zero (achado 8); session_start está marcado como evento-chave na propriedade GA4 VivaReal, com 13,27 mi de eventos em agosto. Contra, leitura de config…</w:t>
            </w:r>
          </w:p>
        </w:tc>
      </w:tr>
    </w:tbl>
    <w:p>
      <w:pPr>
        <w:spacing w:before="0" w:after="40" w:line="283" w:lineRule="auto"/>
      </w:pPr>
    </w:p>
    <w:p>
      <w:pPr>
        <w:spacing w:before="0" w:after="60" w:line="283" w:lineRule="auto"/>
      </w:pPr>
      <w:r>
        <w:rPr>
          <w:b w:val="0"/>
          <w:i w:val="0"/>
          <w:color w:val="1A1416"/>
          <w:sz w:val="18"/>
          <w:rFonts w:ascii="Calibri" w:hAnsi="Calibri" w:cs="Calibri"/>
        </w:rPr>
        <w:t>Política implícita: A empresa opera sob a política implícita de que a medição é responsabilidade de quem implementa cada superfície, e não de quem responde pela receita, o que gera 22+ contêineres com convenções próprias, a mesma correção aplicada em um contêiner e não no outro, dois regimes opostos de consentimento e o fluxo B2B escrevendo em pelo menos três propriedades de GA4 sem mapa, limitando a capacidade de derivar qualquer taxa do funil B2B a partir de dado e obrigando as outras sete travas a serem pontuadas sobre declaração.</w:t>
      </w:r>
    </w:p>
    <w:p>
      <w:pPr>
        <w:spacing w:before="0" w:after="80" w:line="283" w:lineRule="auto"/>
      </w:pPr>
      <w:r>
        <w:rPr>
          <w:b w:val="0"/>
          <w:i w:val="0"/>
          <w:color w:val="5E5458"/>
          <w:sz w:val="18"/>
          <w:rFonts w:ascii="Calibri" w:hAnsi="Calibri" w:cs="Calibri"/>
        </w:rPr>
        <w:t>O que falta: Antes de tudo, a entrada visual obrigatória da trava — o Inventário de Indicadores (o que existe, onde vive, quem lê, com que frequência), previsto em dimensoes-por-trava.md e inexistente. Depois: o par de máquina da auditoria (vii), que não existe (dados/outputs/ só tem meta-do-projeto.json), e dados/client.json uma rodada atrás (registra 5 críticos e 12 relevantes quando o .md já traz 22 achados; travas.cegueira.score = null e evidencias = []); a contagem de 93/367 tags pausadas gravada por contêiner no .md e no par de máquina, marcada como apuração própria sobre exports de workspace; a confirmação no Preview do GTM dos achados 5 e 11, que a auditoria pede por escrito; a verificação de se…</w:t>
      </w:r>
    </w:p>
    <w:p>
      <w:pPr>
        <w:spacing w:before="160" w:after="40" w:line="283" w:lineRule="auto"/>
      </w:pPr>
      <w:r>
        <w:rPr>
          <w:b/>
          <w:i w:val="0"/>
          <w:color w:val="7A0010"/>
          <w:sz w:val="21"/>
          <w:rFonts w:ascii="Calibri" w:hAnsi="Calibri" w:cs="Calibri"/>
        </w:rPr>
        <w:t>Exposição</w:t>
      </w:r>
    </w:p>
    <w:p>
      <w:pPr>
        <w:spacing w:before="0" w:after="80" w:line="283" w:lineRule="auto"/>
      </w:pPr>
      <w:r>
        <w:rPr>
          <w:b w:val="0"/>
          <w:i w:val="0"/>
          <w:color w:val="5E5458"/>
          <w:sz w:val="17"/>
          <w:rFonts w:ascii="Consolas" w:hAnsi="Consolas" w:cs="Consolas"/>
        </w:rPr>
        <w:t>6 pontos em 3 das 5 dimensões · máximo praticável 9 sob o teto de 3 da regra 5 · média por dimensão pontuada 2,00 · NÃO somável, NÃO normalizável para a escala de 25 do playbook (o denominador de cinco dimensões não existe) e NÃO comparáve…</w:t>
      </w:r>
    </w:p>
    <w:tbl>
      <w:tblPr>
        <w:tblW w:type="auto" w:w="0"/>
        <w:jc w:val="left"/>
        <w:tblLayout w:type="fixed"/>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2464"/>
        <w:gridCol w:w="2464"/>
        <w:gridCol w:w="2464"/>
        <w:gridCol w:w="2464"/>
      </w:tblGrid>
      <w:tr>
        <w:tc>
          <w:tcPr>
            <w:tcW w:type="dxa" w:w="1814"/>
            <w:shd w:val="clear" w:color="auto" w:fill="F4F0F1"/>
            <w:tcMar>
              <w:top w:w="80" w:type="dxa"/>
              <w:start w:w="110" w:type="dxa"/>
              <w:bottom w:w="80" w:type="dxa"/>
              <w:end w:w="110" w:type="dxa"/>
            </w:tcMar>
          </w:tcPr>
          <w:p>
            <w:pPr>
              <w:spacing w:after="0"/>
            </w:pPr>
            <w:r/>
            <w:r>
              <w:rPr>
                <w:b/>
                <w:i w:val="0"/>
                <w:color w:val="8F858A"/>
                <w:sz w:val="16"/>
                <w:rFonts w:ascii="Calibri" w:hAnsi="Calibri" w:cs="Calibri"/>
              </w:rPr>
              <w:t>DIMENSÃO</w:t>
            </w:r>
          </w:p>
        </w:tc>
        <w:tc>
          <w:tcPr>
            <w:tcW w:type="dxa" w:w="680"/>
            <w:shd w:val="clear" w:color="auto" w:fill="F4F0F1"/>
            <w:tcMar>
              <w:top w:w="80" w:type="dxa"/>
              <w:start w:w="110" w:type="dxa"/>
              <w:bottom w:w="80" w:type="dxa"/>
              <w:end w:w="110" w:type="dxa"/>
            </w:tcMar>
          </w:tcPr>
          <w:p>
            <w:pPr>
              <w:spacing w:after="0"/>
            </w:pPr>
            <w:r/>
            <w:r>
              <w:rPr>
                <w:b/>
                <w:i w:val="0"/>
                <w:color w:val="8F858A"/>
                <w:sz w:val="16"/>
                <w:rFonts w:ascii="Calibri" w:hAnsi="Calibri" w:cs="Calibri"/>
              </w:rPr>
              <w:t>NOTA</w:t>
            </w:r>
          </w:p>
        </w:tc>
        <w:tc>
          <w:tcPr>
            <w:tcW w:type="dxa" w:w="1134"/>
            <w:shd w:val="clear" w:color="auto" w:fill="F4F0F1"/>
            <w:tcMar>
              <w:top w:w="80" w:type="dxa"/>
              <w:start w:w="110" w:type="dxa"/>
              <w:bottom w:w="80" w:type="dxa"/>
              <w:end w:w="110" w:type="dxa"/>
            </w:tcMar>
          </w:tcPr>
          <w:p>
            <w:pPr>
              <w:spacing w:after="0"/>
            </w:pPr>
            <w:r/>
            <w:r>
              <w:rPr>
                <w:b/>
                <w:i w:val="0"/>
                <w:color w:val="8F858A"/>
                <w:sz w:val="16"/>
                <w:rFonts w:ascii="Calibri" w:hAnsi="Calibri" w:cs="Calibri"/>
              </w:rPr>
              <w:t>CAMADA</w:t>
            </w:r>
          </w:p>
        </w:tc>
        <w:tc>
          <w:tcPr>
            <w:tcW w:type="dxa" w:w="5896"/>
            <w:shd w:val="clear" w:color="auto" w:fill="F4F0F1"/>
            <w:tcMar>
              <w:top w:w="80" w:type="dxa"/>
              <w:start w:w="110" w:type="dxa"/>
              <w:bottom w:w="80" w:type="dxa"/>
              <w:end w:w="110" w:type="dxa"/>
            </w:tcMar>
          </w:tcPr>
          <w:p>
            <w:pPr>
              <w:spacing w:after="0"/>
            </w:pPr>
            <w:r/>
            <w:r>
              <w:rPr>
                <w:b/>
                <w:i w:val="0"/>
                <w:color w:val="8F858A"/>
                <w:sz w:val="16"/>
                <w:rFonts w:ascii="Calibri" w:hAnsi="Calibri" w:cs="Calibri"/>
              </w:rPr>
              <w:t>EVIDÊNCIA</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(A) Alcance mensal</w:t>
            </w:r>
          </w:p>
        </w:tc>
        <w:tc>
          <w:tcPr>
            <w:tcW w:type="dxa" w:w="680"/>
            <w:tcMar>
              <w:top w:w="80" w:type="dxa"/>
              <w:start w:w="110" w:type="dxa"/>
              <w:bottom w:w="80" w:type="dxa"/>
              <w:end w:w="110" w:type="dxa"/>
            </w:tcMar>
          </w:tcPr>
          <w:p>
            <w:pPr>
              <w:spacing w:after="0" w:line="274" w:lineRule="auto"/>
            </w:pPr>
            <w:r/>
            <w:r>
              <w:rPr>
                <w:b w:val="0"/>
                <w:i w:val="0"/>
                <w:color w:val="8F858A"/>
                <w:sz w:val="17"/>
                <w:rFonts w:ascii="Consolas" w:hAnsi="Consolas" w:cs="Consolas"/>
              </w:rPr>
              <w:t>—</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Sem nota. Não existe alcance B2B mensurado, e a leitura anterior superdimensionava o que existe. CORREÇÃO: a propriedade GA4 Grupo OLX (503925542) registrou 2,47 mi de sessões em jun–ago/2026, das quais 87% (2.146.626) vêm de lp.olx.com.br, um farm de landing pages — dado da tabela C1 de checklist-dados-e-acessos.md. Os domínios do recorte B2B somam ~405 mil sessões (ads.grupoolx.com.br 168.238 · vender.olx.com.br 165.796 · grupoolx.com.br+www 34.069 · imoveis.grupoolx.com.br 23.373 · autos.grupoolx.com.br 13.963), cerca de 16% da propriedade. Atribuir 2,47 mi aos domínios B2B, como a versão anterior fez, entrega um volume seis vez…</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(B) Frequência e consistência</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UDE 10, Florence Scappini (Grupo OLX), kick-off 00:39:13: 'quando a verba de mídia acaba, a aquisição para' [D] — descrição de exposição intermitente feita por quem lidera a frente de receita. A série do V4MOS existe (655 registros, 16/05/2025 a 22/06/2026) e permitiria testar continuidade, mas nunca foi lida nesse corte, termina há mais de dois meses e o retorno bruto não está versionado (dados/cache/ vazia). Escolhi 2 e não 3 porque a intermitência está declarada e não há série de investimento mensal para contrapor: o controle de investimento por canal está fora do dashboard, com Mirella Mendonça (L9), e o item G2 do chec…</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(C) Share of voice vs. concorrentes</w:t>
            </w:r>
          </w:p>
        </w:tc>
        <w:tc>
          <w:tcPr>
            <w:tcW w:type="dxa" w:w="680"/>
            <w:tcMar>
              <w:top w:w="80" w:type="dxa"/>
              <w:start w:w="110" w:type="dxa"/>
              <w:bottom w:w="80" w:type="dxa"/>
              <w:end w:w="110" w:type="dxa"/>
            </w:tcMar>
          </w:tcPr>
          <w:p>
            <w:pPr>
              <w:spacing w:after="0" w:line="274" w:lineRule="auto"/>
            </w:pPr>
            <w:r/>
            <w:r>
              <w:rPr>
                <w:b w:val="0"/>
                <w:i w:val="0"/>
                <w:color w:val="8F858A"/>
                <w:sz w:val="17"/>
                <w:rFonts w:ascii="Consolas" w:hAnsi="Consolas" w:cs="Consolas"/>
              </w:rPr>
              <w:t>—</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Sem nota. Os concorrentes estão nomeados — Webmotors em autos, Chaves na Mão em imóveis, e Meta e Google diretamente, com o mercado descrito pelo cliente como 'rouba-monte' e clientes pequenos migrando verba para Meta e Google, o que o próprio cliente classificou como ponto cego de rastreamento (item 05-10 da conferência do kick-off). Mas não há uma única medida de participação, e o Mapa de Exposição Competitiva (cliente vs. 2+ concorrentes por canal), entrada visual obrigatória da trava, não existe. Nomear concorrente não é medir share of voice. Null.</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(D) Diversidade de canais</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 REBAIXADA de 3. O que está apurado nos exports de GTM prova INSTRUMENTAÇÃO, não operação de canal: Google Ads em pelo menos quatro IDs de conversão (AW-10947843670, contas 963385983, 791128603 e 10779204119), cinco pixels distintos do Meta (592658194155317, 818079879779548, 935989184453347, 328237602412769, 191084528414847), Floodlight (advertiser 14127847) e TikTok (CO25OBRC77U47AMPJES0), além de LPs Unbounce, RD Station, Insider e Braze. Pixel instalado não é canal operando, e o próprio texto da versão anterior admitia isso enquanto mantinha a nota 3 — que na escala da SKILL.md linha 58 significa 'processo definido mas n…</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(E) Regularidade estratégica</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Três evidências declaradas [D], todas atribuíveis: a aquisição é guiada por preço e oferta, não por segmento, região ou valor do cliente (UDE 8, Iuna Scheffler 01:02:48); a jornada de aquisição só ficou desenhada depois de um workshop interno (UDE 14, Florence Scappini 00:38:08); e o maior componente da entrada — 50% [D] vindo de prospecção comercial — sequer aparece no diagrama de canais que o próprio cliente apresentou (L1, Carolina Dallolio 00:05:42). Registre-se que esse 50% tem divergência não resolvida de denominador: o slide diz '50% da receita', a fala diz '50% da base' (ambiguidade 5 de jornada-do-cliente-profissio…</w:t>
            </w:r>
          </w:p>
        </w:tc>
      </w:tr>
    </w:tbl>
    <w:p>
      <w:pPr>
        <w:spacing w:before="0" w:after="40" w:line="283" w:lineRule="auto"/>
      </w:pPr>
    </w:p>
    <w:p>
      <w:pPr>
        <w:spacing w:before="0" w:after="80" w:line="283" w:lineRule="auto"/>
      </w:pPr>
      <w:r>
        <w:rPr>
          <w:b w:val="0"/>
          <w:i w:val="0"/>
          <w:color w:val="5E5458"/>
          <w:sz w:val="18"/>
          <w:rFonts w:ascii="Calibri" w:hAnsi="Calibri" w:cs="Calibri"/>
        </w:rPr>
        <w:t>O que falta: As duas contas de Meta Ads pedidas em 21/08 e nunca aprovadas (612188193108418 VR ZAP+ e 1742214902479721 OLX Autos B2B) — o V4MOS devolve data vazio nos seis endpoints do Facebook e o teste de sanidade da autenticação passou (secret inválido devolve 401, organizationId inexistente devolve 403), logo o vazio é acesso não concedido, não falha técnica; as contas de Google Ads que aparecem no código do próprio site e não estão na MCC liberada (963385983, 791128603, 10779204119) — o pedido é por estes IDs, não por acesso genérico; a lista de subcontas da MCC 526-656-0190 (item 4.1 da coleta pendente), que fecharia sozinha a pendência 12; a relação completa das contas de Google Ads do grupo com …</w:t>
      </w:r>
    </w:p>
    <w:p>
      <w:pPr>
        <w:spacing w:before="160" w:after="40" w:line="283" w:lineRule="auto"/>
      </w:pPr>
      <w:r>
        <w:rPr>
          <w:b/>
          <w:i w:val="0"/>
          <w:color w:val="7A0010"/>
          <w:sz w:val="21"/>
          <w:rFonts w:ascii="Calibri" w:hAnsi="Calibri" w:cs="Calibri"/>
        </w:rPr>
        <w:t>Atenção</w:t>
      </w:r>
    </w:p>
    <w:p>
      <w:pPr>
        <w:spacing w:before="0" w:after="80" w:line="283" w:lineRule="auto"/>
      </w:pPr>
      <w:r>
        <w:rPr>
          <w:b w:val="0"/>
          <w:i w:val="0"/>
          <w:color w:val="5E5458"/>
          <w:sz w:val="17"/>
          <w:rFonts w:ascii="Consolas" w:hAnsi="Consolas" w:cs="Consolas"/>
        </w:rPr>
        <w:t>6 pontos em 3 das 5 dimensões · máximo praticável 9 sob o teto de 3 da regra 5 · média por dimensão pontuada 2,00 · NÃO somável, NÃO normalizável para a escala de 25 do playbook (o denominador de cinco dimensões não existe) e NÃO comparáve…</w:t>
      </w:r>
    </w:p>
    <w:tbl>
      <w:tblPr>
        <w:tblW w:type="auto" w:w="0"/>
        <w:jc w:val="left"/>
        <w:tblLayout w:type="fixed"/>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2464"/>
        <w:gridCol w:w="2464"/>
        <w:gridCol w:w="2464"/>
        <w:gridCol w:w="2464"/>
      </w:tblGrid>
      <w:tr>
        <w:tc>
          <w:tcPr>
            <w:tcW w:type="dxa" w:w="1814"/>
            <w:shd w:val="clear" w:color="auto" w:fill="F4F0F1"/>
            <w:tcMar>
              <w:top w:w="80" w:type="dxa"/>
              <w:start w:w="110" w:type="dxa"/>
              <w:bottom w:w="80" w:type="dxa"/>
              <w:end w:w="110" w:type="dxa"/>
            </w:tcMar>
          </w:tcPr>
          <w:p>
            <w:pPr>
              <w:spacing w:after="0"/>
            </w:pPr>
            <w:r/>
            <w:r>
              <w:rPr>
                <w:b/>
                <w:i w:val="0"/>
                <w:color w:val="8F858A"/>
                <w:sz w:val="16"/>
                <w:rFonts w:ascii="Calibri" w:hAnsi="Calibri" w:cs="Calibri"/>
              </w:rPr>
              <w:t>DIMENSÃO</w:t>
            </w:r>
          </w:p>
        </w:tc>
        <w:tc>
          <w:tcPr>
            <w:tcW w:type="dxa" w:w="680"/>
            <w:shd w:val="clear" w:color="auto" w:fill="F4F0F1"/>
            <w:tcMar>
              <w:top w:w="80" w:type="dxa"/>
              <w:start w:w="110" w:type="dxa"/>
              <w:bottom w:w="80" w:type="dxa"/>
              <w:end w:w="110" w:type="dxa"/>
            </w:tcMar>
          </w:tcPr>
          <w:p>
            <w:pPr>
              <w:spacing w:after="0"/>
            </w:pPr>
            <w:r/>
            <w:r>
              <w:rPr>
                <w:b/>
                <w:i w:val="0"/>
                <w:color w:val="8F858A"/>
                <w:sz w:val="16"/>
                <w:rFonts w:ascii="Calibri" w:hAnsi="Calibri" w:cs="Calibri"/>
              </w:rPr>
              <w:t>NOTA</w:t>
            </w:r>
          </w:p>
        </w:tc>
        <w:tc>
          <w:tcPr>
            <w:tcW w:type="dxa" w:w="1134"/>
            <w:shd w:val="clear" w:color="auto" w:fill="F4F0F1"/>
            <w:tcMar>
              <w:top w:w="80" w:type="dxa"/>
              <w:start w:w="110" w:type="dxa"/>
              <w:bottom w:w="80" w:type="dxa"/>
              <w:end w:w="110" w:type="dxa"/>
            </w:tcMar>
          </w:tcPr>
          <w:p>
            <w:pPr>
              <w:spacing w:after="0"/>
            </w:pPr>
            <w:r/>
            <w:r>
              <w:rPr>
                <w:b/>
                <w:i w:val="0"/>
                <w:color w:val="8F858A"/>
                <w:sz w:val="16"/>
                <w:rFonts w:ascii="Calibri" w:hAnsi="Calibri" w:cs="Calibri"/>
              </w:rPr>
              <w:t>CAMADA</w:t>
            </w:r>
          </w:p>
        </w:tc>
        <w:tc>
          <w:tcPr>
            <w:tcW w:type="dxa" w:w="5896"/>
            <w:shd w:val="clear" w:color="auto" w:fill="F4F0F1"/>
            <w:tcMar>
              <w:top w:w="80" w:type="dxa"/>
              <w:start w:w="110" w:type="dxa"/>
              <w:bottom w:w="80" w:type="dxa"/>
              <w:end w:w="110" w:type="dxa"/>
            </w:tcMar>
          </w:tcPr>
          <w:p>
            <w:pPr>
              <w:spacing w:after="0"/>
            </w:pPr>
            <w:r/>
            <w:r>
              <w:rPr>
                <w:b/>
                <w:i w:val="0"/>
                <w:color w:val="8F858A"/>
                <w:sz w:val="16"/>
                <w:rFonts w:ascii="Calibri" w:hAnsi="Calibri" w:cs="Calibri"/>
              </w:rPr>
              <w:t>EVIDÊNCIA</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(A) CTR / resposta inicial</w:t>
            </w:r>
          </w:p>
        </w:tc>
        <w:tc>
          <w:tcPr>
            <w:tcW w:type="dxa" w:w="680"/>
            <w:tcMar>
              <w:top w:w="80" w:type="dxa"/>
              <w:start w:w="110" w:type="dxa"/>
              <w:bottom w:w="80" w:type="dxa"/>
              <w:end w:w="110" w:type="dxa"/>
            </w:tcMar>
          </w:tcPr>
          <w:p>
            <w:pPr>
              <w:spacing w:after="0" w:line="274" w:lineRule="auto"/>
            </w:pPr>
            <w:r/>
            <w:r>
              <w:rPr>
                <w:b w:val="0"/>
                <w:i w:val="0"/>
                <w:color w:val="8F858A"/>
                <w:sz w:val="17"/>
                <w:rFonts w:ascii="Consolas" w:hAnsi="Consolas" w:cs="Consolas"/>
              </w:rPr>
              <w:t>—</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Sem nota. Não há um único CTR no repositório — grep por CPC, CPM, CPA, CPL, CTR, ROAS, impressões e alcance em .md e .json retorna essas métricas apenas como conceito de método, nunca como valor do Grupo OLX. O V4MOS expõe seis endpoints e só seis; o lado Meta, que entregaria CTR e CPC por anúncio, devolve zero registros nos três endpoints porque as duas contas nunca foram aprovadas; do lado Google há contagem agregada de campanha (655 registros) e os cortes de keywords e gender existem em client.json apenas como '&gt;0', nunca quantificados. Não há endpoint de conversão, receita ou CPA em nenhum dos dois lados. A auditoria (iv) Criat…</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(B) Diferenciação</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Evidência declarada [D] de diferenciação contestada, registrada no item 05-10 da conferência do kick-off: os concorrentes incluem Meta e Google diretamente, o mercado é descrito pelo cliente como 'rouba-monte', e clientes pequenos migram verba para Meta e Google — movimento que o próprio cliente classificou como ponto cego de rastreamento. Escolhi 2 e não 3 porque não há uma única peça auditada e o Painel Comparativo de Atenção (headline, promessa, visual, gatilho — cliente vs. concorrentes), entrada visual obrigatória da trava, não existe. A nota descreve fragilidade declarada, não medida.</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(C) Clareza da promessa</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A promessa é clara no que vende e silenciosa no que o comprador quer. Item 05-11 da conferência: 'o que se comunica é visibilidade e inserção, sem garantia de performance', com a frase 'a gente deveria blindar essa aquisição e a gente não garante' registrada sob o rótulo [sala SP] — fala da sala presencial NÃO atribuível a pessoa, pelo padrão declarado no cabeçalho da transcrição do kick-off, e por isso citada aqui com peso reduzido. O que sustenta a nota com autoria confirmada é o UDE 2: a formulação é de Dener Lippert (V4) — 'o cara que compra um pacote de leads aqui, ele não compra um pacote de leads, ele compra um inven…</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(D) Força de interrupção</w:t>
            </w:r>
          </w:p>
        </w:tc>
        <w:tc>
          <w:tcPr>
            <w:tcW w:type="dxa" w:w="680"/>
            <w:tcMar>
              <w:top w:w="80" w:type="dxa"/>
              <w:start w:w="110" w:type="dxa"/>
              <w:bottom w:w="80" w:type="dxa"/>
              <w:end w:w="110" w:type="dxa"/>
            </w:tcMar>
          </w:tcPr>
          <w:p>
            <w:pPr>
              <w:spacing w:after="0" w:line="274" w:lineRule="auto"/>
            </w:pPr>
            <w:r/>
            <w:r>
              <w:rPr>
                <w:b w:val="0"/>
                <w:i w:val="0"/>
                <w:color w:val="8F858A"/>
                <w:sz w:val="17"/>
                <w:rFonts w:ascii="Consolas" w:hAnsi="Consolas" w:cs="Consolas"/>
              </w:rPr>
              <w:t>—</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Sem nota. Nenhum criativo, headline, vídeo ou tempo médio de visualização com dado no repositório. O que existe são 8 peças de uma única campanha (Mês do Corretor 2026), sem período de veiculação registrado, sem canal, sem verba e sem nenhuma métrica de performance por criativo; os briefings (item E3) não vieram, então nem se sabe se V1, V2 e V3 eram teste de mensagem deliberado ou três entregas soltas; e o brandbook e a messaging house (item E2) não foram recebidos. Nada a pontuar. Null.</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(E) Competitividade</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O cliente descreveu a deterioração competitiva com data e mecanismo: '[esse ano] a gente aumentou muito o preço... a gente foi mexendo no preço dele e ele foi tendo a perda de performance pelo cenário mais competitivo. Então ele foi vendo que vocês estão aumentando o meu preço e a performance minha está caindo' (01:20:27–01:21:24, base do UDE 3). RESSALVA DE ATRIBUIÇÃO: a fala está sob o rótulo [sala SP], que é o nome do EQUIPAMENTO da sala de São Paulo e não de uma pessoa — sob ele se misturam Florence Scappini, o time da V4 e quem estava presencialmente. O conteúdo é enunciado da posição da OLX ('a gente aumentou o preço'…</w:t>
            </w:r>
          </w:p>
        </w:tc>
      </w:tr>
    </w:tbl>
    <w:p>
      <w:pPr>
        <w:spacing w:before="0" w:after="40" w:line="283" w:lineRule="auto"/>
      </w:pPr>
    </w:p>
    <w:p>
      <w:pPr>
        <w:spacing w:before="0" w:after="80" w:line="283" w:lineRule="auto"/>
      </w:pPr>
      <w:r>
        <w:rPr>
          <w:b w:val="0"/>
          <w:i w:val="0"/>
          <w:color w:val="5E5458"/>
          <w:sz w:val="18"/>
          <w:rFonts w:ascii="Calibri" w:hAnsi="Calibri" w:cs="Calibri"/>
        </w:rPr>
        <w:t>O que falta: CTR e CPC por anúncio, que dependem da aprovação das duas contas de Meta e da leitura efetiva do lado Google do V4MOS; o acervo de peças, o racional e os briefings de campanha da auditoria (iv), hoje com 8 peças de uma campanha e nenhum dado de veiculação; o brandbook e a messaging house (E2); o Painel Comparativo de Atenção contra Webmotors, Chaves na Mão e — o caso mais interessante — contra Meta e Google, que são simultaneamente canal e concorrente; o acesso ao Meta Business Suite e à Biblioteca de Anúncios; a confirmação do nome da consultoria de pricing antes de a fala de 01:20:27 entrar em qualquer material; e a identificação nominal do falante de 01:20:27 e de 05-11, hoje sob o rótul…</w:t>
      </w:r>
    </w:p>
    <w:p>
      <w:pPr>
        <w:spacing w:before="160" w:after="40" w:line="283" w:lineRule="auto"/>
      </w:pPr>
      <w:r>
        <w:rPr>
          <w:b/>
          <w:i w:val="0"/>
          <w:color w:val="7A0010"/>
          <w:sz w:val="21"/>
          <w:rFonts w:ascii="Calibri" w:hAnsi="Calibri" w:cs="Calibri"/>
        </w:rPr>
        <w:t>Interesse</w:t>
      </w:r>
    </w:p>
    <w:p>
      <w:pPr>
        <w:spacing w:before="0" w:after="80" w:line="283" w:lineRule="auto"/>
      </w:pPr>
      <w:r>
        <w:rPr>
          <w:b w:val="0"/>
          <w:i w:val="0"/>
          <w:color w:val="5E5458"/>
          <w:sz w:val="17"/>
          <w:rFonts w:ascii="Consolas" w:hAnsi="Consolas" w:cs="Consolas"/>
        </w:rPr>
        <w:t>6 pontos em 3 das 5 dimensões · máximo praticável 9 sob o teto de 3 da regra 5 · média por dimensão pontuada 2,00 · NÃO somável, NÃO normalizável para a escala de 25 do playbook (o denominador de cinco dimensões não existe) e NÃO comparáve…</w:t>
      </w:r>
    </w:p>
    <w:tbl>
      <w:tblPr>
        <w:tblW w:type="auto" w:w="0"/>
        <w:jc w:val="left"/>
        <w:tblLayout w:type="fixed"/>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2464"/>
        <w:gridCol w:w="2464"/>
        <w:gridCol w:w="2464"/>
        <w:gridCol w:w="2464"/>
      </w:tblGrid>
      <w:tr>
        <w:tc>
          <w:tcPr>
            <w:tcW w:type="dxa" w:w="1814"/>
            <w:shd w:val="clear" w:color="auto" w:fill="F4F0F1"/>
            <w:tcMar>
              <w:top w:w="80" w:type="dxa"/>
              <w:start w:w="110" w:type="dxa"/>
              <w:bottom w:w="80" w:type="dxa"/>
              <w:end w:w="110" w:type="dxa"/>
            </w:tcMar>
          </w:tcPr>
          <w:p>
            <w:pPr>
              <w:spacing w:after="0"/>
            </w:pPr>
            <w:r/>
            <w:r>
              <w:rPr>
                <w:b/>
                <w:i w:val="0"/>
                <w:color w:val="8F858A"/>
                <w:sz w:val="16"/>
                <w:rFonts w:ascii="Calibri" w:hAnsi="Calibri" w:cs="Calibri"/>
              </w:rPr>
              <w:t>DIMENSÃO</w:t>
            </w:r>
          </w:p>
        </w:tc>
        <w:tc>
          <w:tcPr>
            <w:tcW w:type="dxa" w:w="680"/>
            <w:shd w:val="clear" w:color="auto" w:fill="F4F0F1"/>
            <w:tcMar>
              <w:top w:w="80" w:type="dxa"/>
              <w:start w:w="110" w:type="dxa"/>
              <w:bottom w:w="80" w:type="dxa"/>
              <w:end w:w="110" w:type="dxa"/>
            </w:tcMar>
          </w:tcPr>
          <w:p>
            <w:pPr>
              <w:spacing w:after="0"/>
            </w:pPr>
            <w:r/>
            <w:r>
              <w:rPr>
                <w:b/>
                <w:i w:val="0"/>
                <w:color w:val="8F858A"/>
                <w:sz w:val="16"/>
                <w:rFonts w:ascii="Calibri" w:hAnsi="Calibri" w:cs="Calibri"/>
              </w:rPr>
              <w:t>NOTA</w:t>
            </w:r>
          </w:p>
        </w:tc>
        <w:tc>
          <w:tcPr>
            <w:tcW w:type="dxa" w:w="1134"/>
            <w:shd w:val="clear" w:color="auto" w:fill="F4F0F1"/>
            <w:tcMar>
              <w:top w:w="80" w:type="dxa"/>
              <w:start w:w="110" w:type="dxa"/>
              <w:bottom w:w="80" w:type="dxa"/>
              <w:end w:w="110" w:type="dxa"/>
            </w:tcMar>
          </w:tcPr>
          <w:p>
            <w:pPr>
              <w:spacing w:after="0"/>
            </w:pPr>
            <w:r/>
            <w:r>
              <w:rPr>
                <w:b/>
                <w:i w:val="0"/>
                <w:color w:val="8F858A"/>
                <w:sz w:val="16"/>
                <w:rFonts w:ascii="Calibri" w:hAnsi="Calibri" w:cs="Calibri"/>
              </w:rPr>
              <w:t>CAMADA</w:t>
            </w:r>
          </w:p>
        </w:tc>
        <w:tc>
          <w:tcPr>
            <w:tcW w:type="dxa" w:w="5896"/>
            <w:shd w:val="clear" w:color="auto" w:fill="F4F0F1"/>
            <w:tcMar>
              <w:top w:w="80" w:type="dxa"/>
              <w:start w:w="110" w:type="dxa"/>
              <w:bottom w:w="80" w:type="dxa"/>
              <w:end w:w="110" w:type="dxa"/>
            </w:tcMar>
          </w:tcPr>
          <w:p>
            <w:pPr>
              <w:spacing w:after="0"/>
            </w:pPr>
            <w:r/>
            <w:r>
              <w:rPr>
                <w:b/>
                <w:i w:val="0"/>
                <w:color w:val="8F858A"/>
                <w:sz w:val="16"/>
                <w:rFonts w:ascii="Calibri" w:hAnsi="Calibri" w:cs="Calibri"/>
              </w:rPr>
              <w:t>EVIDÊNCIA</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(A) Tempo de permanência</w:t>
            </w:r>
          </w:p>
        </w:tc>
        <w:tc>
          <w:tcPr>
            <w:tcW w:type="dxa" w:w="680"/>
            <w:tcMar>
              <w:top w:w="80" w:type="dxa"/>
              <w:start w:w="110" w:type="dxa"/>
              <w:bottom w:w="80" w:type="dxa"/>
              <w:end w:w="110" w:type="dxa"/>
            </w:tcMar>
          </w:tcPr>
          <w:p>
            <w:pPr>
              <w:spacing w:after="0" w:line="274" w:lineRule="auto"/>
            </w:pPr>
            <w:r/>
            <w:r>
              <w:rPr>
                <w:b w:val="0"/>
                <w:i w:val="0"/>
                <w:color w:val="8F858A"/>
                <w:sz w:val="17"/>
                <w:rFonts w:ascii="Consolas" w:hAnsi="Consolas" w:cs="Consolas"/>
              </w:rPr>
              <w:t>—</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Sem nota — e a ausência é consequência de defeito de instrumentação, não de falta de pedido. Achado 11: em GTM-KGFGVFC a tag 339 [TAG] GA4 - Pageview dispara com tagFiringOption ONCE_PER_LOAD num ambiente cujos seletores apontam para #root (React, single-page app), conferido no export (firingTriggerId ['425','2147479553']); em SPA isso mede a primeira tela e ignora a navegação seguinte, deixando invisível o percurso interno da contratação de plano. RESSALVA que a versão anterior omitia: a auditoria classifica o achado 11 como leitura de configuração e pede confirmação no Preview do GTM antes de afirmar em comitê (ressalva 1), e ess…</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(B) Estrutura narrativa</w:t>
            </w:r>
          </w:p>
        </w:tc>
        <w:tc>
          <w:tcPr>
            <w:tcW w:type="dxa" w:w="680"/>
            <w:tcMar>
              <w:top w:w="80" w:type="dxa"/>
              <w:start w:w="110" w:type="dxa"/>
              <w:bottom w:w="80" w:type="dxa"/>
              <w:end w:w="110" w:type="dxa"/>
            </w:tcMar>
          </w:tcPr>
          <w:p>
            <w:pPr>
              <w:spacing w:after="0" w:line="274" w:lineRule="auto"/>
            </w:pPr>
            <w:r/>
            <w:r>
              <w:rPr>
                <w:b w:val="0"/>
                <w:i w:val="0"/>
                <w:color w:val="8F858A"/>
                <w:sz w:val="17"/>
                <w:rFonts w:ascii="Consolas" w:hAnsi="Consolas" w:cs="Consolas"/>
              </w:rPr>
              <w:t>—</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Sem nota. Nenhuma peça, LP ou fluxo de conteúdo foi auditado. As auditorias que informariam — (ii) Ambientes CRO/SEO e (viii) Páginas de Captura — não rodaram; a OLX nunca entregou as URLs oficiais das LPs e fluxos ativos (item I1), e o que existe é reconstrução da V4 a partir de 17 subdomínios da zona Unbounce mais os domínios com tráfego no GA4; a taxa de conversão por página e por etapa (item I2) está ⚪ com zero dado. O Mapa de Profundidade de Interesse por etapa da jornada, entrada visual obrigatória, não existe. Null.</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(C) Educação e diagnóstico</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Existem ativos educacionais declarados [D]: 10 vídeos educacionais gravados e jornada de boas-vindas no pós-venda (L2), um domínio de materiais (materiais.olx.com.br) rodando RD Station em contêiner próprio (GTM-MVQWQJFB) e um parque de landing pages em Unbounce (GTM-KP8QMDH, 40 tags, das quais 20 são de Universal Analytics e nenhuma pausada). O que não existe é qualquer métrica de consumo desse material, nem no repositório nem em leitura de GA4. Escolhi 2 e não 3 porque o que está comprovado é a existência dos ativos, não a eficácia deles — e a auditoria (i) CRM, que mediria a régua educativa, está na janela 14–22/09 e não…</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(D) Provas e diferenciação</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A prova de valor que o produto precisaria oferecer é estruturalmente frágil: 89% dos anúncios de Imóveis não recebem nenhum lead [D] (slide da jornada; Carolina Dallolio, 28/08, 00:19:40 — jornada-do-cliente-profissional.md cita a mesma fala como 00:18:09, divergência de timestamp registrada e sem nota de metodologia que a explique). A OLX já opera um paliativo declarado: a composição de leads (do próprio anúncio, de anúncios similares e de outros canais) existe 'para amenizar esse efeito zero leads ali direto no seu próprio anúncio', e não há taxa declarada de quanto ela recupera. E o que se comunica é visibilidade e inser…</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(E) Sustentação do engajamento</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Há um canal de engajamento com adoção declarada e sem gestão. Em Autos 60–70% do público usa o app OLX; em Imóveis a curva se inverte e só 20–30% usa o app Zap/VivaReal — Leonardo Costa (Grupo OLX), 28/08, 00:38:26, registrando a faixa como o falante disse ('70, 60%' e '20%... 30%') [D]. CORREÇÃO DE ATRIBUIÇÃO: a versão anterior escreveu que 'Gustavo Figueiredo confirma' a ausência de touch point de ativação do app. Gustavo Figueiredo é Sócio &amp; COO da V4 (stakeholders.md; ata de 28/08 o lista do lado V4), e na transcrição (linha 949) é ele quem ASSERE — 'a gente não tem, independente de um formato ou de outro, nenhuma etapa…</w:t>
            </w:r>
          </w:p>
        </w:tc>
      </w:tr>
    </w:tbl>
    <w:p>
      <w:pPr>
        <w:spacing w:before="0" w:after="40" w:line="283" w:lineRule="auto"/>
      </w:pPr>
    </w:p>
    <w:p>
      <w:pPr>
        <w:spacing w:before="0" w:after="80" w:line="283" w:lineRule="auto"/>
      </w:pPr>
      <w:r>
        <w:rPr>
          <w:b w:val="0"/>
          <w:i w:val="0"/>
          <w:color w:val="5E5458"/>
          <w:sz w:val="18"/>
          <w:rFonts w:ascii="Calibri" w:hAnsi="Calibri" w:cs="Calibri"/>
        </w:rPr>
        <w:t>O que falta: Confirmação no Preview do GTM dos achados 6 e 11 — que o próprio documento da auditoria pede e que não foi feita — antes de qualquer afirmação em comitê, e depois a correção, para que exista métrica de permanência e de engajamento em página; as auditorias (ii) CRO/SEO e (viii) Páginas de Captura, com o export do Unbounce (a plataforma, não o contêiner: hoje temos o rastreamento das LPs, sem variantes, sem histórico de publicação e sem os formulários); a lista oficial de URLs de LPs e fluxos ativos (I1) e a taxa de conversão por página e etapa (I2); o acesso ao Mouseflow, que grava sessão em todas as páginas web (projetos b837e449-83ee-457f-9ef5-8f976953f2bc e 6228af6b-…), e a resposta de qu…</w:t>
      </w:r>
    </w:p>
    <w:p>
      <w:pPr>
        <w:spacing w:before="160" w:after="40" w:line="283" w:lineRule="auto"/>
      </w:pPr>
      <w:r>
        <w:rPr>
          <w:b/>
          <w:i w:val="0"/>
          <w:color w:val="7A0010"/>
          <w:sz w:val="21"/>
          <w:rFonts w:ascii="Calibri" w:hAnsi="Calibri" w:cs="Calibri"/>
        </w:rPr>
        <w:t>Qualificação</w:t>
      </w:r>
    </w:p>
    <w:p>
      <w:pPr>
        <w:spacing w:before="0" w:after="80" w:line="283" w:lineRule="auto"/>
      </w:pPr>
      <w:r>
        <w:rPr>
          <w:b w:val="0"/>
          <w:i w:val="0"/>
          <w:color w:val="5E5458"/>
          <w:sz w:val="17"/>
          <w:rFonts w:ascii="Consolas" w:hAnsi="Consolas" w:cs="Consolas"/>
        </w:rPr>
        <w:t>9 pontos em 4 das 5 dimensões · máximo praticável 12 sob o teto de 3 da regra 5 · média por dimensão pontuada 2,25 · NÃO somável, NÃO normalizável para a escala de 25 do playbook (o denominador de cinco dimensões não existe) e NÃO comparáv…</w:t>
      </w:r>
    </w:p>
    <w:tbl>
      <w:tblPr>
        <w:tblW w:type="auto" w:w="0"/>
        <w:jc w:val="left"/>
        <w:tblLayout w:type="fixed"/>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2464"/>
        <w:gridCol w:w="2464"/>
        <w:gridCol w:w="2464"/>
        <w:gridCol w:w="2464"/>
      </w:tblGrid>
      <w:tr>
        <w:tc>
          <w:tcPr>
            <w:tcW w:type="dxa" w:w="1814"/>
            <w:shd w:val="clear" w:color="auto" w:fill="F4F0F1"/>
            <w:tcMar>
              <w:top w:w="80" w:type="dxa"/>
              <w:start w:w="110" w:type="dxa"/>
              <w:bottom w:w="80" w:type="dxa"/>
              <w:end w:w="110" w:type="dxa"/>
            </w:tcMar>
          </w:tcPr>
          <w:p>
            <w:pPr>
              <w:spacing w:after="0"/>
            </w:pPr>
            <w:r/>
            <w:r>
              <w:rPr>
                <w:b/>
                <w:i w:val="0"/>
                <w:color w:val="8F858A"/>
                <w:sz w:val="16"/>
                <w:rFonts w:ascii="Calibri" w:hAnsi="Calibri" w:cs="Calibri"/>
              </w:rPr>
              <w:t>DIMENSÃO</w:t>
            </w:r>
          </w:p>
        </w:tc>
        <w:tc>
          <w:tcPr>
            <w:tcW w:type="dxa" w:w="680"/>
            <w:shd w:val="clear" w:color="auto" w:fill="F4F0F1"/>
            <w:tcMar>
              <w:top w:w="80" w:type="dxa"/>
              <w:start w:w="110" w:type="dxa"/>
              <w:bottom w:w="80" w:type="dxa"/>
              <w:end w:w="110" w:type="dxa"/>
            </w:tcMar>
          </w:tcPr>
          <w:p>
            <w:pPr>
              <w:spacing w:after="0"/>
            </w:pPr>
            <w:r/>
            <w:r>
              <w:rPr>
                <w:b/>
                <w:i w:val="0"/>
                <w:color w:val="8F858A"/>
                <w:sz w:val="16"/>
                <w:rFonts w:ascii="Calibri" w:hAnsi="Calibri" w:cs="Calibri"/>
              </w:rPr>
              <w:t>NOTA</w:t>
            </w:r>
          </w:p>
        </w:tc>
        <w:tc>
          <w:tcPr>
            <w:tcW w:type="dxa" w:w="1134"/>
            <w:shd w:val="clear" w:color="auto" w:fill="F4F0F1"/>
            <w:tcMar>
              <w:top w:w="80" w:type="dxa"/>
              <w:start w:w="110" w:type="dxa"/>
              <w:bottom w:w="80" w:type="dxa"/>
              <w:end w:w="110" w:type="dxa"/>
            </w:tcMar>
          </w:tcPr>
          <w:p>
            <w:pPr>
              <w:spacing w:after="0"/>
            </w:pPr>
            <w:r/>
            <w:r>
              <w:rPr>
                <w:b/>
                <w:i w:val="0"/>
                <w:color w:val="8F858A"/>
                <w:sz w:val="16"/>
                <w:rFonts w:ascii="Calibri" w:hAnsi="Calibri" w:cs="Calibri"/>
              </w:rPr>
              <w:t>CAMADA</w:t>
            </w:r>
          </w:p>
        </w:tc>
        <w:tc>
          <w:tcPr>
            <w:tcW w:type="dxa" w:w="5896"/>
            <w:shd w:val="clear" w:color="auto" w:fill="F4F0F1"/>
            <w:tcMar>
              <w:top w:w="80" w:type="dxa"/>
              <w:start w:w="110" w:type="dxa"/>
              <w:bottom w:w="80" w:type="dxa"/>
              <w:end w:w="110" w:type="dxa"/>
            </w:tcMar>
          </w:tcPr>
          <w:p>
            <w:pPr>
              <w:spacing w:after="0"/>
            </w:pPr>
            <w:r/>
            <w:r>
              <w:rPr>
                <w:b/>
                <w:i w:val="0"/>
                <w:color w:val="8F858A"/>
                <w:sz w:val="16"/>
                <w:rFonts w:ascii="Calibri" w:hAnsi="Calibri" w:cs="Calibri"/>
              </w:rPr>
              <w:t>EVIDÊNCIA</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(A) ICP documentado e claro</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Existe critério de elegibilidade documentado e fechado na sessão: SQL exige CNPJ do setor — 'no caso de imóveis, a gente só vende para imobiliárias e corretores. Então, se ele não tem um CNPJ da área, ele não vai ser elegível' (Carolina Dallolio, 28/08, 00:44:38) [D]. O que não existe é ICP no sentido do método, que dimensoes-por-trava.md define como coerência estratégica entre oferta e público: a aquisição é guiada por preço e oferta, não por segmento, região ou valor do cliente (UDE 8, Iuna Scheffler 01:02:48), e não há leitura por safra, LTV nem CAC por cliente que permitisse definir qual cliente vale a pena (UDE 7, Flor…</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(B) Alinhamento ICP vs. leads</w:t>
            </w:r>
          </w:p>
        </w:tc>
        <w:tc>
          <w:tcPr>
            <w:tcW w:type="dxa" w:w="680"/>
            <w:tcMar>
              <w:top w:w="80" w:type="dxa"/>
              <w:start w:w="110" w:type="dxa"/>
              <w:bottom w:w="80" w:type="dxa"/>
              <w:end w:w="110" w:type="dxa"/>
            </w:tcMar>
          </w:tcPr>
          <w:p>
            <w:pPr>
              <w:spacing w:after="0" w:line="274" w:lineRule="auto"/>
            </w:pPr>
            <w:r/>
            <w:r>
              <w:rPr>
                <w:b w:val="0"/>
                <w:i w:val="0"/>
                <w:color w:val="8F858A"/>
                <w:sz w:val="17"/>
                <w:rFonts w:ascii="Consolas" w:hAnsi="Consolas" w:cs="Consolas"/>
              </w:rPr>
              <w:t>—</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Sem nota. Nenhuma taxa foi extraída: o dashboard tem taxa de qualificação MQL→SQL por vertical, canal, time e período, a V4 viu a tela na demo, o dashboard estava em processamento, nada foi extraído e os links seguem sem chegar (lacuna 1 da ata de 28/08). A única pista sobre alinhamento no material de mídia é que as 8 campanhas visíveis no V4MOS têm sufixo 'pf' e tema de aluguel e compra, o que sugeriria B2C — mas PENDENCIAS 12 marca isso explicitamente como leitura de nomenclatura, e o significado do sufixo 'pf' foi perguntado no kick-off com DRI Michelle Morais e segue sem resposta registrada. Leitura de nomenclatura não sustenta…</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(C) Alinhamento ICP vs. clientes</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A Matriz ICP vs. Realidade, entrada visual obrigatória da trava, não existe — não há ticket médio, porte, segmento nem capacidade de pagamento no repositório (dados/client.json: ticket_medio = null; item A3 do checklist não recebido). O que existe é evidência declarada [D] de desalinhamento: canibalização entre privado e profissional via fluxo Sweet Step, com a OLX testando reduzir a gratuidade de Autos de 4 para 2 anúncios/ano (Iuna Scheffler, 00:52:15, L24) — receita profissional vazando para o gratuito; clientes pequenos migrando verba para Meta e Google direto, o que o próprio cliente classificou como ponto cego de rast…</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(D) Processo de qualificação</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3</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3 — a mais alta do conjunto, com o lastro separado em duas partes, como a crítica exige. O QUE SUSTENTA O 3, tudo DECLARADO [D] em reunião: MQL e SQL têm definição objetiva e fechada — MQL = nome, e-mail, telefone e, em alguns canais, documento; SQL = elegibilidade comercial, CNPJ do setor (Carolina Dallolio, 28/08, 00:44:38, L10); o fluxo foi refinado há ~4 meses, é automatizado por bot e reaproveita histórico de inativo. Isso é 'processo definido mas não governado', que é a definição de 3 na SKILL.md linha 58. O QUE NÃO SUSTENTA NOTA NENHUMA e por isso saiu daqui para o_que_falta: a existência das métricas no dashboard (taxa…</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(E) Capacidade de desqualificar</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A capacidade existe como regra (sem CNPJ do setor não há SQL em Imóveis, Carolina 00:44:38) e há endurecimento declarado da política de recontratação (item 07-2 da conferência do kick-off). Mas a decisão de desqualificar o cliente que não paga o próprio custo está em conflito aberto e não resolvido — o par D/D' da nuvem formulada pelos próprios executivos, sustentada aqui por Iuna Scheffler 01:08:58 (atribuível) e também registrada em 01:06:17 sob o rótulo [sala SP] (não atribuível). E o incentivo trabalha contra: a variável do executivo comercial é 75% carteira + 25% scorecard, sem nenhum indicador de retenção ou qualidade…</w:t>
            </w:r>
          </w:p>
        </w:tc>
      </w:tr>
    </w:tbl>
    <w:p>
      <w:pPr>
        <w:spacing w:before="0" w:after="40" w:line="283" w:lineRule="auto"/>
      </w:pPr>
    </w:p>
    <w:p>
      <w:pPr>
        <w:spacing w:before="0" w:after="60" w:line="283" w:lineRule="auto"/>
      </w:pPr>
      <w:r>
        <w:rPr>
          <w:b w:val="0"/>
          <w:i w:val="0"/>
          <w:color w:val="1A1416"/>
          <w:sz w:val="18"/>
          <w:rFonts w:ascii="Calibri" w:hAnsi="Calibri" w:cs="Calibri"/>
        </w:rPr>
        <w:t>Política implícita: A empresa opera sob a política implícita de qualificar por elegibilidade jurídica e não por valor esperado do cliente, o que gera um funil que aceita todo CNPJ do setor sem distinguir porte, região ou capacidade de pagamento e uma aquisição guiada por preço e oferta, limitando a possibilidade de decidir quem se deve buscar e quem se pode deixar sair.</w:t>
      </w:r>
    </w:p>
    <w:p>
      <w:pPr>
        <w:spacing w:before="0" w:after="80" w:line="283" w:lineRule="auto"/>
      </w:pPr>
      <w:r>
        <w:rPr>
          <w:b w:val="0"/>
          <w:i w:val="0"/>
          <w:color w:val="5E5458"/>
          <w:sz w:val="18"/>
          <w:rFonts w:ascii="Calibri" w:hAnsi="Calibri" w:cs="Calibri"/>
        </w:rPr>
        <w:t>O que falta: As taxas MQL→SQL e SQL→venda extraídas do dashboard, que existem e nunca foram lidas — dependem dos links, lacuna 1 da ata de 28/08, sem prazo e com um DRI que precisa ser conferido (a ata registra Leonardo Rosa, que stakeholders.md e a lista de presentes de 28/08 colocam do lado da V4; um DRI da V4 não destrava um link do cliente — conferir se o dono correto não é do lado da OLX antes de a linha entrar em PENDENCIAS.md); ticket médio, porte e segmento para montar a Matriz ICP vs. Realidade, entrada visual obrigatória; a unidade de cobrança formal (3B-0); o critério de qualificação escrito, os estágios do CRM e a fonte de verdade do pipeline, que ninguém descreveu; a camada experiencial da …</w:t>
      </w:r>
    </w:p>
    <w:p>
      <w:pPr>
        <w:spacing w:before="160" w:after="40" w:line="283" w:lineRule="auto"/>
      </w:pPr>
      <w:r>
        <w:rPr>
          <w:b/>
          <w:i w:val="0"/>
          <w:color w:val="7A0010"/>
          <w:sz w:val="21"/>
          <w:rFonts w:ascii="Calibri" w:hAnsi="Calibri" w:cs="Calibri"/>
        </w:rPr>
        <w:t>Compromisso</w:t>
      </w:r>
    </w:p>
    <w:p>
      <w:pPr>
        <w:spacing w:before="0" w:after="80" w:line="283" w:lineRule="auto"/>
      </w:pPr>
      <w:r>
        <w:rPr>
          <w:b w:val="0"/>
          <w:i w:val="0"/>
          <w:color w:val="5E5458"/>
          <w:sz w:val="17"/>
          <w:rFonts w:ascii="Consolas" w:hAnsi="Consolas" w:cs="Consolas"/>
        </w:rPr>
        <w:t>4 pontos em 2 das 5 dimensões · máximo praticável 6 sob o teto de 3 da regra 5 · média por dimensão pontuada 2,00 · NÃO somável, NÃO normalizável para a escala de 25 do playbook (o denominador de cinco dimensões não existe) e NÃO comparáve…</w:t>
      </w:r>
    </w:p>
    <w:tbl>
      <w:tblPr>
        <w:tblW w:type="auto" w:w="0"/>
        <w:jc w:val="left"/>
        <w:tblLayout w:type="fixed"/>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2464"/>
        <w:gridCol w:w="2464"/>
        <w:gridCol w:w="2464"/>
        <w:gridCol w:w="2464"/>
      </w:tblGrid>
      <w:tr>
        <w:tc>
          <w:tcPr>
            <w:tcW w:type="dxa" w:w="1814"/>
            <w:shd w:val="clear" w:color="auto" w:fill="F4F0F1"/>
            <w:tcMar>
              <w:top w:w="80" w:type="dxa"/>
              <w:start w:w="110" w:type="dxa"/>
              <w:bottom w:w="80" w:type="dxa"/>
              <w:end w:w="110" w:type="dxa"/>
            </w:tcMar>
          </w:tcPr>
          <w:p>
            <w:pPr>
              <w:spacing w:after="0"/>
            </w:pPr>
            <w:r/>
            <w:r>
              <w:rPr>
                <w:b/>
                <w:i w:val="0"/>
                <w:color w:val="8F858A"/>
                <w:sz w:val="16"/>
                <w:rFonts w:ascii="Calibri" w:hAnsi="Calibri" w:cs="Calibri"/>
              </w:rPr>
              <w:t>DIMENSÃO</w:t>
            </w:r>
          </w:p>
        </w:tc>
        <w:tc>
          <w:tcPr>
            <w:tcW w:type="dxa" w:w="680"/>
            <w:shd w:val="clear" w:color="auto" w:fill="F4F0F1"/>
            <w:tcMar>
              <w:top w:w="80" w:type="dxa"/>
              <w:start w:w="110" w:type="dxa"/>
              <w:bottom w:w="80" w:type="dxa"/>
              <w:end w:w="110" w:type="dxa"/>
            </w:tcMar>
          </w:tcPr>
          <w:p>
            <w:pPr>
              <w:spacing w:after="0"/>
            </w:pPr>
            <w:r/>
            <w:r>
              <w:rPr>
                <w:b/>
                <w:i w:val="0"/>
                <w:color w:val="8F858A"/>
                <w:sz w:val="16"/>
                <w:rFonts w:ascii="Calibri" w:hAnsi="Calibri" w:cs="Calibri"/>
              </w:rPr>
              <w:t>NOTA</w:t>
            </w:r>
          </w:p>
        </w:tc>
        <w:tc>
          <w:tcPr>
            <w:tcW w:type="dxa" w:w="1134"/>
            <w:shd w:val="clear" w:color="auto" w:fill="F4F0F1"/>
            <w:tcMar>
              <w:top w:w="80" w:type="dxa"/>
              <w:start w:w="110" w:type="dxa"/>
              <w:bottom w:w="80" w:type="dxa"/>
              <w:end w:w="110" w:type="dxa"/>
            </w:tcMar>
          </w:tcPr>
          <w:p>
            <w:pPr>
              <w:spacing w:after="0"/>
            </w:pPr>
            <w:r/>
            <w:r>
              <w:rPr>
                <w:b/>
                <w:i w:val="0"/>
                <w:color w:val="8F858A"/>
                <w:sz w:val="16"/>
                <w:rFonts w:ascii="Calibri" w:hAnsi="Calibri" w:cs="Calibri"/>
              </w:rPr>
              <w:t>CAMADA</w:t>
            </w:r>
          </w:p>
        </w:tc>
        <w:tc>
          <w:tcPr>
            <w:tcW w:type="dxa" w:w="5896"/>
            <w:shd w:val="clear" w:color="auto" w:fill="F4F0F1"/>
            <w:tcMar>
              <w:top w:w="80" w:type="dxa"/>
              <w:start w:w="110" w:type="dxa"/>
              <w:bottom w:w="80" w:type="dxa"/>
              <w:end w:w="110" w:type="dxa"/>
            </w:tcMar>
          </w:tcPr>
          <w:p>
            <w:pPr>
              <w:spacing w:after="0"/>
            </w:pPr>
            <w:r/>
            <w:r>
              <w:rPr>
                <w:b/>
                <w:i w:val="0"/>
                <w:color w:val="8F858A"/>
                <w:sz w:val="16"/>
                <w:rFonts w:ascii="Calibri" w:hAnsi="Calibri" w:cs="Calibri"/>
              </w:rPr>
              <w:t>EVIDÊNCIA</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(A) Tempo até o 1º contato</w:t>
            </w:r>
          </w:p>
        </w:tc>
        <w:tc>
          <w:tcPr>
            <w:tcW w:type="dxa" w:w="680"/>
            <w:tcMar>
              <w:top w:w="80" w:type="dxa"/>
              <w:start w:w="110" w:type="dxa"/>
              <w:bottom w:w="80" w:type="dxa"/>
              <w:end w:w="110" w:type="dxa"/>
            </w:tcMar>
          </w:tcPr>
          <w:p>
            <w:pPr>
              <w:spacing w:after="0" w:line="274" w:lineRule="auto"/>
            </w:pPr>
            <w:r/>
            <w:r>
              <w:rPr>
                <w:b w:val="0"/>
                <w:i w:val="0"/>
                <w:color w:val="8F858A"/>
                <w:sz w:val="17"/>
                <w:rFonts w:ascii="Consolas" w:hAnsi="Consolas" w:cs="Consolas"/>
              </w:rPr>
              <w:t>—</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Sem nota. O registro do kick-off é explícito de que o dado não existe: o item 04-7 da conferência trata a taxa de resposta da imobiliária ao lead e anota que isso 'não é SLA da OLX ao lead B2B, que segue aberto'. Nenhum tempo de primeiro contato no funil B2B da própria OLX aparece em nenhuma fonte, e a tabela do roteiro da sessão de 28/08 ('Volume/mês · Taxa de entrada · Tempo médio · Fonte') saiu vazia. Null.</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(B) Conversão para agendamento</w:t>
            </w:r>
          </w:p>
        </w:tc>
        <w:tc>
          <w:tcPr>
            <w:tcW w:type="dxa" w:w="680"/>
            <w:tcMar>
              <w:top w:w="80" w:type="dxa"/>
              <w:start w:w="110" w:type="dxa"/>
              <w:bottom w:w="80" w:type="dxa"/>
              <w:end w:w="110" w:type="dxa"/>
            </w:tcMar>
          </w:tcPr>
          <w:p>
            <w:pPr>
              <w:spacing w:after="0" w:line="274" w:lineRule="auto"/>
            </w:pPr>
            <w:r/>
            <w:r>
              <w:rPr>
                <w:b w:val="0"/>
                <w:i w:val="0"/>
                <w:color w:val="8F858A"/>
                <w:sz w:val="17"/>
                <w:rFonts w:ascii="Consolas" w:hAnsi="Consolas" w:cs="Consolas"/>
              </w:rPr>
              <w:t>—</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Sem nota. O funil declarado vai de MQL a SQL a venda; não há etapa de agendamento nem de reunião no desenho, e nenhum número foi extraído. Sem base para pontuar. Null.</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(C) Taxa de comparecimento</w:t>
            </w:r>
          </w:p>
        </w:tc>
        <w:tc>
          <w:tcPr>
            <w:tcW w:type="dxa" w:w="680"/>
            <w:tcMar>
              <w:top w:w="80" w:type="dxa"/>
              <w:start w:w="110" w:type="dxa"/>
              <w:bottom w:w="80" w:type="dxa"/>
              <w:end w:w="110" w:type="dxa"/>
            </w:tcMar>
          </w:tcPr>
          <w:p>
            <w:pPr>
              <w:spacing w:after="0" w:line="274" w:lineRule="auto"/>
            </w:pPr>
            <w:r/>
            <w:r>
              <w:rPr>
                <w:b w:val="0"/>
                <w:i w:val="0"/>
                <w:color w:val="8F858A"/>
                <w:sz w:val="17"/>
                <w:rFonts w:ascii="Consolas" w:hAnsi="Consolas" w:cs="Consolas"/>
              </w:rPr>
              <w:t>—</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Sem nota. Nada no repositório: nem no-show, nem comparecimento, nem motivo de perda do tipo 'sumiu'. A Linha do Tempo do Compromisso, entrada visual obrigatória da trava (mínimo um caso por modelo de venda), não existe para nenhum dos três modelos. Null.</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(D) Cadência e qualidade do follow-up</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Mecanismos existem, todos declarados [D]: bot de qualificação que reaproveita histórico de inativo (Carolina, 00:44:38), régua de touch com IA na renovação e gestão de pagamento cobrando a carteira de maior receita (item 04-13), e transbordo de carrinho abandonado. CORREÇÃO DE CITAÇÃO do transbordo: a versão anterior escreveu 'vale 17% da entrada (§1 do caderno de lacunas)'. A §1 de lacunas-do-fluxo-de-receita.md é a tabela de reconciliação e não traz esse número; ele está em L16 — 'o transbordo de carrinho abandonado vale 17% da entrada' — e em L30, que registra que o canal Formulário recebe 24% + 3% + 17%. O número é [D],…</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(E) Arquitetura do compromisso</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A arquitetura é descritível: 44% das entradas por Formulário e 42% por WhatsApp [D] (slide FLUXOS; reconciliado em lacunas §1 como WhatsApp 42 + Telefone 3 + Outros 8 + Formulário 44 = 97%, com 3 pontos sem dono em L29); canal online vendendo só planos de anúncio e todo up, down e cancelamento passando por humano (slide etapa 2; Carolina, 00:12:41); e uma mudança estrutural recente que reordena o passo que custa — 'antes a pessoa podia fazer login na plataforma antes de pagar o boleto e agora não. Agora você tem que pagar para poder fazer o login' (Leonardo Costa, 00:26:33). CORREÇÃO: a versão anterior chamou o WhatsApp de …</w:t>
            </w:r>
          </w:p>
        </w:tc>
      </w:tr>
    </w:tbl>
    <w:p>
      <w:pPr>
        <w:spacing w:before="0" w:after="40" w:line="283" w:lineRule="auto"/>
      </w:pPr>
    </w:p>
    <w:p>
      <w:pPr>
        <w:spacing w:before="0" w:after="80" w:line="283" w:lineRule="auto"/>
      </w:pPr>
      <w:r>
        <w:rPr>
          <w:b w:val="0"/>
          <w:i w:val="0"/>
          <w:color w:val="5E5458"/>
          <w:sz w:val="18"/>
          <w:rFonts w:ascii="Calibri" w:hAnsi="Calibri" w:cs="Calibri"/>
        </w:rPr>
        <w:t>O que falta: Tudo o que define a trava: SLA da OLX ao lead B2B (aberto e nomeado como aberto no kick-off), tempo até primeiro contato, taxa de agendamento e de comparecimento, motivos de perda do tipo 'sumiu'. Depois, a camada experiencial, que a V4 não executou em nenhuma trava: cliente oculto no funil B2B da própria OLX e jornada real até o checkout de plano, com data, canal, quem executou e o que aconteceu, como a SKILL.md exige. E a Linha do Tempo do Compromisso, entrada visual obrigatória, com no mínimo um caso por modelo de venda (canal online, inside sales, field sales). Higiene de registro a fechar antes do material ir a comitê: a divergência aparente entre o item 04-7 (50–58% de resposta) e o U…</w:t>
      </w:r>
    </w:p>
    <w:p>
      <w:pPr>
        <w:spacing w:before="160" w:after="40" w:line="283" w:lineRule="auto"/>
      </w:pPr>
      <w:r>
        <w:rPr>
          <w:b/>
          <w:i w:val="0"/>
          <w:color w:val="7A0010"/>
          <w:sz w:val="21"/>
          <w:rFonts w:ascii="Calibri" w:hAnsi="Calibri" w:cs="Calibri"/>
        </w:rPr>
        <w:t>Decisão</w:t>
      </w:r>
    </w:p>
    <w:p>
      <w:pPr>
        <w:spacing w:before="0" w:after="80" w:line="283" w:lineRule="auto"/>
      </w:pPr>
      <w:r>
        <w:rPr>
          <w:b w:val="0"/>
          <w:i w:val="0"/>
          <w:color w:val="5E5458"/>
          <w:sz w:val="17"/>
          <w:rFonts w:ascii="Consolas" w:hAnsi="Consolas" w:cs="Consolas"/>
        </w:rPr>
        <w:t>8 pontos em 4 das 5 dimensões · máximo praticável 12 sob o teto de 3 da regra 5 · média por dimensão pontuada 2,00 · NÃO somável, NÃO normalizável para a escala de 25 do playbook (o denominador de cinco dimensões não existe) e NÃO comparáv…</w:t>
      </w:r>
    </w:p>
    <w:tbl>
      <w:tblPr>
        <w:tblW w:type="auto" w:w="0"/>
        <w:jc w:val="left"/>
        <w:tblLayout w:type="fixed"/>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2464"/>
        <w:gridCol w:w="2464"/>
        <w:gridCol w:w="2464"/>
        <w:gridCol w:w="2464"/>
      </w:tblGrid>
      <w:tr>
        <w:tc>
          <w:tcPr>
            <w:tcW w:type="dxa" w:w="1814"/>
            <w:shd w:val="clear" w:color="auto" w:fill="F4F0F1"/>
            <w:tcMar>
              <w:top w:w="80" w:type="dxa"/>
              <w:start w:w="110" w:type="dxa"/>
              <w:bottom w:w="80" w:type="dxa"/>
              <w:end w:w="110" w:type="dxa"/>
            </w:tcMar>
          </w:tcPr>
          <w:p>
            <w:pPr>
              <w:spacing w:after="0"/>
            </w:pPr>
            <w:r/>
            <w:r>
              <w:rPr>
                <w:b/>
                <w:i w:val="0"/>
                <w:color w:val="8F858A"/>
                <w:sz w:val="16"/>
                <w:rFonts w:ascii="Calibri" w:hAnsi="Calibri" w:cs="Calibri"/>
              </w:rPr>
              <w:t>DIMENSÃO</w:t>
            </w:r>
          </w:p>
        </w:tc>
        <w:tc>
          <w:tcPr>
            <w:tcW w:type="dxa" w:w="680"/>
            <w:shd w:val="clear" w:color="auto" w:fill="F4F0F1"/>
            <w:tcMar>
              <w:top w:w="80" w:type="dxa"/>
              <w:start w:w="110" w:type="dxa"/>
              <w:bottom w:w="80" w:type="dxa"/>
              <w:end w:w="110" w:type="dxa"/>
            </w:tcMar>
          </w:tcPr>
          <w:p>
            <w:pPr>
              <w:spacing w:after="0"/>
            </w:pPr>
            <w:r/>
            <w:r>
              <w:rPr>
                <w:b/>
                <w:i w:val="0"/>
                <w:color w:val="8F858A"/>
                <w:sz w:val="16"/>
                <w:rFonts w:ascii="Calibri" w:hAnsi="Calibri" w:cs="Calibri"/>
              </w:rPr>
              <w:t>NOTA</w:t>
            </w:r>
          </w:p>
        </w:tc>
        <w:tc>
          <w:tcPr>
            <w:tcW w:type="dxa" w:w="1134"/>
            <w:shd w:val="clear" w:color="auto" w:fill="F4F0F1"/>
            <w:tcMar>
              <w:top w:w="80" w:type="dxa"/>
              <w:start w:w="110" w:type="dxa"/>
              <w:bottom w:w="80" w:type="dxa"/>
              <w:end w:w="110" w:type="dxa"/>
            </w:tcMar>
          </w:tcPr>
          <w:p>
            <w:pPr>
              <w:spacing w:after="0"/>
            </w:pPr>
            <w:r/>
            <w:r>
              <w:rPr>
                <w:b/>
                <w:i w:val="0"/>
                <w:color w:val="8F858A"/>
                <w:sz w:val="16"/>
                <w:rFonts w:ascii="Calibri" w:hAnsi="Calibri" w:cs="Calibri"/>
              </w:rPr>
              <w:t>CAMADA</w:t>
            </w:r>
          </w:p>
        </w:tc>
        <w:tc>
          <w:tcPr>
            <w:tcW w:type="dxa" w:w="5896"/>
            <w:shd w:val="clear" w:color="auto" w:fill="F4F0F1"/>
            <w:tcMar>
              <w:top w:w="80" w:type="dxa"/>
              <w:start w:w="110" w:type="dxa"/>
              <w:bottom w:w="80" w:type="dxa"/>
              <w:end w:w="110" w:type="dxa"/>
            </w:tcMar>
          </w:tcPr>
          <w:p>
            <w:pPr>
              <w:spacing w:after="0"/>
            </w:pPr>
            <w:r/>
            <w:r>
              <w:rPr>
                <w:b/>
                <w:i w:val="0"/>
                <w:color w:val="8F858A"/>
                <w:sz w:val="16"/>
                <w:rFonts w:ascii="Calibri" w:hAnsi="Calibri" w:cs="Calibri"/>
              </w:rPr>
              <w:t>EVIDÊNCIA</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(A) Taxa de conversão</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Há um vazamento declarado e dimensionado entre contrato e caixa: 80% [D] dos que contrataram E geraram cobrança pagam a primeira fatura — Carolina Dallolio corrige o denominador do slide em 00:15:30: 'dos 100% que fizeram a contratação e geraram um boleto ou qualquer coisa do tipo, desses 100%, 80 pagam'. Contratos que nunca geraram cobrança ficam fora da conta e são vazamento adicional não medido. Há também a participação do canal online na receita: 25% em Autos e 10% em Imóveis [D] (slide etapa 2; Carolina, 00:12:41). O que não há é taxa APURADA: o dashboard tem SQL→venda e não foi extraído, e o funil derivável do GA4 est…</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(B) Tempo médio de decisão</w:t>
            </w:r>
          </w:p>
        </w:tc>
        <w:tc>
          <w:tcPr>
            <w:tcW w:type="dxa" w:w="680"/>
            <w:tcMar>
              <w:top w:w="80" w:type="dxa"/>
              <w:start w:w="110" w:type="dxa"/>
              <w:bottom w:w="80" w:type="dxa"/>
              <w:end w:w="110" w:type="dxa"/>
            </w:tcMar>
          </w:tcPr>
          <w:p>
            <w:pPr>
              <w:spacing w:after="0" w:line="274" w:lineRule="auto"/>
            </w:pPr>
            <w:r/>
            <w:r>
              <w:rPr>
                <w:b w:val="0"/>
                <w:i w:val="0"/>
                <w:color w:val="8F858A"/>
                <w:sz w:val="17"/>
                <w:rFonts w:ascii="Consolas" w:hAnsi="Consolas" w:cs="Consolas"/>
              </w:rPr>
              <w:t>—</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ausente</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Sem nota. Nenhum registro em fonte alguma. dados/client.json traz ciclo_venda_dias = null. A tabela do roteiro da sessão de 28/08 ('Volume/mês · Taxa de entrada · Tempo médio · Fonte') saiu vazia, e nenhuma das seis etapas da jornada tem tempo de passagem — procurada versão preenchida em 02-diagnostico/ e dados/outputs/, não existe. Null.</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(C) Estrutura da proposta</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Três defeitos declarados pelo próprio cliente [D]. Primeiro, a escada de pacotes facilita o downgrade em vez de conter a saída — 'a gente tem múltiplos pacotes, de 10, de 12, 14, ele tem opção' (01:20:27, UDE 4), somada ao aumento de preço de 2026 num cenário de performance percebida em queda, 'talvez aí tenha sido o nosso movimento não muito inteligente' (01:20:27–01:21:24) — ambas as falas sob o rótulo [sala SP], não atribuível a pessoa, e por isso citadas com peso reduzido e sem sustentar sozinhas nenhuma política. Segundo, um bloqueio de venda com autoria confirmada: o ticket de Imóveis acima de R$ 50 mil não cabe no ca…</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(D) Follow-up estruturado</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Existe estrutura declarada [D]: IA mais régua de touch na renovação, gestão de pagamento cobrando a carteira de maior receita, field sales e cobrança no pós-pago (item 04-13); e existe transbordo de carrinho abandonado. CORREÇÃO DE CITAÇÃO, idêntica à de Compromisso (D): o '17% da entrada' NÃO está na §1 do caderno de lacunas; está em L16 ('o transbordo de carrinho abandonado vale 17% da entrada') e em L30 (o Formulário recebe 24% + 3% + 17%), é [D] do slide FLUXOS cujo arquivo-fonte não está versionado (L28), e L30 mantém aberto se é entrada adicional ou subconjunto dos 41% de LPs MKT. Contra: 'a cobrança só olha contas a …</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(E) Arquitetura de urgência</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O que existe: desconto progressivo no plano periódico como incentivo a compromisso maior (sem número confiável); e uma mudança recente que reordena o compromisso — 'antes a pessoa podia fazer login na plataforma antes de pagar o boleto e agora não. Agora você tem que pagar para poder fazer o login' (Leonardo Costa, 00:26:33). O que não existe: diferenciação de preço por meio de pagamento, com metade da base em boleto e ~40% em cartão — 'a gente sabe que deveria, mas hoje não' (Carolina, 00:21:16, L20) [D] — sendo que o esquecimento responde por 20% dos ATRASOS, não do churn (Carolina, 00:22:16, L19, que corrige o slide). É …</w:t>
            </w:r>
          </w:p>
        </w:tc>
      </w:tr>
    </w:tbl>
    <w:p>
      <w:pPr>
        <w:spacing w:before="0" w:after="40" w:line="283" w:lineRule="auto"/>
      </w:pPr>
    </w:p>
    <w:p>
      <w:pPr>
        <w:spacing w:before="0" w:after="60" w:line="283" w:lineRule="auto"/>
      </w:pPr>
      <w:r>
        <w:rPr>
          <w:b w:val="0"/>
          <w:i w:val="0"/>
          <w:color w:val="1A1416"/>
          <w:sz w:val="18"/>
          <w:rFonts w:ascii="Calibri" w:hAnsi="Calibri" w:cs="Calibri"/>
        </w:rPr>
        <w:t>Política implícita: A empresa opera sob a política implícita de vender espaço e inserção sem assumir compromisso com o resultado do anunciante, o que gera uma proposta que compete por preço e por tamanho de pacote, com uma escada que facilita a descida, limitando a defesa do preço e transformando o downgrade na saída de menor atrito quando a performance cai. NÃO estendo esta política ao vazamento de 20% entre contrato e caixa, como a versão anterior fazia: nenhum documento do repositório liga a proposta de valor à não-conversão da primeira fatura, e as causas efetivamente registradas para os 20% são outras e de outra natureza — metade da base paga por boleto sem diferenciação de preço por meio de pagamento (L2…</w:t>
      </w:r>
    </w:p>
    <w:p>
      <w:pPr>
        <w:spacing w:before="0" w:after="80" w:line="283" w:lineRule="auto"/>
      </w:pPr>
      <w:r>
        <w:rPr>
          <w:b w:val="0"/>
          <w:i w:val="0"/>
          <w:color w:val="5E5458"/>
          <w:sz w:val="18"/>
          <w:rFonts w:ascii="Calibri" w:hAnsi="Calibri" w:cs="Calibri"/>
        </w:rPr>
        <w:t>O que falta: Tempo médio de decisão, que não existe em nenhuma fonte; a taxa SQL→venda extraída do dashboard, que existe e não foi lida; se os 20% que contratam e não pagam são recuperados depois (ambiguidade 6 de jornada-do-cliente-profissional.md, aberta e não perguntada na sessão), sem o que não se sabe se o vazamento é bruto ou líquido; a magnitude da 'alta taxa de abono e contestação' no pós-pago (ambiguidade 7, único bullet do slide sem número); a data da mudança de login para depois do pagamento, para datar a quebra da série; a tabela de preços vigente por porte e praça e o desconto médio por segmento (3B-9); a correção do achado 1 no GTM (reapontar a tag 426 do gatilho 215 para o 306 ou 441), qu…</w:t>
      </w:r>
    </w:p>
    <w:p>
      <w:pPr>
        <w:spacing w:before="160" w:after="40" w:line="283" w:lineRule="auto"/>
      </w:pPr>
      <w:r>
        <w:rPr>
          <w:b/>
          <w:i w:val="0"/>
          <w:color w:val="7A0010"/>
          <w:sz w:val="21"/>
          <w:rFonts w:ascii="Calibri" w:hAnsi="Calibri" w:cs="Calibri"/>
        </w:rPr>
        <w:t>Retenção</w:t>
      </w:r>
    </w:p>
    <w:p>
      <w:pPr>
        <w:spacing w:before="0" w:after="80" w:line="283" w:lineRule="auto"/>
      </w:pPr>
      <w:r>
        <w:rPr>
          <w:b w:val="0"/>
          <w:i w:val="0"/>
          <w:color w:val="5E5458"/>
          <w:sz w:val="17"/>
          <w:rFonts w:ascii="Consolas" w:hAnsi="Consolas" w:cs="Consolas"/>
        </w:rPr>
        <w:t>5 de 5 dimensões pontuadas · soma bruta 9 · máximo praticável 15 (5 dimensões × teto de 3 da regra 5), NÃO 25 · equivalente normalizado à escala do playbook: 15,0 de 25 [E], faixa 11–15 (Frágil. Vazamento relevante) · o número 'de 25' só p…</w:t>
      </w:r>
    </w:p>
    <w:tbl>
      <w:tblPr>
        <w:tblW w:type="auto" w:w="0"/>
        <w:jc w:val="left"/>
        <w:tblLayout w:type="fixed"/>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2464"/>
        <w:gridCol w:w="2464"/>
        <w:gridCol w:w="2464"/>
        <w:gridCol w:w="2464"/>
      </w:tblGrid>
      <w:tr>
        <w:tc>
          <w:tcPr>
            <w:tcW w:type="dxa" w:w="1814"/>
            <w:shd w:val="clear" w:color="auto" w:fill="F4F0F1"/>
            <w:tcMar>
              <w:top w:w="80" w:type="dxa"/>
              <w:start w:w="110" w:type="dxa"/>
              <w:bottom w:w="80" w:type="dxa"/>
              <w:end w:w="110" w:type="dxa"/>
            </w:tcMar>
          </w:tcPr>
          <w:p>
            <w:pPr>
              <w:spacing w:after="0"/>
            </w:pPr>
            <w:r/>
            <w:r>
              <w:rPr>
                <w:b/>
                <w:i w:val="0"/>
                <w:color w:val="8F858A"/>
                <w:sz w:val="16"/>
                <w:rFonts w:ascii="Calibri" w:hAnsi="Calibri" w:cs="Calibri"/>
              </w:rPr>
              <w:t>DIMENSÃO</w:t>
            </w:r>
          </w:p>
        </w:tc>
        <w:tc>
          <w:tcPr>
            <w:tcW w:type="dxa" w:w="680"/>
            <w:shd w:val="clear" w:color="auto" w:fill="F4F0F1"/>
            <w:tcMar>
              <w:top w:w="80" w:type="dxa"/>
              <w:start w:w="110" w:type="dxa"/>
              <w:bottom w:w="80" w:type="dxa"/>
              <w:end w:w="110" w:type="dxa"/>
            </w:tcMar>
          </w:tcPr>
          <w:p>
            <w:pPr>
              <w:spacing w:after="0"/>
            </w:pPr>
            <w:r/>
            <w:r>
              <w:rPr>
                <w:b/>
                <w:i w:val="0"/>
                <w:color w:val="8F858A"/>
                <w:sz w:val="16"/>
                <w:rFonts w:ascii="Calibri" w:hAnsi="Calibri" w:cs="Calibri"/>
              </w:rPr>
              <w:t>NOTA</w:t>
            </w:r>
          </w:p>
        </w:tc>
        <w:tc>
          <w:tcPr>
            <w:tcW w:type="dxa" w:w="1134"/>
            <w:shd w:val="clear" w:color="auto" w:fill="F4F0F1"/>
            <w:tcMar>
              <w:top w:w="80" w:type="dxa"/>
              <w:start w:w="110" w:type="dxa"/>
              <w:bottom w:w="80" w:type="dxa"/>
              <w:end w:w="110" w:type="dxa"/>
            </w:tcMar>
          </w:tcPr>
          <w:p>
            <w:pPr>
              <w:spacing w:after="0"/>
            </w:pPr>
            <w:r/>
            <w:r>
              <w:rPr>
                <w:b/>
                <w:i w:val="0"/>
                <w:color w:val="8F858A"/>
                <w:sz w:val="16"/>
                <w:rFonts w:ascii="Calibri" w:hAnsi="Calibri" w:cs="Calibri"/>
              </w:rPr>
              <w:t>CAMADA</w:t>
            </w:r>
          </w:p>
        </w:tc>
        <w:tc>
          <w:tcPr>
            <w:tcW w:type="dxa" w:w="5896"/>
            <w:shd w:val="clear" w:color="auto" w:fill="F4F0F1"/>
            <w:tcMar>
              <w:top w:w="80" w:type="dxa"/>
              <w:start w:w="110" w:type="dxa"/>
              <w:bottom w:w="80" w:type="dxa"/>
              <w:end w:w="110" w:type="dxa"/>
            </w:tcMar>
          </w:tcPr>
          <w:p>
            <w:pPr>
              <w:spacing w:after="0"/>
            </w:pPr>
            <w:r/>
            <w:r>
              <w:rPr>
                <w:b/>
                <w:i w:val="0"/>
                <w:color w:val="8F858A"/>
                <w:sz w:val="16"/>
                <w:rFonts w:ascii="Calibri" w:hAnsi="Calibri" w:cs="Calibri"/>
              </w:rPr>
              <w:t>EVIDÊNCIA</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(A) Dados estruturados de retenção</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1</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1. Existe uma taxa declarada — churn de 8–10% ao mês [D], concentrado no primeiro mês (slide da jornada + Carolina Dallolio, 00:22:16). CORREÇÃO: a versão anterior justificava o 1 em vez de 0 também por 'um dashboard com 12 meses de histórico' de retenção. Essa série não existe. L5 do caderno de lacunas diz apenas que 'o dashboard olha 12 meses POR PADRÃO, com filtro de período' — é a janela default do filtro —, e L6 enumera o que o dashboard tem: taxa de qualificação MQL→SQL, conversão SQL→venda, volumetria diária e receita, por canal e por vertical. Não há churn, cohort, permanência, LTV nem safra em lugar nenhum dessa lista…</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(B) Receita recorrente relevante</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O modelo É de receita recorrente: planos de assinatura com renovação automática, pré-pago em Imóveis, pré e pós-pago em Autos, mais plano periódico de 3/6/12 meses (item 04-13; slide etapa 3) [D]. Mas a base recorrente encolhe: UDE 1, Iuna Scheffler 01:07:38 — 'net negativo é em receita, as nossas entradas não estão compensando o churn mais downgrade'; e Florence Scappini — 'eu estou perdendo mais clientes do que estou ganhando'. E a fatia de renovação não é quantificável porque o número da etapa 1 está em divergência não resolvida: o slide diz '50% da receita nasce da prospecção comercial' e Carolina diz '50% da base chega…</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(C) Jornada formal de pós-venda</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RECLASSIFICADA de 'experiencial' para 'analitica', e a evidência que sustentava aquela classificação foi reescrita. Existe jornada, declarada [D]: boas-vindas, 10 vídeos educacionais gravados e um GT de onboarding montado para atacar o churn imediato (L2). Contra: UDE 5 — 'não existe CS de retenção que olhe a performance do cliente; a cobrança só olha contas a receber' ([sala SP], 01:23:23, rótulo não atribuível a pessoa). O QUE FOI CORRIGIDO: a versão anterior afirmava que 'a OLX rodou cliente oculto e mediu que a imobiliária responde ao lead entregue em apenas 50% a 58% dos casos' e chamava isso de 'a ÚNICA evidência expe…</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(D) Política clara de continuidade</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Existem regras declaradas [D]: renovação automática; pré-pago que não paga não renova, com IA e régua de touch; pós-pago tratado por field sales e cobrança (item 04-13); endurecimento da política de recontratação (item 07-2). Mas a política central — quem se deixa sair — está em conflito explícito e não decidido, e o próprio cliente o formulou como nuvem: proteger a rentabilidade pede deixar sair o cliente pequeno que não paga o próprio custo; proteger a liquidez da plataforma pede retê-lo, porque o inventário dele é único e gera a demanda (Iuna Scheffler, 01:08:58 — e também registrado em 01:06:17 sob o rótulo [sala SP], n…</w:t>
            </w:r>
          </w:p>
        </w:tc>
      </w:tr>
      <w:tr>
        <w:tc>
          <w:tcPr>
            <w:tcW w:type="dxa" w:w="1814"/>
            <w:tcMar>
              <w:top w:w="80" w:type="dxa"/>
              <w:start w:w="110" w:type="dxa"/>
              <w:bottom w:w="80" w:type="dxa"/>
              <w:end w:w="110" w:type="dxa"/>
            </w:tcMar>
          </w:tcPr>
          <w:p>
            <w:pPr>
              <w:spacing w:after="0" w:line="274" w:lineRule="auto"/>
            </w:pPr>
            <w:r/>
            <w:r>
              <w:rPr>
                <w:b w:val="0"/>
                <w:i w:val="0"/>
                <w:color w:val="1A1416"/>
                <w:sz w:val="17"/>
                <w:rFonts w:ascii="Calibri" w:hAnsi="Calibri" w:cs="Calibri"/>
              </w:rPr>
              <w:t>(E) Estratégia ativa de expansão</w:t>
            </w:r>
          </w:p>
        </w:tc>
        <w:tc>
          <w:tcPr>
            <w:tcW w:type="dxa" w:w="680"/>
            <w:tcMar>
              <w:top w:w="80" w:type="dxa"/>
              <w:start w:w="110" w:type="dxa"/>
              <w:bottom w:w="80" w:type="dxa"/>
              <w:end w:w="110" w:type="dxa"/>
            </w:tcMar>
          </w:tcPr>
          <w:p>
            <w:pPr>
              <w:spacing w:after="0" w:line="274" w:lineRule="auto"/>
            </w:pPr>
            <w:r/>
            <w:r>
              <w:rPr>
                <w:b w:val="0"/>
                <w:i w:val="0"/>
                <w:color w:val="1A1416"/>
                <w:sz w:val="17"/>
                <w:rFonts w:ascii="Calibri" w:hAnsi="Calibri" w:cs="Calibri"/>
              </w:rPr>
              <w:t>2</w:t>
            </w:r>
          </w:p>
        </w:tc>
        <w:tc>
          <w:tcPr>
            <w:tcW w:type="dxa" w:w="1134"/>
            <w:tcMar>
              <w:top w:w="80" w:type="dxa"/>
              <w:start w:w="110" w:type="dxa"/>
              <w:bottom w:w="80" w:type="dxa"/>
              <w:end w:w="110" w:type="dxa"/>
            </w:tcMar>
          </w:tcPr>
          <w:p>
            <w:pPr>
              <w:spacing w:after="0" w:line="274" w:lineRule="auto"/>
            </w:pPr>
            <w:r/>
            <w:r>
              <w:rPr>
                <w:b w:val="0"/>
                <w:i w:val="0"/>
                <w:color w:val="1A1416"/>
                <w:sz w:val="17"/>
                <w:rFonts w:ascii="Calibri" w:hAnsi="Calibri" w:cs="Calibri"/>
              </w:rPr>
              <w:t>analitica</w:t>
            </w:r>
          </w:p>
        </w:tc>
        <w:tc>
          <w:tcPr>
            <w:tcW w:type="dxa" w:w="5896"/>
            <w:tcMar>
              <w:top w:w="80" w:type="dxa"/>
              <w:start w:w="110" w:type="dxa"/>
              <w:bottom w:w="80" w:type="dxa"/>
              <w:end w:w="110" w:type="dxa"/>
            </w:tcMar>
          </w:tcPr>
          <w:p>
            <w:pPr>
              <w:spacing w:after="0" w:line="274" w:lineRule="auto"/>
            </w:pPr>
            <w:r/>
            <w:r>
              <w:rPr>
                <w:b w:val="0"/>
                <w:i w:val="0"/>
                <w:color w:val="1A1416"/>
                <w:sz w:val="17"/>
                <w:rFonts w:ascii="Calibri" w:hAnsi="Calibri" w:cs="Calibri"/>
              </w:rPr>
              <w:t>Nota 2. Existe alavanca e ela é usada: os incentivos na área logada são essencialmente de expansão — 'aqui a gente não fala muito em aquisição' (Michelle Morais, 00:36:13, L11) —, com destaque, espaços adicionais e cotas de festival fazendo a fatura crescer [D]. Mas a alavanca mais barata está bloqueada por capacidade humana: 'a gente não tem upgrade, por exemplo, self service hoje' (Michelle Morais, 00:41:15, L22), coerente com up, down e cancelamento só via comercial. E o principal produto de expansão está saturado: destaque é a demanda nº 1 de upgrade e há debate interno de reempacotamento (L23). O benchmark de que 'lá fora 50% …</w:t>
            </w:r>
          </w:p>
        </w:tc>
      </w:tr>
    </w:tbl>
    <w:p>
      <w:pPr>
        <w:spacing w:before="0" w:after="40" w:line="283" w:lineRule="auto"/>
      </w:pPr>
    </w:p>
    <w:p>
      <w:pPr>
        <w:spacing w:before="0" w:after="60" w:line="283" w:lineRule="auto"/>
      </w:pPr>
      <w:r>
        <w:rPr>
          <w:b w:val="0"/>
          <w:i w:val="0"/>
          <w:color w:val="1A1416"/>
          <w:sz w:val="18"/>
          <w:rFonts w:ascii="Calibri" w:hAnsi="Calibri" w:cs="Calibri"/>
        </w:rPr>
        <w:t>Política implícita: A empresa opera sob a política implícita de medir e remunerar a receita faturada da carteira em vez do valor do cliente ao longo do tempo, o que gera um sistema sem safra, sem LTV, sem CAC por cliente e sem nenhum indicador de retenção na variável do comercial, limitando a capacidade de conter um churn declarado de 8–10% ao mês cuja causa declarada — baixa performance — não é medida na vertical onde o churn dói. Lastro: UDE 7 (Florence Scappini 01:01:09; Iuna Scheffler 01:02:48), UDE 6 (Iuna Scheffler 01:26:30) e L26 (Leonardo Costa, 00:55:01), todos com autoria confirmada do lado da OLX. O UDE 5 ('não existe CS de retenção') aponta na mesma direção mas está sob o rótulo [sala SP], não atri…</w:t>
      </w:r>
    </w:p>
    <w:p>
      <w:pPr>
        <w:spacing w:before="0" w:after="80" w:line="283" w:lineRule="auto"/>
      </w:pPr>
      <w:r>
        <w:rPr>
          <w:b w:val="0"/>
          <w:i w:val="0"/>
          <w:color w:val="5E5458"/>
          <w:sz w:val="18"/>
          <w:rFonts w:ascii="Calibri" w:hAnsi="Calibri" w:cs="Calibri"/>
        </w:rPr>
        <w:t>O que falta: Para sair de declarado e virar diagnóstico: a unidade do churn (logo ou receita — ambiguidade 4, aberta); a curva de sobrevivência por safra, que é o que separa os três vazamentos que ocorrem na mesma janela (os 20% que não pagam a primeira fatura, os 12% que saem sem publicar e o churn concentrado no 1º mês) e que também fecha a ambiguidade 3 do denominador da publicação; a distribuição do 89% POR CLIENTE e não por anúncio (ambiguidade 1) — um cliente com 50 anúncios e 3 com lead não é cliente sem lead, e o churn é medido por cliente; a taxa equivalente ao 89% em Autos, que não existe em fonte nenhuma; registro estruturado de motivo de cancelamento (pergunta feita no kick-off e em 28/08, r…</w:t>
      </w:r>
    </w:p>
    <w:p>
      <w:r>
        <w:br w:type="page"/>
      </w:r>
    </w:p>
    <w:p>
      <w:pPr>
        <w:spacing w:before="400" w:after="80"/>
      </w:pPr>
      <w:r>
        <w:rPr>
          <w:b/>
          <w:i w:val="0"/>
          <w:color w:val="970013"/>
          <w:sz w:val="26"/>
          <w:rFonts w:ascii="Consolas" w:hAnsi="Consolas" w:cs="Consolas"/>
        </w:rPr>
        <w:t xml:space="preserve">03   </w:t>
      </w:r>
      <w:r>
        <w:rPr>
          <w:b/>
          <w:i w:val="0"/>
          <w:color w:val="1A1416"/>
          <w:sz w:val="30"/>
          <w:rFonts w:ascii="Calibri" w:hAnsi="Calibri" w:cs="Calibri"/>
        </w:rPr>
        <w:t>Maturidade Digital</w:t>
      </w:r>
    </w:p>
    <w:p>
      <w:pPr>
        <w:spacing w:before="40" w:after="200"/>
        <w:pBdr>
          <w:bottom w:val="single" w:sz="8" w:space="1" w:color="CFC6C8"/>
        </w:pBdr>
      </w:pPr>
    </w:p>
    <w:p>
      <w:pPr>
        <w:spacing w:before="0" w:after="160" w:line="283" w:lineRule="auto"/>
      </w:pPr>
      <w:r>
        <w:rPr>
          <w:b w:val="0"/>
          <w:i w:val="0"/>
          <w:color w:val="5E5458"/>
          <w:sz w:val="20"/>
          <w:rFonts w:ascii="Calibri" w:hAnsi="Calibri" w:cs="Calibri"/>
        </w:rPr>
        <w:t>O POP é explícito: avaliação por evidências objetivas e práticas reais, não por discurso. Um grupo deste porte parece maduro no discurso; o que segue pontua pelo que a ferramenta mostra.</w:t>
      </w:r>
    </w:p>
    <w:tbl>
      <w:tblPr>
        <w:tblW w:type="auto" w:w="0"/>
        <w:jc w:val="left"/>
        <w:tblLayout w:type="fixed"/>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4929"/>
        <w:gridCol w:w="4929"/>
      </w:tblGrid>
      <w:tr>
        <w:tc>
          <w:tcPr>
            <w:tcW w:type="dxa" w:w="3402"/>
            <w:shd w:val="clear" w:color="auto" w:fill="F4F0F1"/>
            <w:tcMar>
              <w:top w:w="80" w:type="dxa"/>
              <w:start w:w="110" w:type="dxa"/>
              <w:bottom w:w="80" w:type="dxa"/>
              <w:end w:w="110" w:type="dxa"/>
            </w:tcMar>
          </w:tcPr>
          <w:p>
            <w:pPr>
              <w:spacing w:after="0"/>
            </w:pPr>
            <w:r/>
            <w:r>
              <w:rPr>
                <w:b/>
                <w:i w:val="0"/>
                <w:color w:val="8F858A"/>
                <w:sz w:val="16"/>
                <w:rFonts w:ascii="Calibri" w:hAnsi="Calibri" w:cs="Calibri"/>
              </w:rPr>
              <w:t>DIMENSÃO</w:t>
            </w:r>
          </w:p>
        </w:tc>
        <w:tc>
          <w:tcPr>
            <w:tcW w:type="dxa" w:w="6123"/>
            <w:shd w:val="clear" w:color="auto" w:fill="F4F0F1"/>
            <w:tcMar>
              <w:top w:w="80" w:type="dxa"/>
              <w:start w:w="110" w:type="dxa"/>
              <w:bottom w:w="80" w:type="dxa"/>
              <w:end w:w="110" w:type="dxa"/>
            </w:tcMar>
          </w:tcPr>
          <w:p>
            <w:pPr>
              <w:spacing w:after="0"/>
            </w:pPr>
            <w:r/>
            <w:r>
              <w:rPr>
                <w:b/>
                <w:i w:val="0"/>
                <w:color w:val="8F858A"/>
                <w:sz w:val="16"/>
                <w:rFonts w:ascii="Calibri" w:hAnsi="Calibri" w:cs="Calibri"/>
              </w:rPr>
              <w:t>NÍVEL</w:t>
            </w:r>
          </w:p>
        </w:tc>
      </w:tr>
      <w:tr>
        <w:tc>
          <w:tcPr>
            <w:tcW w:type="dxa" w:w="3402"/>
            <w:tcMar>
              <w:top w:w="80" w:type="dxa"/>
              <w:start w:w="110" w:type="dxa"/>
              <w:bottom w:w="80" w:type="dxa"/>
              <w:end w:w="110" w:type="dxa"/>
            </w:tcMar>
          </w:tcPr>
          <w:p>
            <w:pPr>
              <w:spacing w:after="0" w:line="274" w:lineRule="auto"/>
            </w:pPr>
            <w:r/>
            <w:r>
              <w:rPr>
                <w:b/>
                <w:i w:val="0"/>
                <w:color w:val="1A1416"/>
                <w:sz w:val="18"/>
                <w:rFonts w:ascii="Calibri" w:hAnsi="Calibri" w:cs="Calibri"/>
              </w:rPr>
              <w:t>Canais Digitais</w:t>
            </w:r>
          </w:p>
        </w:tc>
        <w:tc>
          <w:tcPr>
            <w:tcW w:type="dxa" w:w="6123"/>
            <w:tcMar>
              <w:top w:w="80" w:type="dxa"/>
              <w:start w:w="110" w:type="dxa"/>
              <w:bottom w:w="80" w:type="dxa"/>
              <w:end w:w="110" w:type="dxa"/>
            </w:tcMar>
          </w:tcPr>
          <w:p>
            <w:pPr>
              <w:spacing w:after="0" w:line="274" w:lineRule="auto"/>
            </w:pPr>
            <w:r/>
            <w:r>
              <w:rPr>
                <w:b w:val="0"/>
                <w:i w:val="0"/>
                <w:color w:val="1A1416"/>
                <w:sz w:val="17"/>
                <w:rFonts w:ascii="Calibri" w:hAnsi="Calibri" w:cs="Calibri"/>
              </w:rPr>
              <w:t>2 — 2 — Em estruturação (provisório: apurado sobre 6 contêineres de GTM, de 11 exports, em 2 das 4 contas do grupo; exports de workspace, não confirmados em produção)</w:t>
            </w:r>
          </w:p>
        </w:tc>
      </w:tr>
      <w:tr>
        <w:tc>
          <w:tcPr>
            <w:tcW w:type="dxa" w:w="3402"/>
            <w:tcMar>
              <w:top w:w="80" w:type="dxa"/>
              <w:start w:w="110" w:type="dxa"/>
              <w:bottom w:w="80" w:type="dxa"/>
              <w:end w:w="110" w:type="dxa"/>
            </w:tcMar>
          </w:tcPr>
          <w:p>
            <w:pPr>
              <w:spacing w:after="0" w:line="274" w:lineRule="auto"/>
            </w:pPr>
            <w:r/>
            <w:r>
              <w:rPr>
                <w:b/>
                <w:i w:val="0"/>
                <w:color w:val="1A1416"/>
                <w:sz w:val="18"/>
                <w:rFonts w:ascii="Calibri" w:hAnsi="Calibri" w:cs="Calibri"/>
              </w:rPr>
              <w:t>Processos e Automação</w:t>
            </w:r>
          </w:p>
        </w:tc>
        <w:tc>
          <w:tcPr>
            <w:tcW w:type="dxa" w:w="6123"/>
            <w:tcMar>
              <w:top w:w="80" w:type="dxa"/>
              <w:start w:w="110" w:type="dxa"/>
              <w:bottom w:w="80" w:type="dxa"/>
              <w:end w:w="110" w:type="dxa"/>
            </w:tcMar>
          </w:tcPr>
          <w:p>
            <w:pPr>
              <w:spacing w:after="0" w:line="274" w:lineRule="auto"/>
            </w:pPr>
            <w:r/>
            <w:r>
              <w:rPr>
                <w:b w:val="0"/>
                <w:i w:val="0"/>
                <w:color w:val="1A1416"/>
                <w:sz w:val="17"/>
                <w:rFonts w:ascii="Calibri" w:hAnsi="Calibri" w:cs="Calibri"/>
              </w:rPr>
              <w:t>2 — 2 — Em estruturação (provisório: mesmo perímetro — 6 contêineres, exports de workspace)</w:t>
            </w:r>
          </w:p>
        </w:tc>
      </w:tr>
      <w:tr>
        <w:tc>
          <w:tcPr>
            <w:tcW w:type="dxa" w:w="3402"/>
            <w:tcMar>
              <w:top w:w="80" w:type="dxa"/>
              <w:start w:w="110" w:type="dxa"/>
              <w:bottom w:w="80" w:type="dxa"/>
              <w:end w:w="110" w:type="dxa"/>
            </w:tcMar>
          </w:tcPr>
          <w:p>
            <w:pPr>
              <w:spacing w:after="0" w:line="274" w:lineRule="auto"/>
            </w:pPr>
            <w:r/>
            <w:r>
              <w:rPr>
                <w:b/>
                <w:i w:val="0"/>
                <w:color w:val="1A1416"/>
                <w:sz w:val="18"/>
                <w:rFonts w:ascii="Calibri" w:hAnsi="Calibri" w:cs="Calibri"/>
              </w:rPr>
              <w:t>Uso de Dados e Inteligência</w:t>
            </w:r>
          </w:p>
        </w:tc>
        <w:tc>
          <w:tcPr>
            <w:tcW w:type="dxa" w:w="6123"/>
            <w:tcMar>
              <w:top w:w="80" w:type="dxa"/>
              <w:start w:w="110" w:type="dxa"/>
              <w:bottom w:w="80" w:type="dxa"/>
              <w:end w:w="110" w:type="dxa"/>
            </w:tcMar>
          </w:tcPr>
          <w:p>
            <w:pPr>
              <w:spacing w:after="0" w:line="274" w:lineRule="auto"/>
            </w:pPr>
            <w:r/>
            <w:r>
              <w:rPr>
                <w:b w:val="0"/>
                <w:i w:val="0"/>
                <w:color w:val="1A1416"/>
                <w:sz w:val="17"/>
                <w:rFonts w:ascii="Calibri" w:hAnsi="Calibri" w:cs="Calibri"/>
              </w:rPr>
              <w:t>2 — 2 — Em estruturação (provisório: a nota depende de dois artefatos que a V4 nunca viu — o BI de funil B2B e os exports de duas contas inteiras de GTM)</w:t>
            </w:r>
          </w:p>
        </w:tc>
      </w:tr>
    </w:tbl>
    <w:p>
      <w:pPr>
        <w:spacing w:before="0" w:after="40" w:line="283" w:lineRule="auto"/>
      </w:pPr>
    </w:p>
    <w:p>
      <w:pPr>
        <w:spacing w:before="280" w:after="40"/>
      </w:pPr>
      <w:r>
        <w:rPr>
          <w:b/>
          <w:i w:val="0"/>
          <w:color w:val="1A1416"/>
          <w:sz w:val="23"/>
          <w:rFonts w:ascii="Calibri" w:hAnsi="Calibri" w:cs="Calibri"/>
        </w:rPr>
        <w:t>Leitura sistêmica</w:t>
      </w:r>
    </w:p>
    <w:p>
      <w:pPr>
        <w:spacing w:before="0" w:after="120" w:line="283" w:lineRule="auto"/>
      </w:pPr>
      <w:r>
        <w:rPr>
          <w:b w:val="0"/>
          <w:i w:val="0"/>
          <w:color w:val="1A1416"/>
          <w:sz w:val="19"/>
          <w:rFonts w:ascii="Calibri" w:hAnsi="Calibri" w:cs="Calibri"/>
        </w:rPr>
        <w:t>Veredito: nível 2 — Em estruturação — nas três dimensões, em caráter provisório e com perímetro declarado. O perímetro é parte da nota, não rodapé: 6 contêineres de GTM auditados, de 11 exports, em 2 das 4 contas do grupo; 5 exports já no repositório e não lidos (Buyer Journey 124 tags, VAS 48, Unbounce 40, Login 5, Wallet 3); duas contas inteiras — Checkout Unificado - PRO (6326134112) e VivaReal (4412254379) — com zero contêineres recebidos; e todos os exports são de *workspace*, não de versão publicada. O "22+ contêineres" é piso de uma conta (PENDENCIAS 17). A régua do POP 7 é classificação por dimensão, não média. As três dimensões coincidem em 2 por caminhos diferentes, e a coincidência esconde a dispersão interna. Como o escopo contratado é B2B, a nota de registro é a do perímetro B2B; o que se observa do lado consumidor entra como contexto e não é somado nem promediado. Nenhum número da escala 1–4 deve circular fora dessas três dimensões. A hipótese de estratificação — "madura no consumidor, imatura no B2B" — não se sustenta e foi abandonada. As fontes do próprio repositório a refutam: a medição do anunciante profissional não roda em tier gratuito nem sem evento-chave — ela cai em OLX App + Web, tier 360, com begin_checkout e purchase marcados como chave (auditoria (vii), achado 1 e box "Onde o dado cai"; PENDENCIAS 16). E o lado consumidor carrega defeitos próprios e graves (session_start como conversão, UA vivo, gatilho escutando evento inexistente, dupla contagem de conversão de ad_insertion). A propriedade gratuita, GA4 Grupo OLX, é a que não recebe de nenhum contêiner auditado: é sinal de propriedade órfã e de mapa errado no onboarding. Se a estratificação for retomada algum dia, será como hipótese, e o que a testaria é uma varredura equivalente do lado consumidor — que não foi feita. Isso confirma a pré-condição, não a restrição. Pelo método, Cegueira é pré-condição e não restrição de receita (00-playbook/02-travas-de-receita.md §3). A leitura de maturidade diz que a pré-condição não está atendida no escopo B2B: com os achados 1 e 3 confirmados no export, e o 4 e o 5 ainda condicionais, o funil B2B derivável do GA4 tem conversão contaminada e numerador inexistente. A regra 8 — receita derivada do funil bate com a declarada, tolerância 5% — não é executável hoje, e não passa a ser só corrigindo os achados: falta o Bloco A inteiro (A1–A3, zero itens recebidos), que é entrega de dado e não concessão de acesso. A regra 3 fica intacta: maturidade é avaliação paralela, não uma segunda restrição concorrendo com a que a CRT vai determinar. A causa…</w:t>
      </w:r>
    </w:p>
    <w:tbl>
      <w:tblPr>
        <w:tblW w:type="auto" w:w="0"/>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9858"/>
      </w:tblGrid>
      <w:tr>
        <w:tc>
          <w:tcPr>
            <w:tcW w:type="dxa" w:w="9858"/>
            <w:shd w:val="clear" w:color="auto" w:fill="FBEFF0"/>
            <w:tcMar>
              <w:top w:w="140" w:type="dxa"/>
              <w:start w:w="170" w:type="dxa"/>
              <w:bottom w:w="140" w:type="dxa"/>
              <w:end w:w="170" w:type="dxa"/>
            </w:tcMar>
          </w:tcPr>
          <w:p>
            <w:pPr>
              <w:spacing w:after="60"/>
            </w:pPr>
            <w:r/>
            <w:r>
              <w:rPr>
                <w:b/>
                <w:i w:val="0"/>
                <w:color w:val="7A0010"/>
                <w:sz w:val="16"/>
                <w:rFonts w:ascii="Calibri" w:hAnsi="Calibri" w:cs="Calibri"/>
              </w:rPr>
              <w:t>O PARADOXO</w:t>
            </w:r>
          </w:p>
          <w:p>
            <w:pPr>
              <w:spacing w:after="0" w:line="283" w:lineRule="auto"/>
            </w:pPr>
            <w:r>
              <w:rPr>
                <w:b w:val="0"/>
                <w:i w:val="0"/>
                <w:color w:val="1A1416"/>
                <w:sz w:val="19"/>
                <w:rFonts w:ascii="Calibri" w:hAnsi="Calibri" w:cs="Calibri"/>
              </w:rPr>
              <w:t>A OLX mede muito e não consegue dizer se o número corresponde ao negócio. Não é o paradoxo de quem comprou ferramenta e não usa. As quatro contas de GTM do grupo têm selo 360 (PENDENCIAS 17; coleta-pendente.md); das cinco propriedades de GA4 cujo tier foi lido, quatro estão em GOOGLE_ANALYTICS_360 (client.json, ga4.service_level); os 11 exports somam 367 tags, 295 gatilhos e 668 variáveis (assets/originais/README.md, bloco H); a propriedade onde a medição B2B efetivamente cai — OLX App + Web, 152644854 — tem 219 nomes de evento, tier 360, e tem begin_checkout e purchase marcados como evento-chave (auditoria (vii), box "Onde o dado cai" e achado 1). Existe ainda um endpoint server-side declarado no parque, https://gtm-server-side.track.olx.com.br, configurado em 19/09/2025 num contêiner que ninguém leu. E há uso de indicador na operação: dashboards de funil B2B com MQL, SQL, vendas, taxa de qualificação e conversão, cortados por vertical, canal e time, sobre 12 meses, processados em batch diário às 3h (Lu Machim, 00:05:42–00:08:59). O defeito não é ausência de medição. É configuração. Na superfície de receita B2B, o purchase do GA4 é disparado pelo gatilho de begin_checkout (achado 1); lead_b2b registra zero evento em agosto com a tag montada e ativa (achado 3); a chave que separaria anunciante profissional de particular depende de uma tag pausada — e isso ainda é condicional, porque ninguém verificou se o site grava user_olx por código próprio (achado 4, "a confirmar"); os parâmetros de item são lidos sem índice de array, com consequência provável de purchase sem valor, nã…</w:t>
            </w:r>
          </w:p>
        </w:tc>
      </w:tr>
    </w:tbl>
    <w:p>
      <w:pPr>
        <w:spacing w:before="0" w:after="40" w:line="283" w:lineRule="auto"/>
      </w:pPr>
    </w:p>
    <w:p>
      <w:pPr>
        <w:spacing w:before="280" w:after="40"/>
      </w:pPr>
      <w:r>
        <w:rPr>
          <w:b/>
          <w:i w:val="0"/>
          <w:color w:val="1A1416"/>
          <w:sz w:val="23"/>
          <w:rFonts w:ascii="Calibri" w:hAnsi="Calibri" w:cs="Calibri"/>
        </w:rPr>
        <w:t>Canais Digitais — nível 2</w:t>
      </w:r>
    </w:p>
    <w:p>
      <w:pPr>
        <w:spacing w:before="0" w:after="60" w:line="283" w:lineRule="auto"/>
      </w:pPr>
      <w:r>
        <w:rPr>
          <w:b/>
          <w:i w:val="0"/>
          <w:color w:val="2F6B4F"/>
          <w:sz w:val="19"/>
          <w:rFonts w:ascii="Calibri" w:hAnsi="Calibri" w:cs="Calibri"/>
        </w:rPr>
        <w:t>O que sustenta</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Parque de canais amplo e ativo, com peso declarado por canal: CRM 29% · Direto 36% · Pago 16% · Orgânico 5% · Outros 11% [D] — anotação transcrita do slide FLUXOS apresentado em 28/08, registrada em 02-diagnostico/lacunas-do-fluxo-de-receita.md §1. As barras medem mix de MQL por canal (L7). O arquivo-fonte não está versionado (L28): a citação ainda não é evidência formal no sentido da regra 5.</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Quatro canais de entrada com peso declarado: WhatsApp 42 · Formulário 44 · Telefone 3 · Outros 8 [D] (mesma fonte, mesma ressalva). A aritmética fecha em 97% por dois caminhos independentes — a conferência é da V4 (lacunas §1), não número do cliente; faltam 3 pontos (L29).</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Canal online transacional existe e vende: 25% da receita de Autos e 10% da de Imóveis [D] — 02-diagnostico/jornada-do-cliente-profissional.md, etapa 2 (Carolina Dallolio, 00:12:41).</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Áreas logadas operando como canal próprio de expansão: Canal Pro (Imóveis) e MyPlan (Autos), mais eventos/trade [D] — Michelle Morais, 00:35:02 e 00:36:13 (L11, L12). Michelle descreve o Canal Pro originando upgrade: "A pessoa entra lá para ver o plano dela, ela clica lá e é direcionada para fazer um upgrade" (transcrição de 28/08, linha 797).</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Superfície de captação de anunciante Imóveis montada e efetivamente lida: GTM-PZ733B5 (5. ZapImóveis - Container ANUNCIE), 48 tags, 9 pausadas — assets/originais/README.md bloco H, e auditado na segunda rodada de 02/09 (auditoria (vii), achados 18–21).</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Mídia paga em pelo menos cinco plataformas, contadas diretamente nos exports versionados de assets/originais/H-rastreamento-gtm/ (6 contêineres auditados): Google Ads — 4 IDs de conversão distintos (AW-10947843670 em GTM-MJX9PG4; 963385983 em GTM-MXQKDG3; AW-791128603 e AW-10779204119 em GTM-PZ733B5); Meta — 5 pixels distintos (592658194155317 em MXQKDG3; 818079879779548 e 935989184453347 em MJX9PG4; 328237602412769 e 191084528414847 em PZ733B5); TikTok CO25OBRC77U47AMPJES0;…</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App com adoção declarada assimétrica: "na casa dos 70, 60% que usa OLX autos aplicativo" contra "20% só usa o app, eh, 30%" em Zap/Viva [D] — Leonardo Costa, 00:38:26 (L25). Citado na faixa como o falante disse.</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Automação de canal existente e não trivial: a tag 448 [TAG] Mensagens Dinâmicas WhatsApp personaliza a mensagem conforme o canal de origem, lendo os cookies sf_utm_*. Está em GTM-KGFGVFC, não no Master (conferido no export gtm-kgfgvfc_workspace131.json; auditoria (vii), achado 15).</w:t>
      </w:r>
    </w:p>
    <w:p>
      <w:pPr>
        <w:spacing w:before="80" w:after="60" w:line="283" w:lineRule="auto"/>
      </w:pPr>
      <w:r>
        <w:rPr>
          <w:b/>
          <w:i w:val="0"/>
          <w:color w:val="A32218"/>
          <w:sz w:val="19"/>
          <w:rFonts w:ascii="Calibri" w:hAnsi="Calibri" w:cs="Calibri"/>
        </w:rPr>
        <w:t>O que contradiz</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Um caminho de entrada que responde por 50% [D] não está desenhado no mapa de canais. A unidade está em disputa: Carolina Dallolio diz "50% da base que chega por prospecção comercial" (transcrição de 28/08, linha 337, 00:05:42) e o slide da jornada diz "50% da receita nasce da prospecção comercial" (jornada-do-cliente-profissional.md, etapa 1, ambiguidade 5). Nenhum dos dois é comparável ao mix de canais, que mede MQL — por isso a prospecção não pode ser ordenada contra Whats…</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 maior canal do mapa é artefato de mensuração. Anotação do próprio cliente no slide FLUXOS: "teste de campanha paga para WhatsApp: entra tudo como Direto" e "perde atribuição: entra tudo como Direto" (lacunas §2). Direto (36%) está inflado e Pago (16%) subestimado — o quanto não está dimensionado (L15/F12, DRI a definir, sem prazo).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 superfície digital origina expansão mas não a transaciona: "a gente não tem upgrade, por exemplo, self service hoje" — Leonardo Costa, transcrição de 28/08, linha 909, bloco 00:39:34 [D]. Todo up, down e cancelamento passa pelo time comercial (slide etapa 2, Carolina 00:12:41). (L22 no caderno de lacunas atribui a fala a Michelle em 00:41:15; a transcrição não sustenta nem o falante nem o minuto — corrigir L22.)</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 canal online só vende planos de anúncio — "Canal online (só planos de anúncios)", redação literal de 02-diagnostico/jornada-do-cliente-profissional.md, etapa 2. A superfície digital não cobre o portfólio.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 handoff para WhatsApp — provável ponto de passagem do lead B2B ao comercial — não emite nenhum evento de GA4 ao acontecer (auditoria (vii), achado 15). O canal de maior peso de entrada declarado é invisível na medição.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 OLX confirma que não há incentivo à adoção do app no B2B: Michelle Morais, "Não é incentivado hoje", e Leonardo Costa, "para B2B" — transcrição de 28/08, linhas 965–971, bloco 00:40:31 [D] (L25). A hipótese foi levantada por Gustavo Figueiredo, que é Sócio &amp; COO da V4 (dados/client.json, stakeholders.sponsor_v4), e por isso não entra como evidência sobre o cliente.</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Três plataformas de relacionamento comprovadas no código e uma quarta indicada apenas por nome de contêiner: Salesforce Marketing Cloud (a única prevista no contrato), Insider (10007563, ativa), Braze — pausado nos três contêineres da conta 94905 e ativo em GTM-PZ733B5 (tags 434, 439, 441, 442, paused: false, conferido no export — o achado 18 da auditoria também registra o Braze entre o que dispara ali) — e RD Station, cuja única evidência é o nome do contêiner OLX - RD Stat…</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As propriedades GA4 nominalmente B2B do onboarding não têm tráfego: OLX PRO (382768600) registra 119 sessões em três meses, só direto, e OLX Pro Landing (382776122) registra zero evento no período (PENDENCIAS 13). São propriedades órfãs ou desligadas — e não se sabe qual.</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Na superfície de captação de anunciante Imóveis a ferramenta de comportamento está desligada: [TAG] Mouseflow (id 139) em GTM-PZ733B5 está pausada, com projeto diferente do Master (auditoria (vii), achado 21; fingerprint 08/01/2026 no export).</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 arquivo original do slide FLUXOS não está no repositório (L28) — find -iname "*fluxos*" não retorna nada, e assets/originais/A-visao-de-negocio-e-fluxo-de-receita/ contém um único arquivo, jornada-do-cliente-profissional.png. Todo o mix de canais existe em prosa de anotação de reunião, sem fonte conferível.</w:t>
      </w:r>
    </w:p>
    <w:p>
      <w:pPr>
        <w:spacing w:before="80" w:after="120" w:line="283" w:lineRule="auto"/>
      </w:pPr>
      <w:r>
        <w:rPr>
          <w:b w:val="0"/>
          <w:i w:val="0"/>
          <w:color w:val="5E5458"/>
          <w:sz w:val="18"/>
          <w:rFonts w:ascii="Calibri" w:hAnsi="Calibri" w:cs="Calibri"/>
        </w:rPr>
        <w:t>Para subir de nível: Para sustentar nível 3 ("canais claros e integrados") seria preciso (a) o desenho da prospecção ativa dentro do mapa de canais, com etapas próprias (L1); (b) dimensionar a mídia paga que cai em Direto (L15/F12) — sem isso o mix de 5 canais é estimativa, não mapa; (c) a resposta a qual das quatro plataformas de relacionamento é a oficial — pergunta ainda não formulada à OLX; (d) o arquivo-fonte do slide FLUXOS versionado (L28), sem o qual nenhum percentual de canal é evidência formal. Nada disso tem DRI nem prazo em PENDENCIAS.md hoje. Fora do rol de evidências, e registrado aqui: as 247.694 sessões atribuídas a "AI Assistant" no VivaReal em jun–ago/2026 (dados/client.json, achados preliminares) não podem ser usadas — o próprio campo instrui que "nenhum número acima foi usado ainda em diagnóstico. São leituras de verificação de acesso" (ga4.nota, coleta de 31/08), a propriedade é de cons…</w:t>
      </w:r>
    </w:p>
    <w:p>
      <w:pPr>
        <w:spacing w:before="280" w:after="40"/>
      </w:pPr>
      <w:r>
        <w:rPr>
          <w:b/>
          <w:i w:val="0"/>
          <w:color w:val="1A1416"/>
          <w:sz w:val="23"/>
          <w:rFonts w:ascii="Calibri" w:hAnsi="Calibri" w:cs="Calibri"/>
        </w:rPr>
        <w:t>Processos e Automação — nível 2</w:t>
      </w:r>
    </w:p>
    <w:p>
      <w:pPr>
        <w:spacing w:before="0" w:after="60" w:line="283" w:lineRule="auto"/>
      </w:pPr>
      <w:r>
        <w:rPr>
          <w:b/>
          <w:i w:val="0"/>
          <w:color w:val="2F6B4F"/>
          <w:sz w:val="19"/>
          <w:rFonts w:ascii="Calibri" w:hAnsi="Calibri" w:cs="Calibri"/>
        </w:rPr>
        <w:t>O que sustenta</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Qualificação automatizada em produção e recém-melhorada [D]: Michelle Morais, 00:44:38 — o fluxo de qualificação "agora tá automatizado com o time", e o histórico de cliente inativo é reaproveitado (L10). Declaração em reunião, não verificada no produto.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MQL e SQL têm definição declarada e critério objetivo de elegibilidade [D]: MQL = nome, e-mail, telefone e em alguns canais documento; SQL = lead elegível, exige CNPJ do setor (em Imóveis só se vende para imobiliária e corretor) — Carolina Dallolio, 00:46:02, respondendo à pergunta de Rafael Corazza (V4) feita no fim do bloco 00:44:38. Fecha o bloco 04 do formulário de kick-off. (L10 cita "Carolina e Michelle, 00:44:38" — corrigir o minuto no caderno.)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Dashboards de funil B2B existem e são operados [D]: MQL, SQL, vendas, taxa de qualificação e conversão, com filtro por vertical, pelos cinco canais, por time comercial e por período; histórico padrão de 12 meses; base processada em batch diário, no horário das 3h — Lu Machim, 00:05:42–00:08:59 ("como são 3 horas, gente, é o momento que roda e processa os dados de marketing"; "as nossas bases elas rodam as 3 horas"), registrado como "processamento diário às 3h" em 06-reunioes…</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 casa sabe fazer consolidação de tag corretamente: em GTM-PZ733B5, seis tags do funil comercial foram unificadas em três, com as antigas pausadas e cada gatilho absorvido pela ativa equivalente (purchase Privado 227→317; add_to_cart 243/267/303→258; begin_checkout 248/256→308) — auditoria (vii), seção Contraponto, conferida gatilho por gatilho. As nove tags têm fingerprint de 21/10/2025 no export.</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Mudança estrutural de jornada declarada como em curso, não concluída: "a gente acabou de mudar essa jornada porque antes a pessoa podia fazer login na plataforma antes de pagar o boleto e agora não" e, na mesma fala, "Então, a gente tá mudando essa jornada" [D] — Leonardo Costa, 00:26:33, transcrição de 28/08 linha 689 (L2). Não verificada no produto.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Automação de atribuição client-side deliberada e documentada em código: tag 162 [TAG] Settings - UTM Cookies no Container Master grava sf_utm_* em .olx.com.br, last-click não-direto, janela de 90 dias, com o comentário do próprio autor "Atribuição client-side. Não substitui dados do GA4." (auditoria (vii), achado 15; tag 162 conferida no export gtm-546n2jv_workspace206.json).</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Existe arquitetura de carregamento centralizada: o Container Master (GTM-546N2JV, 13 tags) serve os 5 domínios B2B por zonas e é por essas zonas que se descobriram os contêineres filhos GTM-PZ733B5, GTM-5WWRGTQ, GTM-KP8QMDH, GTM-T2H3VFL e GTM-PWP7Z4C (auditoria (vii), achado 17).</w:t>
      </w:r>
    </w:p>
    <w:p>
      <w:pPr>
        <w:spacing w:before="80" w:after="60" w:line="283" w:lineRule="auto"/>
      </w:pPr>
      <w:r>
        <w:rPr>
          <w:b/>
          <w:i w:val="0"/>
          <w:color w:val="A32218"/>
          <w:sz w:val="19"/>
          <w:rFonts w:ascii="Calibri" w:hAnsi="Calibri" w:cs="Calibri"/>
        </w:rPr>
        <w:t>O que contradiz</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93 das 367 tags do parque exportado estão pausadas (25,3%) — assets/originais/README.md, bloco H. Isso não é, por si, degradação: conferi 6 casos em GTM-PZ733B5 que são consolidação correta, com cobertura preservada. Outra parte é automação nunca ligada. O repositório não sabe a proporção e ninguém na OLX declarou qual é qual — essa é a lacuna, não o percentual.</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Automação de CRM montada e não ligada na conta principal: contagem direta sobre os exports (critério: tags cujo nome começa por [TAG] Braze -) devolve 22 tags do Braze pausadas nos três contêineres da conta 94905 — Master 3 (214, 228, 229), GTM-KGFGVFC 7 (433, 435, 437, 439, 443, 444, 445) e GTM-MXQKDG3 12 (523–550) — cobrindo inicialização, page view, begin checkout, purchase e ad insertion/edition/remove. Mas em GTM-PZ733B5 quatro tags do Braze estão ativas (434, 439, 441,…</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 mesma correção existe num contêiner e não no outro, mas a geografia e a cronologia não são as que a auditoria conta. A tag 364 [TAG] DataLayer - View Promotion, que testa nulo (links[i] &amp;&amp; links[i].getAttribute("href") &amp;&amp;), está em GTM-KGFGVFC e não no Master — o export gtm-546n2jv_workspace206.json tem 13 tags (ids 27, 57, 153, 158, 162, 164, 171, 180, 205, 208, 214, 228, 229) e não contém a 364. A tag 54, que quebra em qualquer &lt;a&gt; sem href, está em GTM-MJX9PG4. Os dois …</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Não existe plano de mensuração nem taxonomia documentada. O item H3 do checklist registra: não recebido — a taxonomia teve de ser reconstruída a partir do export. Sem documento de referência, não há processo repetível contra o qual comparar a implementação.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 taxonomia praticada tem duas grafias para o mesmo conceito em GTM-KGFGVFC: plano-profissional (gatilhos 306 e 434) contra planos-profissionais (436 e 441) — achado 9. Nenhum dos quatro gatilhos alimenta hoje uma tag ativa: conferi no export gtm-kgfgvfc_workspace131.json que o 306 não é usado por tag nenhuma (a própria auditoria diz isso no achado 1), o 434 dispara só as tags 435 e 439 (Braze, pausadas), o 436 só a 437 (pausada) e o 441 só a 445 (pausada). A divergência viv…</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Um gatilho ativo escuta um nome de evento que não existe: gatilho 377 de GTM-MXQKDG3 escuta ads_remove; o evento real é ad_remove, com 157.632 ocorrências em agosto e ads_remove em zero (achado 8). A tag web de remoção de anúncio nunca dispara, e a origem dos 157 mil não foi apurada.</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Código de depuração e erro de JavaScript em produção: console.log(el) na tag 349 de GTM-KGFGVFC, disparando a cada clique; e a tag 405 usa search.searchParams com search fora de escopo, quebrando exatamente no tráfego Intercom que ela existe para medir (achados 3 e 12).</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Universal Analytics ainda instalado e disparando dois anos após a desativação da plataforma (UA-70177409-2, em GTM-KGFGVFC e GTM-MJX9PG4) — e em Conecta Autos as visualizações de seção existem só na propriedade morta, com a equivalente GA4 pausada (achado 6). Não há rotina de manutenção do parque.</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Sobre tagueamento server-side, o repositório afirma mais do que apurou e menos do que o export mostra. O checklist H4 conclui "sem contêiner server-side", mas a verificação é de 01/09, sobre os 5 contêineres da primeira rodada — GTM-PZ733B5, auditado em 02/09, não foi coberto e o checklist não foi reescrito. Verifiquei os 11 exports por server_container_url/transport_url: nenhum dos 6 contêineres auditados envia para contêiner server-side, mas existe um endpoint declarado no…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No lado Imóveis o processo de consentimento não roda: as duas tags de inicialização do AdOpt (338 e 340) estão pausadas em GTM-PZ733B5 enquanto 17 tags do contêiner declaram consentSettings: NEEDED (achado 18). No Master, o mesmo processo roda concedendo tudo por padrão, com o botão de recusa oculto por CSS e o injetor com 4s de atraso (achado 2). Dois defeitos distintos, na mesma obrigação de LGPD, em dois lados do grupo.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Alavanca de processo reconhecida e não usada: metade da base paga por boleto, ~40% cartão e o restante Pix, sem nenhuma diferenciação de preço por meio de pagamento — "a gente sabe que deveria, mas hoje não" [D] (Carolina Dallolio, 00:21:16, L20). Separadamente e em outra fala: o esquecimento responde por 20% dos atrasos, "mas não do churn" [D] (Carolina, 00:22:16, L19). A fração de atraso atribuível ao boleto não está medida em fonte nenhuma — L19 existe justamente para imp…</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 investimento de mídia não está no dashboard de funil — vive num controle mantido fora dele, na área de mídia: "isso é outro controle que a gente tem" (Mirella Mendonça, 00:10:08, L9). É falha de integração entre dois controles, não de pessoa. Sem essa integração, não há CAC por canal.</w:t>
      </w:r>
    </w:p>
    <w:p>
      <w:pPr>
        <w:spacing w:before="80" w:after="120" w:line="283" w:lineRule="auto"/>
      </w:pPr>
      <w:r>
        <w:rPr>
          <w:b w:val="0"/>
          <w:i w:val="0"/>
          <w:color w:val="5E5458"/>
          <w:sz w:val="18"/>
          <w:rFonts w:ascii="Calibri" w:hAnsi="Calibri" w:cs="Calibri"/>
        </w:rPr>
        <w:t>Para subir de nível: Para nível 3 ("processos documentados e repetíveis") falta o que o próprio checklist marca como não recebido: plano de mensuração e taxonomia de eventos (H3), sem o qual não existe padrão contra o qual conferir implementação. Falta rotina de manutenção — nada explica UA vivo dois anos depois, 25% do parque pausado sem classificação, e a mesma verificação de nulo presente num contêiner e ausente num irmão. E falta confirmação do que está no ar: os 11 exports são de *workspace* (workspace392, workspace131, workspace206…), não de versão publicada; nenhum achado foi confrontado com produção; o print da aba Versões do GTM-KGFGVFC (item 1.7 da coleta) segue [ ] e assets/originais/H-rastreamento-gtm/telas/ está vazia — sem ele não se sabe desde quando o purchase está preso ao gatilho de begin_checkout, ou seja, que janela do histórico de conversão está contaminada.</w:t>
      </w:r>
    </w:p>
    <w:p>
      <w:pPr>
        <w:spacing w:before="280" w:after="40"/>
      </w:pPr>
      <w:r>
        <w:rPr>
          <w:b/>
          <w:i w:val="0"/>
          <w:color w:val="1A1416"/>
          <w:sz w:val="23"/>
          <w:rFonts w:ascii="Calibri" w:hAnsi="Calibri" w:cs="Calibri"/>
        </w:rPr>
        <w:t>Uso de Dados e Inteligência — nível 2</w:t>
      </w:r>
    </w:p>
    <w:p>
      <w:pPr>
        <w:spacing w:before="0" w:after="60" w:line="283" w:lineRule="auto"/>
      </w:pPr>
      <w:r>
        <w:rPr>
          <w:b/>
          <w:i w:val="0"/>
          <w:color w:val="2F6B4F"/>
          <w:sz w:val="19"/>
          <w:rFonts w:ascii="Calibri" w:hAnsi="Calibri" w:cs="Calibri"/>
        </w:rPr>
        <w:t>O que sustenta</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Capacidade instalada em tier pago, com o perímetro da leitura declarado: das 5 propriedades cujo tier foi lido, 4 estão em GOOGLE_ANALYTICS_360 (GA4 VivaReal, GA4 ZapImóveis, OLX App + Web, Autos 360) e 1 em GOOGLE_ANALYTICS_STANDARD (GA4 Grupo OLX) — dados/client.json, ga4.service_level, leitura de 01/09. O tier das outras 21 das 26 propriedades não foi apurado. Em GTM, as quatro contas do grupo têm selo 360 — fonte: PENDENCIAS 17 e 02-diagnostico/coleta-pendente.md, não ga…</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 medição B2B existe e mora em propriedade paga com conversão declarada. Os 5 contêineres da primeira rodada escrevem em G-50C013M2CC, que é OLX App + Web (152644854), tier 360, 219 nomes de evento — box "Onde o dado cai" da auditoria (vii) e PENDENCIAS 16. E begin_checkout (2.686.897) e purchase (565.258) estão "os dois marcados como evento-chave" (auditoria (vii), achado 1; volumes também em client.json, ga4.propriedade_da_medicao_b2b.volumes_agosto_2026). O diagnóstico co…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Volume e granularidade de evento reais na propriedade da medição B2B, agosto/2026: qualified_lead_autos_pro 4.680.465, ad_insertion 4.602.128, ad_edition 4.140.566, ad_remove 157.632 (auditoria (vii), achado 13); begin_checkout 2.686.897 e purchase 565.258 (achado 1 e client.json). ⚠️ O que esses eventos medem não foi confirmado — são contagens de eventos com nome sugestivo, não leads apurados. Comparar 4,68 mi de "qualified leads" profissionais por mês com as "414 vendas" q…</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Onde há conversão definida no lado consumidor, ela é usada: GA4 VivaReal marca generate_lead (830.116) e generate_lead_pro (661.144) em agosto (PENDENCIAS 13). ⚠️ PENDENCIAS 13 classifica generate_lead_pro como "o primeiro indicador possivelmente B2B" e mantém aberta a ação 1 — "confirmar o que generate_lead_pro mede". Sem resposta, é evidência de que há conversão nomeada, não de que ela mede o funil de anunciante.</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 operação lê o funil com corte e série [D]: taxa de qualificação (MQL→SQL) e conversão em vendas (SQL→venda), por vertical, canal, time e período, sobre 12 meses de histórico, com processamento diário às 3h — Lu Machim, 00:05:42–00:08:59 (L6). Esse é o uso de indicador que sustenta o 2 e não o 1 (ver o_que_falta).</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Proxy de entrega ao cliente formalizado em uma vertical [D]: "a proxy que a gente usa é três leads em 7 dias para OLX" — Leonardo Costa, transcrição de 28/08 linha 1159, bloco 00:53:50 (L26).</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Autoconsciência analítica registrada pelo próprio cliente: a anotação "perde atribuição: entra tudo como Direto" vem do slide FLUXOS apresentado pela OLX em 28/08 [D]. Não é evidência formal no sentido da regra 5 enquanto o arquivo-fonte não estiver versionado (L28) — vira, quando o original entrar no repositório. Resolver L28 antes de qualquer score de trava, porque lacunas §2 já usa o termo "evidência formal" para sustentar nota acima de 3.</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Existe camada de gravação de sessão instalada e ativa: Mouseflow no Master (tag 27, projeto b837e449-83ee-457f-9ef5-8f976953f2bc), em todas as páginas web (checklist I4; tag conferida no export, não pausada).</w:t>
      </w:r>
    </w:p>
    <w:p>
      <w:pPr>
        <w:spacing w:before="80" w:after="60" w:line="283" w:lineRule="auto"/>
      </w:pPr>
      <w:r>
        <w:rPr>
          <w:b/>
          <w:i w:val="0"/>
          <w:color w:val="A32218"/>
          <w:sz w:val="19"/>
          <w:rFonts w:ascii="Calibri" w:hAnsi="Calibri" w:cs="Calibri"/>
        </w:rPr>
        <w:t>O que contradiz</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Quatro propriedades não têm nenhum evento marcado como chave: GA4 Grupo OLX (2,47 mi de sessões jun–ago), Autos 360 (1,14 mi de sessões e 449 nomes de evento distintos), ANAPRO (11,19 mi de page_view) e OLX PRO (PENDENCIAS 13). Das quatro, só a GA4 Grupo OLX tem domínios levantados — e mesmo esses vêm de reconstrução da V4 no GA4, não de entrega da OLX: o checklist C1 está 🟡 e termina em "Confirmar com a OLX antes de fixar o escopo: a leitura é de tráfego, não de negócio". 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Onde a conversão foi declarada no lado consumidor, foi declarada errado: GA4 VivaReal marca session_start como evento-chave — 13,27 mi em agosto (PENDENCIAS 13). Contamina toda taxa de conversão relatada e, se importada no Google Ads, treina o Smart Bidding para comprar sessão. Se está importada é a ação 2 da PENDENCIAS 13, sem resposta — é ela que decide a gravidade.</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 propriedade nominalmente B2B do onboarding é a única, entre as 5 lidas, no tier gratuito — GA4 Grupo OLX (503925542, GOOGLE_ANALYTICS_STANDARD), que carrega ads.grupoolx.com.br, imoveis., autos., o institucional e vender.olx.com.br — e não recebe de nenhum dos 6 contêineres auditados. Isso é sinal de propriedade órfã e de mapa errado no onboarding, não prova de subinvestimento no perímetro contratado: a medição B2B efetiva roda em propriedade 360. O tier das outras 21 prop…</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No perímetro B2B o funil derivável do GA4 está quebrado por configuração: lead_b2b = 0 eventos em agosto apesar da tag 429 estar montada e ativa — numerador inexistente (achado 3); e purchase está pendurado no gatilho 215 de begin_checkout — conversão contaminada (achado 1). A parcela B2B contaminada dentro dos 565.258 purchase não foi isolada: nenhum percentual de contaminação pode ser afirmado.</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Provavelmente o denominador não é segmentável, e isso segue condicional: seller_category fica vazio se user_olx não for gravado — a única tag do material exportado que grava essa chave (tag 57, Master) está pausada, e 8 propriedades de usuário a leem em três contêineres (achado 4). ⚠️ A confirmar antes de comitê: se o site grava user_olx por código próprio, fora do GTM. "Se gravar, o problema não existe" (achado 4, e Ressalva de leitura 2 da auditoria). Não há registro de ve…</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Os parâmetros de item de e-commerce são lidos sem índice de array (ecommerce.items.item_id, .price, .quantity), quando o próprio contêiner prova que a forma correta é conhecida ([VAR] E-commerce - Items usa ecommerce.items.0) — achado 5. Consequência provável: purchase sem valor. Não confirmada no Preview, como o próprio documento exige.</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Duas fontes de verdade de atribuição operam ao mesmo tempo, com modelos e janelas diferentes: o GA4 e os cookies sf_utm_* (last-click não-direto, 90 dias) alimentando o Salesforce — achado 15. Toda divergência de números entre marketing e comercial provavelmente nasce aí.</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 medição B2B está espalhada por pelo menos três propriedades identificadas por engenharia reversa dos contêineres (G-50C013M2CC, G-6TV9FSHYVM, G-ZBYP2KJ7L9) mais quatro Google Tags soltas (GT-K8GV5GMK, G-W39KX3CBHX, AW-791128603, AW-10779204119), e o mapa propriedade × measurement ID × superfície nunca foi entregue (PENDENCIAS 16, achado 19).</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 mesmo lead é contado duas vezes em duas propriedades no lado Imóveis: o gatilho [208] lead_dbm dispara generate_lead para G-6TV9FSHYVM (tag 209) e para G-ZBYP2KJ7L9 (tag 356) — achado 20. Qual das duas é a de referência não foi confirmado, e sem isso generate_lead não serve de numerador.</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A causa declarada do churn não é medida onde o churn dói: baixa performance é o principal motivo de churn [D], performance é medida por proxy, e "a gente não tem um número mágico para real estate" — Leonardo Costa, 00:53:50 (L26).</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Nenhuma das seis taxas da jornada tem denominador, volume absoluto, período de apuração ou tempo de passagem; quatro das seis vêm somadas sobre Autos e Imóveis, que têm modelos de anúncio e de cobrança diferentes. Pelo POP, as seis etapas estão narradas, não mapeadas.</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 mesmo número circula em duas unidades sem que ninguém tenha decidido qual vale: o slide diz "50% da receita" (jornada-do-cliente-profissional.md, etapa 1) e Carolina diz "50% da base" (00:05:42). Receita e base não são o mesmo denominador, e o repositório carrega as duas versões em documentos diferentes (ambiguidade 5, aberta).</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 churn de 8–10% [D] não tem unidade declarada (logo ou receita). O que está na fonte é que o net foi lido em receita: "net negativo é em receita, as nossas entradas não estão compensando o churn mais downgrade" — Iuna Scheffler, kick-off de 24/08, 01:07:38, sem nomear vertical. O recorte por Imóveis vem da leitura da V4 em jornada-do-cliente-profissional.md §UDE #1, não da fala. Ambiguidade 4, aberta.</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Não há CAC por canal: o investimento de mídia está fora do dashboard de funil (L9) e o canal Direto está inflado por mídia paga sem atribuição (L15). Mesmo integrando os dois controles, o CAC não fecha enquanto L15 não for dimensionada.</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 acesso concedido ao GA4 é Leitor, coerente com can_edit=false nas 26 propriedades. Nenhuma tela de Administração abre — fluxos de dados, regras de evento, definições personalizadas, retenção, filtros e consentimento (checklist H1/H4). Os cinco itens do Bloco 2 da coleta-pendente (2.1 BigQuery, 2.2 retenção, 2.3 fluxos de dados, 2.4 lista completa de eventos-chave, 2.5 gerenciamento de acesso) seguem [ ].</w:t>
      </w:r>
    </w:p>
    <w:p>
      <w:pPr>
        <w:spacing w:after="60" w:line="276" w:lineRule="auto"/>
        <w:ind w:left="567" w:hanging="255"/>
      </w:pPr>
      <w:r>
        <w:rPr>
          <w:b w:val="0"/>
          <w:i w:val="0"/>
          <w:color w:val="1A1416"/>
          <w:sz w:val="20"/>
          <w:rFonts w:ascii="Consolas" w:hAnsi="Consolas" w:cs="Consolas"/>
        </w:rPr>
        <w:t xml:space="preserve">•  </w:t>
      </w:r>
      <w:r>
        <w:rPr>
          <w:b w:val="0"/>
          <w:i w:val="0"/>
          <w:color w:val="1A1416"/>
          <w:sz w:val="20"/>
          <w:rFonts w:ascii="Calibri" w:hAnsi="Calibri" w:cs="Calibri"/>
        </w:rPr>
        <w:t>O Bloco A do checklist (A1 receita 24 meses por linha de negócio, A2 funil com volumes e taxas 12–24 meses, A3 ticket médio/ciclo/CAC) segue com zero itens recebidos — todos ⚪. Não é acesso, é entrega de dado, e sem ele a regra 8 do repositório não é executável nem depois de corrigidos os achados 1, 3 e 4.</w:t>
      </w:r>
    </w:p>
    <w:p>
      <w:pPr>
        <w:spacing w:before="80" w:after="120" w:line="283" w:lineRule="auto"/>
      </w:pPr>
      <w:r>
        <w:rPr>
          <w:b w:val="0"/>
          <w:i w:val="0"/>
          <w:color w:val="5E5458"/>
          <w:sz w:val="18"/>
          <w:rFonts w:ascii="Calibri" w:hAnsi="Calibri" w:cs="Calibri"/>
        </w:rPr>
        <w:t>Para subir de nível: Por que 2 e não 1. O nível 1 da régua é "presença digital básica, processos informais, baixo uso de dados" (00-playbook/02-travas-de-receita.md §7), e as contra-evidências do perímetro B2B são compatíveis com ele. O que sustenta o 2 é uso de indicador demonstrado em tela: dashboards de funil B2B com MQL, SQL, vendas, taxa de qualificação e conversão, cortados por vertical, pelos cinco canais, por time comercial e por período, sobre 12 meses de histórico, com batch diário às 3h (Lu Machim, 00:05:42–00:08:59); MQL e SQL com definição declarada e critério de elegibilidade (Carolina Dallolio, 00:46:02); e uma propriedade de GA4 em tier 360 com 219 nomes de evento e evento-chave declarado. Isso não é ausência de dados: é dado usado reativamente, que é a definição do nível 2. O que faria a nota mudar, com critério objetivo. Sobe para 3 se, cumulativamente: (a) o Bloco A (A1–A3) for entregue e…</w:t>
      </w:r>
    </w:p>
    <w:p>
      <w:r>
        <w:br w:type="page"/>
      </w:r>
    </w:p>
    <w:p>
      <w:pPr>
        <w:spacing w:before="400" w:after="80"/>
      </w:pPr>
      <w:r>
        <w:rPr>
          <w:b/>
          <w:i w:val="0"/>
          <w:color w:val="970013"/>
          <w:sz w:val="26"/>
          <w:rFonts w:ascii="Consolas" w:hAnsi="Consolas" w:cs="Consolas"/>
        </w:rPr>
        <w:t xml:space="preserve">04   </w:t>
      </w:r>
      <w:r>
        <w:rPr>
          <w:b/>
          <w:i w:val="0"/>
          <w:color w:val="1A1416"/>
          <w:sz w:val="30"/>
          <w:rFonts w:ascii="Calibri" w:hAnsi="Calibri" w:cs="Calibri"/>
        </w:rPr>
        <w:t>O que este documento não é</w:t>
      </w:r>
    </w:p>
    <w:p>
      <w:pPr>
        <w:spacing w:before="40" w:after="200"/>
        <w:pBdr>
          <w:bottom w:val="single" w:sz="8" w:space="1" w:color="CFC6C8"/>
        </w:pBdr>
      </w:pPr>
    </w:p>
    <w:tbl>
      <w:tblPr>
        <w:tblW w:type="auto" w:w="0"/>
        <w:tblLook w:firstColumn="1" w:firstRow="1" w:lastColumn="0" w:lastRow="0" w:noHBand="0" w:noVBand="1" w:val="04A0"/>
        <w:tblBorders>
          <w:top w:val="single" w:sz="4" w:color="D8D0D2"/>
          <w:left w:val="single" w:sz="4" w:color="D8D0D2"/>
          <w:bottom w:val="single" w:sz="4" w:color="D8D0D2"/>
          <w:right w:val="single" w:sz="4" w:color="D8D0D2"/>
          <w:insideH w:val="single" w:sz="4" w:color="D8D0D2"/>
          <w:insideV w:val="single" w:sz="4" w:color="D8D0D2"/>
        </w:tblBorders>
      </w:tblPr>
      <w:tblGrid>
        <w:gridCol w:w="9858"/>
      </w:tblGrid>
      <w:tr>
        <w:tc>
          <w:tcPr>
            <w:tcW w:type="dxa" w:w="9858"/>
            <w:shd w:val="clear" w:color="auto" w:fill="FBEFF0"/>
            <w:tcMar>
              <w:top w:w="140" w:type="dxa"/>
              <w:start w:w="170" w:type="dxa"/>
              <w:bottom w:w="140" w:type="dxa"/>
              <w:end w:w="170" w:type="dxa"/>
            </w:tcMar>
          </w:tcPr>
          <w:p>
            <w:pPr>
              <w:spacing w:after="60"/>
            </w:pPr>
            <w:r/>
            <w:r>
              <w:rPr>
                <w:b/>
                <w:i w:val="0"/>
                <w:color w:val="7A0010"/>
                <w:sz w:val="16"/>
                <w:rFonts w:ascii="Calibri" w:hAnsi="Calibri" w:cs="Calibri"/>
              </w:rPr>
              <w:t>TRÊS LIMITES QUE PRECISAM SER DITOS EM VOZ ALTA</w:t>
            </w:r>
          </w:p>
          <w:p>
            <w:pPr>
              <w:spacing w:after="60" w:line="283" w:lineRule="auto"/>
            </w:pPr>
            <w:r>
              <w:rPr>
                <w:b w:val="0"/>
                <w:i w:val="0"/>
                <w:color w:val="1A1416"/>
                <w:sz w:val="19"/>
                <w:rFonts w:ascii="Calibri" w:hAnsi="Calibri" w:cs="Calibri"/>
              </w:rPr>
              <w:t>Não é a restrição do ciclo. Seis das oito travas não têm score fechado, e a régua do método bloqueia a consolidação causal enquanto isso for verdade. O que existe aqui é candidata, não restrição validada.</w:t>
            </w:r>
          </w:p>
          <w:p>
            <w:pPr>
              <w:spacing w:after="60" w:line="283" w:lineRule="auto"/>
            </w:pPr>
            <w:r>
              <w:rPr>
                <w:b w:val="0"/>
                <w:i w:val="0"/>
                <w:color w:val="1A1416"/>
                <w:sz w:val="19"/>
                <w:rFonts w:ascii="Calibri" w:hAnsi="Calibri" w:cs="Calibri"/>
              </w:rPr>
              <w:t>Não fecha a regra de reconciliação. A receita derivada do funil não pode ser comparada com a declarada, porque nenhuma das dez etapas tem volume absoluto.</w:t>
            </w:r>
          </w:p>
          <w:p>
            <w:pPr>
              <w:spacing w:after="0" w:line="283" w:lineRule="auto"/>
            </w:pPr>
            <w:r>
              <w:rPr>
                <w:b w:val="0"/>
                <w:i w:val="0"/>
                <w:color w:val="1A1416"/>
                <w:sz w:val="19"/>
                <w:rFonts w:ascii="Calibri" w:hAnsi="Calibri" w:cs="Calibri"/>
              </w:rPr>
              <w:t>Não é definitivo. Foi produzido antes do desbloqueio de acesso de 08/09. Quase tudo que está marcado como sem dado tem caminho de resolução conhecido — e a maior parte dele é extração do que já existe, não coleta nova.</w:t>
            </w:r>
          </w:p>
        </w:tc>
      </w:tr>
    </w:tbl>
    <w:p>
      <w:pPr>
        <w:spacing w:before="0" w:after="40" w:line="283" w:lineRule="auto"/>
      </w:pPr>
    </w:p>
    <w:p>
      <w:pPr>
        <w:spacing w:before="40" w:after="200"/>
        <w:pBdr>
          <w:bottom w:val="single" w:sz="8" w:space="1" w:color="CFC6C8"/>
        </w:pBdr>
      </w:pPr>
    </w:p>
    <w:p>
      <w:pPr>
        <w:spacing w:before="120" w:after="80" w:line="283" w:lineRule="auto"/>
      </w:pPr>
      <w:r>
        <w:rPr>
          <w:b/>
          <w:i w:val="0"/>
          <w:color w:val="7A0010"/>
          <w:sz w:val="16"/>
          <w:rFonts w:ascii="Calibri" w:hAnsi="Calibri" w:cs="Calibri"/>
        </w:rPr>
        <w:t>PRIVACIDADE E USO</w:t>
      </w:r>
    </w:p>
    <w:p>
      <w:pPr>
        <w:spacing w:before="0" w:after="100" w:line="283" w:lineRule="auto"/>
      </w:pPr>
      <w:r>
        <w:rPr>
          <w:b w:val="0"/>
          <w:i w:val="0"/>
          <w:color w:val="5E5458"/>
          <w:sz w:val="18"/>
          <w:rFonts w:ascii="Calibri" w:hAnsi="Calibri" w:cs="Calibri"/>
        </w:rPr>
        <w:t>Os acessos solicitados são usados exclusivamente para a finalidade contratual e restritos aos profissionais estritamente necessários, sob compromisso de confidencialidade. Onde o nível administrativo é necessário, ele serve para estabelecer a integração de dados, e nenhuma alteração de configuração, campanha, verba ou publicação acontece sem aprovação prévia e explícita do Grupo OLX. Credenciais ficam em gerenciador de senhas, com troca obrigatória ao término da prestação ou em suspeita de incidente, e armazenamento residual máximo de 30 dias após o encerramento. A OLX pode revogar ou reduzir qualquer permissão a qualquer tempo.</w:t>
      </w:r>
    </w:p>
    <w:p>
      <w:pPr>
        <w:spacing w:before="0" w:after="0" w:line="283" w:lineRule="auto"/>
      </w:pPr>
      <w:r>
        <w:rPr>
          <w:b w:val="0"/>
          <w:i w:val="0"/>
          <w:color w:val="5E5458"/>
          <w:sz w:val="18"/>
          <w:rFonts w:ascii="Calibri" w:hAnsi="Calibri" w:cs="Calibri"/>
        </w:rPr>
        <w:t>Encarregado de proteção de dados da V4: lgpd@v4company.com.br. Registro de máquina em dados/outputs/ e versão longa em 02-diagnostico/.</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1A1416"/>
      <w:sz w:val="21"/>
      <w:rFonts w:ascii="Calibri" w:hAnsi="Calibri" w:cs="Calibri" w:eastAsia="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