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3" w:lineRule="auto"/>
      </w:pPr>
      <w:r>
        <w:rPr>
          <w:b/>
          <w:i w:val="0"/>
          <w:color w:val="7A0010"/>
          <w:sz w:val="16"/>
          <w:rFonts w:ascii="Calibri" w:hAnsi="Calibri" w:cs="Calibri"/>
        </w:rPr>
        <w:t>V4 COMPANY  ·  GRUPO OLX  ·  DESTRAVA RECEITA, CICLO 1</w:t>
      </w:r>
    </w:p>
    <w:p>
      <w:pPr>
        <w:spacing w:before="0" w:after="120" w:line="283" w:lineRule="auto"/>
      </w:pPr>
      <w:r>
        <w:rPr>
          <w:b/>
          <w:i w:val="0"/>
          <w:color w:val="1A1416"/>
          <w:sz w:val="52"/>
          <w:rFonts w:ascii="Calibri" w:hAnsi="Calibri" w:cs="Calibri"/>
        </w:rPr>
        <w:t>Acessos e níveis de dado</w:t>
      </w:r>
    </w:p>
    <w:p>
      <w:pPr>
        <w:spacing w:before="0" w:after="160" w:line="283" w:lineRule="auto"/>
      </w:pPr>
      <w:r>
        <w:rPr>
          <w:b w:val="0"/>
          <w:i w:val="0"/>
          <w:color w:val="5E5458"/>
          <w:sz w:val="24"/>
          <w:rFonts w:ascii="Calibri" w:hAnsi="Calibri" w:cs="Calibri"/>
        </w:rPr>
        <w:t>Por que cada acesso precisa do nível pedido, e o que cada um destrava nas nove auditorias contratadas. A lista de trabalho está no Checklist de liberação, enviado junto com este.</w:t>
      </w:r>
    </w:p>
    <w:p>
      <w:pPr>
        <w:spacing w:before="40" w:after="200"/>
        <w:pBdr>
          <w:bottom w:val="single" w:sz="18" w:space="1" w:color="1A1416"/>
        </w:pBdr>
      </w:pPr>
    </w:p>
    <w:p>
      <w:pPr>
        <w:spacing w:after="80"/>
      </w:pPr>
      <w:r>
        <w:rPr>
          <w:b w:val="0"/>
          <w:i w:val="0"/>
          <w:color w:val="8F858A"/>
          <w:sz w:val="17"/>
          <w:rFonts w:ascii="Consolas" w:hAnsi="Consolas" w:cs="Consolas"/>
        </w:rPr>
        <w:t>Emitido em 25 ago 2026     Liberações idealmente até 26 ago     Comitê 1 em 17 set 2026</w:t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01   </w:t>
      </w:r>
      <w:r>
        <w:rPr>
          <w:b/>
          <w:i w:val="0"/>
          <w:color w:val="1A1416"/>
          <w:sz w:val="30"/>
          <w:rFonts w:ascii="Calibri" w:hAnsi="Calibri" w:cs="Calibri"/>
        </w:rPr>
        <w:t>Dois sentidos de “nível”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1"/>
          <w:rFonts w:ascii="Calibri" w:hAnsi="Calibri" w:cs="Calibri"/>
        </w:rPr>
        <w:t>Este documento usa a palavra nível em dois sentidos, e eles pedem coisas diferentes de vocês. Vale separar antes de entrar na lista, porque a maior parte das dúvidas sobre um pedido de acesso nasce da confusão entre os dois.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4929"/>
        <w:gridCol w:w="4929"/>
      </w:tblGrid>
      <w:tr>
        <w:tc>
          <w:tcPr>
            <w:tcW w:type="dxa" w:w="260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</w:p>
        </w:tc>
        <w:tc>
          <w:tcPr>
            <w:tcW w:type="dxa" w:w="6803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Nível de permissão</w:t>
            </w:r>
          </w:p>
        </w:tc>
        <w:tc>
          <w:tcPr>
            <w:tcW w:type="dxa" w:w="680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O que a plataforma deixa a gente fazer. Cinco itens pedem nível administrativo ou proprietário, e não porque vamos alterar alguma coisa: é que estabelecer uma integração é, no Google e na Meta, um ato administrativo. Depois de ligada, a integração apenas lê.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Profundidade do dado</w:t>
            </w:r>
          </w:p>
        </w:tc>
        <w:tc>
          <w:tcPr>
            <w:tcW w:type="dxa" w:w="6803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O que o material entregue deixa a gente concluir. Parte do que já recebemos está liberado, mas num formato que responde perguntas já feitas e não permite fazer as perguntas novas do diagnóstico.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Calibri" w:hAnsi="Calibri" w:cs="Calibri"/>
              </w:rPr>
              <w:t>O PRAZO É ÚNICO E VALE PARA TUDO: IDEALMENTE ATÉ 26 DE AGOSTO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As nove auditorias funcionam em cadeia, e as primeiras alimentam as seguintes. Cada dia de espera na liberação sai do tempo de análise, não de folga. Se algum item não puder sair até lá, a informação mais útil que vocês podem nos dar é qual: com ela reorganizamos a sequência das auditorias e o cronograma segue de pé.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02   </w:t>
      </w:r>
      <w:r>
        <w:rPr>
          <w:b/>
          <w:i w:val="0"/>
          <w:color w:val="1A1416"/>
          <w:sz w:val="30"/>
          <w:rFonts w:ascii="Calibri" w:hAnsi="Calibri" w:cs="Calibri"/>
        </w:rPr>
        <w:t>Nível de permissão, item a item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1"/>
          <w:rFonts w:ascii="Calibri" w:hAnsi="Calibri" w:cs="Calibri"/>
        </w:rPr>
        <w:t>A V4 opera sobre uma plataforma de análise de dados própria, o V4MOS, que lê as contas de mídia por integração direta e não por exportação manual. É o que permite acompanhar o comportamento das campanhas ao longo do ciclo, em vez de olhar a foto do mês passado, e é dela que sai a leitura de investimento e de custo de aquisição levada aos comitês. Conectar uma conta a essa plataforma exige perfil administrativo. Operá-la depois, não.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2464"/>
        <w:gridCol w:w="2464"/>
        <w:gridCol w:w="2464"/>
        <w:gridCol w:w="2464"/>
      </w:tblGrid>
      <w:tr>
        <w:tc>
          <w:tcPr>
            <w:tcW w:type="dxa" w:w="204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ACESSO</w:t>
            </w:r>
          </w:p>
        </w:tc>
        <w:tc>
          <w:tcPr>
            <w:tcW w:type="dxa" w:w="147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BASTA PARA ANALISAR</w:t>
            </w:r>
          </w:p>
        </w:tc>
        <w:tc>
          <w:tcPr>
            <w:tcW w:type="dxa" w:w="1701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NÍVEL PEDIDO</w:t>
            </w:r>
          </w:p>
        </w:tc>
        <w:tc>
          <w:tcPr>
            <w:tcW w:type="dxa" w:w="419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POR QUE O NÍVEL MAIOR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Google Analytics 4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Analista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Editor ou Administrador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Analista lê os relatórios, mas não permite verificar os fluxos de dados e as configurações de conversão, que são exatamente o objeto da auditoria. Administrador se houver vínculo ativo com o Google Ads.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Google Tag Manager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Leitura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Publicar ou Admin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Iniciamos com leitura. A permissão de publicação passa a ser necessária apenas quando houver correção de medição já aprovada por vocês. Admin de conta se existir contêiner server-side.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Google Search Console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Usuário completo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Proprietário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Perfis inferiores leem os relatórios na interface, mas não autorizam a extração de dados via API, que é como consolidamos a busca junto com o resto.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Meta Ads, as duas contas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Ver desempenho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Admin do Business Manager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Perfil de visualização vê os relatórios, mas não autoriza um parceiro externo nem conecta os ativos ao V4MOS, que é o passo que falta hoje.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Google Ads, captação de anunciante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Somente leitura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Administrativo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Necessário para aceitar a integração. Depois de estabelecida a conexão, o acesso pode ser reduzido para leitura.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CRM comercial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Leitura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Leitura com exportação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Não entra na integração. A permissão de exportar relatórios evita uma segunda rodada de pedidos a cada recorte novo.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Salesforce Marketing Cloud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Leitura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Leitura com exportação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Mesma situação acima.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CMS e ferramentas de SEO e comportamento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Leitura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Leitura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Nada além de leitura é necessário nesta fase.</w:t>
            </w:r>
          </w:p>
        </w:tc>
      </w:tr>
      <w:t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Contas do domínio @olxbr.com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—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Usuário padrão</w:t>
            </w:r>
          </w:p>
        </w:tc>
        <w:tc>
          <w:tcPr>
            <w:tcW w:type="dxa" w:w="419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Sem privilégio administrativo. São contas de pessoa, não de sistema.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EBF3EE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2F6B4F"/>
                <w:sz w:val="16"/>
                <w:rFonts w:ascii="Calibri" w:hAnsi="Calibri" w:cs="Calibri"/>
              </w:rPr>
              <w:t>O QUE VALE PARA QUALQUER NÍVEL CONCEDIDO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Uso exclusivo para a finalidade contratual, restrito aos profissionais estritamente necessários e sob compromisso de confidencialidade. Nenhuma alteração de configuração, campanha, verba ou publicação acontece sem aprovação prévia e explícita de vocês. Credenciais em gerenciador de senhas, com troca obrigatória ao término da prestação. O Grupo OLX pode revogar ou reduzir qualquer permissão a qualquer momento, inclusive logo após a configuração da integração.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03   </w:t>
      </w:r>
      <w:r>
        <w:rPr>
          <w:b/>
          <w:i w:val="0"/>
          <w:color w:val="1A1416"/>
          <w:sz w:val="30"/>
          <w:rFonts w:ascii="Calibri" w:hAnsi="Calibri" w:cs="Calibri"/>
        </w:rPr>
        <w:t>Profundidade do dado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60" w:line="283" w:lineRule="auto"/>
      </w:pPr>
      <w:r>
        <w:rPr>
          <w:b w:val="0"/>
          <w:i w:val="0"/>
          <w:color w:val="5E5458"/>
          <w:sz w:val="21"/>
          <w:rFonts w:ascii="Calibri" w:hAnsi="Calibri" w:cs="Calibri"/>
        </w:rPr>
        <w:t>O segundo sentido de nível. Acesso concedido e dado utilizável não são a mesma coisa: parte do material que já recebemos está liberado, mas num formato que não permite concluir.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1247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NÍVEL</w:t>
            </w:r>
          </w:p>
        </w:tc>
        <w:tc>
          <w:tcPr>
            <w:tcW w:type="dxa" w:w="351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O QUE É</w:t>
            </w:r>
          </w:p>
        </w:tc>
        <w:tc>
          <w:tcPr>
            <w:tcW w:type="dxa" w:w="4649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PARA QUE SERVE</w:t>
            </w:r>
          </w:p>
        </w:tc>
      </w:tr>
      <w:t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Nível 1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Material consolidado: apresentação, PDF, slide de resultado</w:t>
            </w:r>
          </w:p>
        </w:tc>
        <w:tc>
          <w:tcPr>
            <w:tcW w:type="dxa" w:w="464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Traz a conclusão de quem produziu. Serve para entender contexto e histórico.</w:t>
            </w:r>
          </w:p>
        </w:tc>
      </w:tr>
      <w:t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Nível 2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Relatório agregado: totais por mês, por campanha ou por área</w:t>
            </w:r>
          </w:p>
        </w:tc>
        <w:tc>
          <w:tcPr>
            <w:tcW w:type="dxa" w:w="464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Mostra tendência. Não permite cortar por segmento, safra, praça ou canal.</w:t>
            </w:r>
          </w:p>
        </w:tc>
      </w:tr>
      <w:t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1A1416"/>
                <w:sz w:val="19"/>
                <w:rFonts w:ascii="Calibri" w:hAnsi="Calibri" w:cs="Calibri"/>
              </w:rPr>
              <w:t>Nível 3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Dado na granularidade da linha, ou acesso à ferramenta</w:t>
            </w:r>
          </w:p>
        </w:tc>
        <w:tc>
          <w:tcPr>
            <w:tcW w:type="dxa" w:w="464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Permite recortar, cruzar e testar hipóteses que ninguém formulou ainda. É o único nível em que o diagnóstico das travas funciona.</w:t>
            </w:r>
          </w:p>
        </w:tc>
      </w:tr>
    </w:tbl>
    <w:p>
      <w:pPr>
        <w:spacing w:before="0" w:after="40" w:line="283" w:lineRule="auto"/>
      </w:pPr>
    </w:p>
    <w:p>
      <w:pPr>
        <w:spacing w:before="0" w:after="80" w:line="283" w:lineRule="auto"/>
      </w:pPr>
      <w:r>
        <w:rPr>
          <w:b w:val="0"/>
          <w:i w:val="0"/>
          <w:color w:val="1A1416"/>
          <w:sz w:val="21"/>
          <w:rFonts w:ascii="Calibri" w:hAnsi="Calibri" w:cs="Calibri"/>
        </w:rPr>
        <w:t>Quatro itens já liberados ou já entregues estão hoje no nível 1 ou 2. Abaixo, o que cada um já permite, o que ainda não permite, e o pedido que resolve a diferença.</w:t>
      </w:r>
    </w:p>
    <w:p>
      <w:pPr>
        <w:spacing w:before="280" w:after="40"/>
      </w:pPr>
      <w:r>
        <w:rPr>
          <w:b/>
          <w:i w:val="0"/>
          <w:color w:val="1A1416"/>
          <w:sz w:val="23"/>
          <w:rFonts w:ascii="Calibri" w:hAnsi="Calibri" w:cs="Calibri"/>
        </w:rPr>
        <w:t>Google Ads, MCC VivaReal</w:t>
      </w:r>
      <w:r>
        <w:rPr>
          <w:b/>
          <w:i w:val="0"/>
          <w:color w:val="8A5A00"/>
          <w:sz w:val="17"/>
          <w:rFonts w:ascii="Consolas" w:hAnsi="Consolas" w:cs="Consolas"/>
        </w:rPr>
        <w:t xml:space="preserve">   LIBERADO, ESCOPO A CONFIRMAR</w:t>
      </w:r>
    </w:p>
    <w:p>
      <w:pPr>
        <w:spacing w:before="0" w:after="120" w:line="283" w:lineRule="auto"/>
      </w:pPr>
      <w:r>
        <w:rPr>
          <w:b w:val="0"/>
          <w:i w:val="0"/>
          <w:color w:val="8F858A"/>
          <w:sz w:val="17"/>
          <w:rFonts w:ascii="Consolas" w:hAnsi="Consolas" w:cs="Consolas"/>
        </w:rPr>
        <w:t>VR09 ZAP+  ·  526-656-0190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4929"/>
        <w:gridCol w:w="4929"/>
      </w:tblGrid>
      <w:tr>
        <w:tc>
          <w:tcPr>
            <w:tcW w:type="dxa" w:w="470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2F6B4F"/>
                <w:sz w:val="16"/>
                <w:rFonts w:ascii="Calibri" w:hAnsi="Calibri" w:cs="Calibri"/>
              </w:rPr>
              <w:t>O QUE JÁ PERMITE</w:t>
            </w:r>
          </w:p>
          <w:p>
            <w:pPr>
              <w:spacing w:after="0" w:line="278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 conta está liberada e a integração ingere normalmente: 655 registros de campanha, 8 campanhas distintas, de 16/05/2025 a 22/06/2026, R$ 1,91 milhão investidos e 7,1 milhões de cliques. Lemos investimento, estrutura e performance dessas campanhas.</w:t>
            </w:r>
          </w:p>
        </w:tc>
        <w:tc>
          <w:tcPr>
            <w:tcW w:type="dxa" w:w="470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A32218"/>
                <w:sz w:val="16"/>
                <w:rFonts w:ascii="Calibri" w:hAnsi="Calibri" w:cs="Calibri"/>
              </w:rPr>
              <w:t>O QUE AINDA NÃO PERMITE</w:t>
            </w:r>
          </w:p>
          <w:p>
            <w:pPr>
              <w:spacing w:after="0" w:line="278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As 8 campanhas visíveis terminam com o sufixo 'pf' e tratam de aluguel, compra e Minha Casa Minha Vida, que descreve a jornada de quem procura imóvel. O escopo contratado é a receita de anunciante. Com o que está visível hoje, a auditoria de mídia leria o funil de consumidor.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Calibri" w:hAnsi="Calibri" w:cs="Calibri"/>
              </w:rPr>
              <w:t>O PEDIDO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1. Esta é a conta correta de captação B2B, ou existe outra estrutura focada em anunciantes?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2. Se existir outra, conceder nível administrativo nela para estabelecer a integração.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3. Confirmar se a série terminar em 22/06/2026 é o limite de ingestão ou uma lacuna real de dado.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Calibri" w:hAnsi="Calibri" w:cs="Calibri"/>
        </w:rPr>
        <w:t>Data room no Google Drive</w:t>
      </w:r>
      <w:r>
        <w:rPr>
          <w:b/>
          <w:i w:val="0"/>
          <w:color w:val="8A5A00"/>
          <w:sz w:val="17"/>
          <w:rFonts w:ascii="Consolas" w:hAnsi="Consolas" w:cs="Consolas"/>
        </w:rPr>
        <w:t xml:space="preserve">   PRIMEIRO LOTE RECEBIDO</w:t>
      </w:r>
    </w:p>
    <w:p>
      <w:pPr>
        <w:spacing w:before="0" w:after="120" w:line="283" w:lineRule="auto"/>
      </w:pPr>
      <w:r>
        <w:rPr>
          <w:b w:val="0"/>
          <w:i w:val="0"/>
          <w:color w:val="8F858A"/>
          <w:sz w:val="17"/>
          <w:rFonts w:ascii="Consolas" w:hAnsi="Consolas" w:cs="Consolas"/>
        </w:rPr>
        <w:t>9 arquivos, blocos de criativos e páginas de captura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4929"/>
        <w:gridCol w:w="4929"/>
      </w:tblGrid>
      <w:tr>
        <w:tc>
          <w:tcPr>
            <w:tcW w:type="dxa" w:w="470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2F6B4F"/>
                <w:sz w:val="16"/>
                <w:rFonts w:ascii="Calibri" w:hAnsi="Calibri" w:cs="Calibri"/>
              </w:rPr>
              <w:t>O QUE JÁ PERMITE</w:t>
            </w:r>
          </w:p>
          <w:p>
            <w:pPr>
              <w:spacing w:after="0" w:line="278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 pasta abriu, foi testada, e o primeiro lote já foi baixado. O canal funciona.</w:t>
            </w:r>
          </w:p>
        </w:tc>
        <w:tc>
          <w:tcPr>
            <w:tcW w:type="dxa" w:w="470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A32218"/>
                <w:sz w:val="16"/>
                <w:rFonts w:ascii="Calibri" w:hAnsi="Calibri" w:cs="Calibri"/>
              </w:rPr>
              <w:t>O QUE AINDA NÃO PERMITE</w:t>
            </w:r>
          </w:p>
          <w:p>
            <w:pPr>
              <w:spacing w:after="0" w:line="278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Não sabemos se o que está publicado encerra os materiais de criativos e de páginas de captura, ou se ainda haverá novo envio. Sem isso não conseguimos planejar o que resta pedir nem em que ordem.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Calibri" w:hAnsi="Calibri" w:cs="Calibri"/>
              </w:rPr>
              <w:t>O PEDIDO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1. Confirmar se o volume atual encerra esses blocos ou se haverá novo envio, e com que data.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Calibri" w:hAnsi="Calibri" w:cs="Calibri"/>
        </w:rPr>
        <w:t>Teste A/B da página Anuncie ZAP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RECEBIDO EM NÍVEL 1</w:t>
      </w:r>
    </w:p>
    <w:p>
      <w:pPr>
        <w:spacing w:before="0" w:after="120" w:line="283" w:lineRule="auto"/>
      </w:pPr>
      <w:r>
        <w:rPr>
          <w:b w:val="0"/>
          <w:i w:val="0"/>
          <w:color w:val="8F858A"/>
          <w:sz w:val="17"/>
          <w:rFonts w:ascii="Consolas" w:hAnsi="Consolas" w:cs="Consolas"/>
        </w:rPr>
        <w:t>Teste de 17 a 23 de março  ·  auditoria (viii)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4929"/>
        <w:gridCol w:w="4929"/>
      </w:tblGrid>
      <w:tr>
        <w:tc>
          <w:tcPr>
            <w:tcW w:type="dxa" w:w="470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2F6B4F"/>
                <w:sz w:val="16"/>
                <w:rFonts w:ascii="Calibri" w:hAnsi="Calibri" w:cs="Calibri"/>
              </w:rPr>
              <w:t>O QUE JÁ PERMITE</w:t>
            </w:r>
          </w:p>
          <w:p>
            <w:pPr>
              <w:spacing w:after="0" w:line="278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Recebemos os slides de resultado. Sabemos qual variante foi declarada vencedora e qual foi a diferença percentual reportada entre elas.</w:t>
            </w:r>
          </w:p>
        </w:tc>
        <w:tc>
          <w:tcPr>
            <w:tcW w:type="dxa" w:w="470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A32218"/>
                <w:sz w:val="16"/>
                <w:rFonts w:ascii="Calibri" w:hAnsi="Calibri" w:cs="Calibri"/>
              </w:rPr>
              <w:t>O QUE AINDA NÃO PERMITE</w:t>
            </w:r>
          </w:p>
          <w:p>
            <w:pPr>
              <w:spacing w:after="0" w:line="278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Vieram os percentuais, não os totais de visitantes e de conversões por variante. Sem o denominador não é possível recalcular a significância estatística, ou seja, não dá para afirmar se a diferença entre as variantes foi resultado real ou variação normal do período.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Calibri" w:hAnsi="Calibri" w:cs="Calibri"/>
              </w:rPr>
              <w:t>O PEDIDO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1. Totais de visitantes e de conversões por variante, no período completo do teste.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É o menor item deste documento e o melhor exemplo do que ele pede: não é dado novo, é o mesmo dado um nível abaixo. Se a decisão de página foi tomada sobre um teste sem significância, a recomendação de otimização muda de direção.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40"/>
      </w:pPr>
      <w:r>
        <w:rPr>
          <w:b/>
          <w:i w:val="0"/>
          <w:color w:val="1A1416"/>
          <w:sz w:val="23"/>
          <w:rFonts w:ascii="Calibri" w:hAnsi="Calibri" w:cs="Calibri"/>
        </w:rPr>
        <w:t>Biblioteca de criativos</w:t>
      </w:r>
      <w:r>
        <w:rPr>
          <w:b/>
          <w:i w:val="0"/>
          <w:color w:val="8A5A00"/>
          <w:sz w:val="17"/>
          <w:rFonts w:ascii="Consolas" w:hAnsi="Consolas" w:cs="Consolas"/>
        </w:rPr>
        <w:t xml:space="preserve">   AMOSTRA PARCIAL</w:t>
      </w:r>
    </w:p>
    <w:p>
      <w:pPr>
        <w:spacing w:before="0" w:after="120" w:line="283" w:lineRule="auto"/>
      </w:pPr>
      <w:r>
        <w:rPr>
          <w:b w:val="0"/>
          <w:i w:val="0"/>
          <w:color w:val="8F858A"/>
          <w:sz w:val="17"/>
          <w:rFonts w:ascii="Consolas" w:hAnsi="Consolas" w:cs="Consolas"/>
        </w:rPr>
        <w:t>8 peças de 1 campanha  ·  auditoria (iv)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4929"/>
        <w:gridCol w:w="4929"/>
      </w:tblGrid>
      <w:tr>
        <w:tc>
          <w:tcPr>
            <w:tcW w:type="dxa" w:w="470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2F6B4F"/>
                <w:sz w:val="16"/>
                <w:rFonts w:ascii="Calibri" w:hAnsi="Calibri" w:cs="Calibri"/>
              </w:rPr>
              <w:t>O QUE JÁ PERMITE</w:t>
            </w:r>
          </w:p>
          <w:p>
            <w:pPr>
              <w:spacing w:after="0" w:line="278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Recebemos 8 peças da campanha Mês do Corretor 2026, recorte São Paulo, etapa de consideração, com três variantes da mesma mensagem.</w:t>
            </w:r>
          </w:p>
        </w:tc>
        <w:tc>
          <w:tcPr>
            <w:tcW w:type="dxa" w:w="470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A32218"/>
                <w:sz w:val="16"/>
                <w:rFonts w:ascii="Calibri" w:hAnsi="Calibri" w:cs="Calibri"/>
              </w:rPr>
              <w:t>O QUE AINDA NÃO PERMITE</w:t>
            </w:r>
          </w:p>
          <w:p>
            <w:pPr>
              <w:spacing w:after="0" w:line="278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Uma campanha não é amostra: diversidade, fadiga e evolução de mensagem só se leem numa janela de 6 a 12 meses. E sem os briefings não há como saber qual era a hipótese por trás das variantes V1, V2 e V3, ou seja, não dá para dizer se o teste respondeu à pergunta que o motivou.</w:t>
            </w:r>
          </w:p>
        </w:tc>
      </w:tr>
    </w:tbl>
    <w:p>
      <w:pPr>
        <w:spacing w:before="0" w:after="40" w:line="283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Calibri" w:hAnsi="Calibri" w:cs="Calibri"/>
              </w:rPr>
              <w:t>O PEDIDO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1. Amostras dos últimos 6 a 12 meses, incluindo as peças de baixa performance.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2. Briefings das variantes V1, V2 e V3, e das campanhas principais do período.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As peças que não funcionaram informam tanto quanto as que funcionaram, e costumam ser as que ficam de fora quando o pedido não é explícito.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04   </w:t>
      </w:r>
      <w:r>
        <w:rPr>
          <w:b/>
          <w:i w:val="0"/>
          <w:color w:val="1A1416"/>
          <w:sz w:val="30"/>
          <w:rFonts w:ascii="Calibri" w:hAnsi="Calibri" w:cs="Calibri"/>
        </w:rPr>
        <w:t>O que cada bloco destrava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120" w:line="283" w:lineRule="auto"/>
      </w:pPr>
      <w:r>
        <w:rPr>
          <w:b w:val="0"/>
          <w:i w:val="0"/>
          <w:color w:val="5E5458"/>
          <w:sz w:val="21"/>
          <w:rFonts w:ascii="Calibri" w:hAnsi="Calibri" w:cs="Calibri"/>
        </w:rPr>
        <w:t>O mapa entre os acessos e as nove auditorias contratadas. A ordem não é arbitrária: o bloco 1 é pré-requisito técnico dos outros oito.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1814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BLOCO</w:t>
            </w:r>
          </w:p>
        </w:tc>
        <w:tc>
          <w:tcPr>
            <w:tcW w:type="dxa" w:w="2835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ACESSOS</w:t>
            </w:r>
          </w:p>
        </w:tc>
        <w:tc>
          <w:tcPr>
            <w:tcW w:type="dxa" w:w="4762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AUDITORIAS QUE DESTRAVA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1 · Medição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Analytics, Tag Manager, Search Console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(vii) Rastreamento Completo. Pré-requisito técnico de todas as outras oito: se a medição estiver incorreta, cada leitura seguinte herda o mesmo erro sem que ninguém perceba.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2 · Contas do domínio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Três contas nominais @olxbr.com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Nenhuma auditoria em si. Habilita a execução das outras e distribui o trabalho, que hoje depende de um login só.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3 · Mídia paga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Meta Ads (2 contas), Google Ads de captação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(vi) Mídia Paga, e alimenta (iv) Criativos e (v) Redes Sociais. Hoje o lado Meta devolve vazio, então a auditoria fecha pela metade e o custo de aquisição fica sem a parcela de Meta.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4 · Comercial e CRM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CRM comercial, Marketing Cloud, gravações de call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(ix) Pré-Vendas e (i) CRM Marketing. A (i) é a única das nove que toca diretamente a camada de retenção.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5 · Web e conteúdo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CMS e domínios, ferramentas de SEO e comportamento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(ii) CRO e SEO e (viii) Páginas de Captura.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6 · Data room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Materiais e confirmações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Completa (iv) e (viii), e resolve a dúvida de escopo que hoje pesa sobre (vi).</w:t>
            </w:r>
          </w:p>
        </w:tc>
      </w:tr>
    </w:tbl>
    <w:p>
      <w:pPr>
        <w:spacing w:before="0" w:after="40" w:line="283" w:lineRule="auto"/>
      </w:pPr>
    </w:p>
    <w:p>
      <w:pPr>
        <w:spacing w:before="0" w:after="80" w:line="283" w:lineRule="auto"/>
      </w:pPr>
      <w:r>
        <w:rPr>
          <w:b w:val="0"/>
          <w:i w:val="0"/>
          <w:color w:val="5E5458"/>
          <w:sz w:val="18"/>
          <w:rFonts w:ascii="Calibri" w:hAnsi="Calibri" w:cs="Calibri"/>
        </w:rPr>
        <w:t>A auditoria (iii) GEO, IA e buscas generativas não depende de acesso externo: parte de linha de base zero e usa os insumos dos blocos 1 e 5.</w:t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05   </w:t>
      </w:r>
      <w:r>
        <w:rPr>
          <w:b/>
          <w:i w:val="0"/>
          <w:color w:val="1A1416"/>
          <w:sz w:val="30"/>
          <w:rFonts w:ascii="Calibri" w:hAnsi="Calibri" w:cs="Calibri"/>
        </w:rPr>
        <w:t>Contas do domínio: onde estamos</w:t>
      </w:r>
    </w:p>
    <w:p>
      <w:pPr>
        <w:spacing w:before="40" w:after="200"/>
        <w:pBdr>
          <w:bottom w:val="single" w:sz="8" w:space="1" w:color="CFC6C8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60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PESSOA</w:t>
            </w:r>
          </w:p>
        </w:tc>
        <w:tc>
          <w:tcPr>
            <w:tcW w:type="dxa" w:w="192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STATUS</w:t>
            </w:r>
          </w:p>
        </w:tc>
        <w:tc>
          <w:tcPr>
            <w:tcW w:type="dxa" w:w="4876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CONTA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Rafael Corazza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Consolas" w:hAnsi="Consolas" w:cs="Consolas"/>
              </w:rPr>
              <w:t>Concluído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rafael.corazza-ext@olxbr.com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Anselmo Bueno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Consolas" w:hAnsi="Consolas" w:cs="Consolas"/>
              </w:rPr>
              <w:t>Em andamento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aguardando criação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Guilherme Monteiro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Consolas" w:hAnsi="Consolas" w:cs="Consolas"/>
              </w:rPr>
              <w:t>Em andamento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aguardando criação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Leonardo Rosa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Consolas" w:hAnsi="Consolas" w:cs="Consolas"/>
              </w:rPr>
              <w:t>Pendente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leonardo.rosa@v4company.com</w:t>
            </w:r>
          </w:p>
        </w:tc>
      </w:tr>
    </w:tbl>
    <w:p>
      <w:pPr>
        <w:spacing w:before="0" w:after="40" w:line="283" w:lineRule="auto"/>
      </w:pPr>
    </w:p>
    <w:p>
      <w:pPr>
        <w:spacing w:before="0" w:after="80" w:line="283" w:lineRule="auto"/>
      </w:pPr>
      <w:r>
        <w:rPr>
          <w:b w:val="0"/>
          <w:i w:val="0"/>
          <w:color w:val="1A1416"/>
          <w:sz w:val="21"/>
          <w:rFonts w:ascii="Calibri" w:hAnsi="Calibri" w:cs="Calibri"/>
        </w:rPr>
        <w:t>Enquanto houver um login só, duas coisas seguem frágeis. A primeira é de prazo: apenas uma pessoa consegue buscar material novo no data room, o que concentra o projeto inteiro num ponto. A segunda protege a OLX: login compartilhado não deixa registro de qual pessoa acessou qual arquivo, e é esse rastro que sustenta a obrigação de proteção de dados prevista no contrato. Com contas nominais, cada acesso fica atribuído a alguém.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120" w:after="80" w:line="283" w:lineRule="auto"/>
      </w:pPr>
      <w:r>
        <w:rPr>
          <w:b/>
          <w:i w:val="0"/>
          <w:color w:val="7A0010"/>
          <w:sz w:val="16"/>
          <w:rFonts w:ascii="Calibri" w:hAnsi="Calibri" w:cs="Calibri"/>
        </w:rPr>
        <w:t>PRIVACIDADE E USO</w:t>
      </w:r>
    </w:p>
    <w:p>
      <w:pPr>
        <w:spacing w:before="0" w:after="100" w:line="283" w:lineRule="auto"/>
      </w:pPr>
      <w:r>
        <w:rPr>
          <w:b w:val="0"/>
          <w:i w:val="0"/>
          <w:color w:val="5E5458"/>
          <w:sz w:val="18"/>
          <w:rFonts w:ascii="Calibri" w:hAnsi="Calibri" w:cs="Calibri"/>
        </w:rPr>
        <w:t>Os acessos solicitados são usados exclusivamente para a finalidade contratual e restritos aos profissionais estritamente necessários, sob compromisso de confidencialidade. Onde o nível administrativo é necessário, ele serve para estabelecer a integração de dados, e nenhuma alteração de configuração, campanha, verba ou publicação acontece sem aprovação prévia e explícita do Grupo OLX. Credenciais ficam em gerenciador de senhas, com troca obrigatória ao término da prestação ou em suspeita de incidente, e armazenamento residual máximo de 30 dias após o encerramento. A OLX pode revogar ou reduzir qualquer permissão a qualquer tempo.</w:t>
      </w:r>
    </w:p>
    <w:p>
      <w:pPr>
        <w:spacing w:before="0" w:after="0" w:line="283" w:lineRule="auto"/>
      </w:pPr>
      <w:r>
        <w:rPr>
          <w:b w:val="0"/>
          <w:i w:val="0"/>
          <w:color w:val="5E5458"/>
          <w:sz w:val="18"/>
          <w:rFonts w:ascii="Calibri" w:hAnsi="Calibri" w:cs="Calibri"/>
        </w:rPr>
        <w:t>Encarregado de proteção de dados da V4: lgpd@v4company.com.br. A lista de trabalho item a item está no Checklist de liberação.</w:t>
      </w:r>
    </w:p>
    <w:p>
      <w:pPr>
        <w:spacing w:before="0" w:after="80" w:line="283" w:lineRule="auto"/>
      </w:pPr>
    </w:p>
    <w:p>
      <w:pPr>
        <w:spacing w:before="0" w:after="0" w:line="283" w:lineRule="auto"/>
      </w:pPr>
      <w:r>
        <w:rPr>
          <w:b w:val="0"/>
          <w:i w:val="0"/>
          <w:color w:val="5E5458"/>
          <w:sz w:val="18"/>
          <w:rFonts w:ascii="Calibri" w:hAnsi="Calibri" w:cs="Calibri"/>
        </w:rPr>
        <w:t>A ausência de um acesso não interrompe o projeto. Quando um dado não existe ou não pode ser produzido, isso é registrado como leitura de maturidade e entra no diagnóstico com essa interpretação, em vez de virar pendência aberta. Por isso, um “não temos” respondido rápido vale mais do que uma pendência que fica em aberto.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1A1416"/>
      <w:sz w:val="21"/>
      <w:rFonts w:ascii="Calibri" w:hAnsi="Calibri" w:cs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