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83" w:lineRule="auto"/>
      </w:pPr>
      <w:r>
        <w:rPr>
          <w:b/>
          <w:i w:val="0"/>
          <w:color w:val="7A0010"/>
          <w:sz w:val="16"/>
          <w:rFonts w:ascii="Calibri" w:hAnsi="Calibri" w:cs="Calibri"/>
        </w:rPr>
        <w:t>V4 COMPANY  ·  GRUPO OLX  ·  DESTRAVA RECEITA, CICLO 1</w:t>
      </w:r>
    </w:p>
    <w:p>
      <w:pPr>
        <w:spacing w:before="0" w:after="120" w:line="283" w:lineRule="auto"/>
      </w:pPr>
      <w:r>
        <w:rPr>
          <w:b/>
          <w:i w:val="0"/>
          <w:color w:val="1A1416"/>
          <w:sz w:val="52"/>
          <w:rFonts w:ascii="Calibri" w:hAnsi="Calibri" w:cs="Calibri"/>
        </w:rPr>
        <w:t>Checklist de liberação</w:t>
      </w:r>
    </w:p>
    <w:p>
      <w:pPr>
        <w:spacing w:before="0" w:after="160" w:line="283" w:lineRule="auto"/>
      </w:pPr>
      <w:r>
        <w:rPr>
          <w:b w:val="0"/>
          <w:i w:val="0"/>
          <w:color w:val="5E5458"/>
          <w:sz w:val="24"/>
          <w:rFonts w:ascii="Calibri" w:hAnsi="Calibri" w:cs="Calibri"/>
        </w:rPr>
        <w:t>Os dezessete itens necessários para destravar as nove auditorias contratadas, com o nível de permissão de cada um. A justificativa técnica está no documento Acessos e níveis de dado, enviado junto com este.</w:t>
      </w:r>
    </w:p>
    <w:p>
      <w:pPr>
        <w:spacing w:before="40" w:after="200"/>
        <w:pBdr>
          <w:bottom w:val="single" w:sz="18" w:space="1" w:color="1A1416"/>
        </w:pBdr>
      </w:pPr>
    </w:p>
    <w:p>
      <w:pPr>
        <w:spacing w:after="80"/>
      </w:pPr>
      <w:r>
        <w:rPr>
          <w:b w:val="0"/>
          <w:i w:val="0"/>
          <w:color w:val="8F858A"/>
          <w:sz w:val="17"/>
          <w:rFonts w:ascii="Consolas" w:hAnsi="Consolas" w:cs="Consolas"/>
        </w:rPr>
        <w:t>Emitido em 25 ago 2026     Idealmente até 26 ago 2026     Comitê 1 em 17 set 2026     17 itens</w:t>
      </w:r>
    </w:p>
    <w:p>
      <w:pPr>
        <w:spacing w:before="400" w:after="80"/>
      </w:pPr>
      <w:r>
        <w:rPr>
          <w:b/>
          <w:i w:val="0"/>
          <w:color w:val="970013"/>
          <w:sz w:val="26"/>
          <w:rFonts w:ascii="Consolas" w:hAnsi="Consolas" w:cs="Consolas"/>
        </w:rPr>
        <w:t xml:space="preserve">00   </w:t>
      </w:r>
      <w:r>
        <w:rPr>
          <w:b/>
          <w:i w:val="0"/>
          <w:color w:val="1A1416"/>
          <w:sz w:val="30"/>
          <w:rFonts w:ascii="Calibri" w:hAnsi="Calibri" w:cs="Calibri"/>
        </w:rPr>
        <w:t>Contexto</w:t>
      </w:r>
    </w:p>
    <w:p>
      <w:pPr>
        <w:spacing w:before="40" w:after="200"/>
        <w:pBdr>
          <w:bottom w:val="single" w:sz="8" w:space="1" w:color="CFC6C8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9858"/>
      </w:tblGrid>
      <w:tr>
        <w:tc>
          <w:tcPr>
            <w:tcW w:type="dxa" w:w="9858"/>
            <w:shd w:val="clear" w:color="auto" w:fill="FBEFF0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7A0010"/>
                <w:sz w:val="16"/>
                <w:rFonts w:ascii="Calibri" w:hAnsi="Calibri" w:cs="Calibri"/>
              </w:rPr>
              <w:t>PRAZO ÚNICO: IDEALMENTE ATÉ 26 DE AGOSTO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As nove auditorias funcionam em cadeia, e as primeiras alimentam as seguintes. Se algum item não puder sair até lá, a informação mais útil é qual: com ela reorganizamos a sequência e o cronograma segue de pé.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Cinco itens pedem nível administrativo ou proprietário. Eles são necessários para integrar as contas à nossa plataforma de análise de dados, o V4MOS. Conectar é ato administrativo nas plataformas do Google e da Meta. Depois de conectada, a integração apenas lê, e o acesso pode voltar a leitura.</w:t>
            </w:r>
          </w:p>
          <w:p>
            <w:pPr>
              <w:spacing w:after="0" w:line="283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O bloco 1 é prioridade máxima: é pré-requisito técnico das outras oito auditorias. Se a medição estiver incorreta, cada leitura seguinte herda o mesmo erro.</w:t>
            </w:r>
          </w:p>
        </w:tc>
      </w:tr>
    </w:tbl>
    <w:p>
      <w:pPr>
        <w:spacing w:before="0" w:after="40" w:line="283" w:lineRule="auto"/>
      </w:pPr>
    </w:p>
    <w:p>
      <w:pPr>
        <w:spacing w:before="400" w:after="80"/>
      </w:pPr>
      <w:r>
        <w:rPr>
          <w:b/>
          <w:i w:val="0"/>
          <w:color w:val="970013"/>
          <w:sz w:val="26"/>
          <w:rFonts w:ascii="Consolas" w:hAnsi="Consolas" w:cs="Consolas"/>
        </w:rPr>
        <w:t xml:space="preserve">01   </w:t>
      </w:r>
      <w:r>
        <w:rPr>
          <w:b/>
          <w:i w:val="0"/>
          <w:color w:val="1A1416"/>
          <w:sz w:val="30"/>
          <w:rFonts w:ascii="Calibri" w:hAnsi="Calibri" w:cs="Calibri"/>
        </w:rPr>
        <w:t>Medição</w:t>
      </w:r>
    </w:p>
    <w:p>
      <w:pPr>
        <w:spacing w:before="40" w:after="200"/>
        <w:pBdr>
          <w:bottom w:val="single" w:sz="8" w:space="1" w:color="CFC6C8"/>
        </w:pBdr>
      </w:pPr>
    </w:p>
    <w:p>
      <w:pPr>
        <w:spacing w:before="0" w:after="40" w:line="283" w:lineRule="auto"/>
      </w:pPr>
      <w:r>
        <w:rPr>
          <w:b w:val="0"/>
          <w:i w:val="0"/>
          <w:color w:val="5E5458"/>
          <w:sz w:val="19"/>
          <w:rFonts w:ascii="Calibri" w:hAnsi="Calibri" w:cs="Calibri"/>
        </w:rPr>
        <w:t>Destrava: (vii) Rastreamento Completo   ·   Conceder para: gina@v4company.com   ·   prioridade alta · 3 itens</w:t>
      </w:r>
    </w:p>
    <w:p>
      <w:pPr>
        <w:spacing w:before="220" w:after="20"/>
      </w:pPr>
      <w:r>
        <w:rPr>
          <w:b w:val="0"/>
          <w:i w:val="0"/>
          <w:color w:val="1A1416"/>
          <w:sz w:val="24"/>
          <w:rFonts w:ascii="Calibri" w:hAnsi="Calibri" w:cs="Calibri"/>
        </w:rPr>
        <w:t xml:space="preserve">☐  </w:t>
      </w:r>
      <w:r>
        <w:rPr>
          <w:b/>
          <w:i w:val="0"/>
          <w:color w:val="970013"/>
          <w:sz w:val="18"/>
          <w:rFonts w:ascii="Consolas" w:hAnsi="Consolas" w:cs="Consolas"/>
        </w:rPr>
        <w:t xml:space="preserve">1.1   </w:t>
      </w:r>
      <w:r>
        <w:rPr>
          <w:b/>
          <w:i w:val="0"/>
          <w:color w:val="1A1416"/>
          <w:sz w:val="23"/>
          <w:rFonts w:ascii="Calibri" w:hAnsi="Calibri" w:cs="Calibri"/>
        </w:rPr>
        <w:t>Google Analytics 4</w:t>
      </w:r>
      <w:r>
        <w:rPr>
          <w:b/>
          <w:i w:val="0"/>
          <w:color w:val="A32218"/>
          <w:sz w:val="17"/>
          <w:rFonts w:ascii="Consolas" w:hAnsi="Consolas" w:cs="Consolas"/>
        </w:rPr>
        <w:t xml:space="preserve">   EDITOR</w:t>
      </w:r>
    </w:p>
    <w:p>
      <w:pPr>
        <w:spacing w:before="0" w:after="60" w:line="283" w:lineRule="auto"/>
        <w:ind w:left="408"/>
      </w:pPr>
      <w:r>
        <w:rPr>
          <w:b w:val="0"/>
          <w:i w:val="0"/>
          <w:color w:val="8F858A"/>
          <w:sz w:val="17"/>
          <w:rFonts w:ascii="Consolas" w:hAnsi="Consolas" w:cs="Consolas"/>
        </w:rPr>
        <w:t>Propriedades dos domínios B2B  ·  Administrador se houver vínculo com Google Ads</w:t>
      </w:r>
    </w:p>
    <w:p>
      <w:pPr>
        <w:spacing w:after="60" w:line="278" w:lineRule="auto"/>
        <w:ind w:left="408"/>
      </w:pPr>
      <w:r>
        <w:rPr>
          <w:b w:val="0"/>
          <w:i w:val="0"/>
          <w:color w:val="5E5458"/>
          <w:sz w:val="19"/>
          <w:rFonts w:ascii="Calibri" w:hAnsi="Calibri" w:cs="Calibri"/>
        </w:rPr>
        <w:t>Nível Analista lê os relatórios, mas não permite verificar os fluxos de dados e as configurações de conversão, que são o objeto desta auditoria.</w:t>
      </w:r>
    </w:p>
    <w:p>
      <w:pPr>
        <w:spacing w:before="220" w:after="20"/>
      </w:pPr>
      <w:r>
        <w:rPr>
          <w:b w:val="0"/>
          <w:i w:val="0"/>
          <w:color w:val="1A1416"/>
          <w:sz w:val="24"/>
          <w:rFonts w:ascii="Calibri" w:hAnsi="Calibri" w:cs="Calibri"/>
        </w:rPr>
        <w:t xml:space="preserve">☐  </w:t>
      </w:r>
      <w:r>
        <w:rPr>
          <w:b/>
          <w:i w:val="0"/>
          <w:color w:val="970013"/>
          <w:sz w:val="18"/>
          <w:rFonts w:ascii="Consolas" w:hAnsi="Consolas" w:cs="Consolas"/>
        </w:rPr>
        <w:t xml:space="preserve">1.2   </w:t>
      </w:r>
      <w:r>
        <w:rPr>
          <w:b/>
          <w:i w:val="0"/>
          <w:color w:val="1A1416"/>
          <w:sz w:val="23"/>
          <w:rFonts w:ascii="Calibri" w:hAnsi="Calibri" w:cs="Calibri"/>
        </w:rPr>
        <w:t>Google Tag Manager</w:t>
      </w:r>
      <w:r>
        <w:rPr>
          <w:b/>
          <w:i w:val="0"/>
          <w:color w:val="A32218"/>
          <w:sz w:val="17"/>
          <w:rFonts w:ascii="Consolas" w:hAnsi="Consolas" w:cs="Consolas"/>
        </w:rPr>
        <w:t xml:space="preserve">   PUBLICAR</w:t>
      </w:r>
    </w:p>
    <w:p>
      <w:pPr>
        <w:spacing w:before="0" w:after="60" w:line="283" w:lineRule="auto"/>
        <w:ind w:left="408"/>
      </w:pPr>
      <w:r>
        <w:rPr>
          <w:b w:val="0"/>
          <w:i w:val="0"/>
          <w:color w:val="8F858A"/>
          <w:sz w:val="17"/>
          <w:rFonts w:ascii="Consolas" w:hAnsi="Consolas" w:cs="Consolas"/>
        </w:rPr>
        <w:t>Contêineres publicados  ·  Admin de conta se for server-side</w:t>
      </w:r>
    </w:p>
    <w:p>
      <w:pPr>
        <w:spacing w:after="60" w:line="278" w:lineRule="auto"/>
        <w:ind w:left="408"/>
      </w:pPr>
      <w:r>
        <w:rPr>
          <w:b w:val="0"/>
          <w:i w:val="0"/>
          <w:color w:val="5E5458"/>
          <w:sz w:val="19"/>
          <w:rFonts w:ascii="Calibri" w:hAnsi="Calibri" w:cs="Calibri"/>
        </w:rPr>
        <w:t>Iniciamos com leitura. A permissão de publicação passa a ser necessária apenas quando houver correção de medição já aprovada por vocês.</w:t>
      </w:r>
    </w:p>
    <w:p>
      <w:pPr>
        <w:spacing w:before="220" w:after="20"/>
      </w:pPr>
      <w:r>
        <w:rPr>
          <w:b w:val="0"/>
          <w:i w:val="0"/>
          <w:color w:val="1A1416"/>
          <w:sz w:val="24"/>
          <w:rFonts w:ascii="Calibri" w:hAnsi="Calibri" w:cs="Calibri"/>
        </w:rPr>
        <w:t xml:space="preserve">☐  </w:t>
      </w:r>
      <w:r>
        <w:rPr>
          <w:b/>
          <w:i w:val="0"/>
          <w:color w:val="970013"/>
          <w:sz w:val="18"/>
          <w:rFonts w:ascii="Consolas" w:hAnsi="Consolas" w:cs="Consolas"/>
        </w:rPr>
        <w:t xml:space="preserve">1.3   </w:t>
      </w:r>
      <w:r>
        <w:rPr>
          <w:b/>
          <w:i w:val="0"/>
          <w:color w:val="1A1416"/>
          <w:sz w:val="23"/>
          <w:rFonts w:ascii="Calibri" w:hAnsi="Calibri" w:cs="Calibri"/>
        </w:rPr>
        <w:t>Google Search Console</w:t>
      </w:r>
      <w:r>
        <w:rPr>
          <w:b/>
          <w:i w:val="0"/>
          <w:color w:val="A32218"/>
          <w:sz w:val="17"/>
          <w:rFonts w:ascii="Consolas" w:hAnsi="Consolas" w:cs="Consolas"/>
        </w:rPr>
        <w:t xml:space="preserve">   PROPRIETÁRIO</w:t>
      </w:r>
    </w:p>
    <w:p>
      <w:pPr>
        <w:spacing w:before="0" w:after="60" w:line="283" w:lineRule="auto"/>
        <w:ind w:left="408"/>
      </w:pPr>
      <w:r>
        <w:rPr>
          <w:b w:val="0"/>
          <w:i w:val="0"/>
          <w:color w:val="8F858A"/>
          <w:sz w:val="17"/>
          <w:rFonts w:ascii="Consolas" w:hAnsi="Consolas" w:cs="Consolas"/>
        </w:rPr>
        <w:t>Cada propriedade B2B</w:t>
      </w:r>
    </w:p>
    <w:p>
      <w:pPr>
        <w:spacing w:after="60" w:line="278" w:lineRule="auto"/>
        <w:ind w:left="408"/>
      </w:pPr>
      <w:r>
        <w:rPr>
          <w:b w:val="0"/>
          <w:i w:val="0"/>
          <w:color w:val="5E5458"/>
          <w:sz w:val="19"/>
          <w:rFonts w:ascii="Calibri" w:hAnsi="Calibri" w:cs="Calibri"/>
        </w:rPr>
        <w:t>Perfis inferiores leem os relatórios na interface, mas não autorizam a extração de dados via API.</w:t>
      </w:r>
    </w:p>
    <w:p>
      <w:pPr>
        <w:spacing w:before="400" w:after="80"/>
      </w:pPr>
      <w:r>
        <w:rPr>
          <w:b/>
          <w:i w:val="0"/>
          <w:color w:val="970013"/>
          <w:sz w:val="26"/>
          <w:rFonts w:ascii="Consolas" w:hAnsi="Consolas" w:cs="Consolas"/>
        </w:rPr>
        <w:t xml:space="preserve">02   </w:t>
      </w:r>
      <w:r>
        <w:rPr>
          <w:b/>
          <w:i w:val="0"/>
          <w:color w:val="1A1416"/>
          <w:sz w:val="30"/>
          <w:rFonts w:ascii="Calibri" w:hAnsi="Calibri" w:cs="Calibri"/>
        </w:rPr>
        <w:t>Contas do domínio @olxbr.com</w:t>
      </w:r>
    </w:p>
    <w:p>
      <w:pPr>
        <w:spacing w:before="40" w:after="200"/>
        <w:pBdr>
          <w:bottom w:val="single" w:sz="8" w:space="1" w:color="CFC6C8"/>
        </w:pBdr>
      </w:pPr>
    </w:p>
    <w:p>
      <w:pPr>
        <w:spacing w:before="0" w:after="80" w:line="283" w:lineRule="auto"/>
      </w:pPr>
      <w:r>
        <w:rPr>
          <w:b w:val="0"/>
          <w:i w:val="0"/>
          <w:color w:val="5E5458"/>
          <w:sz w:val="19"/>
          <w:rFonts w:ascii="Calibri" w:hAnsi="Calibri" w:cs="Calibri"/>
        </w:rPr>
        <w:t>Habilita a execução das etapas seguintes   ·   1 item, 3 contas pendentes</w:t>
      </w:r>
    </w:p>
    <w:p>
      <w:pPr>
        <w:spacing w:before="160" w:after="20"/>
      </w:pPr>
      <w:r>
        <w:rPr>
          <w:b w:val="0"/>
          <w:i w:val="0"/>
          <w:color w:val="1A1416"/>
          <w:sz w:val="24"/>
          <w:rFonts w:ascii="Calibri" w:hAnsi="Calibri" w:cs="Calibri"/>
        </w:rPr>
        <w:t xml:space="preserve">☐  </w:t>
      </w:r>
      <w:r>
        <w:rPr>
          <w:b/>
          <w:i w:val="0"/>
          <w:color w:val="970013"/>
          <w:sz w:val="18"/>
          <w:rFonts w:ascii="Consolas" w:hAnsi="Consolas" w:cs="Consolas"/>
        </w:rPr>
        <w:t xml:space="preserve">2.1   </w:t>
      </w:r>
      <w:r>
        <w:rPr>
          <w:b/>
          <w:i w:val="0"/>
          <w:color w:val="1A1416"/>
          <w:sz w:val="23"/>
          <w:rFonts w:ascii="Calibri" w:hAnsi="Calibri" w:cs="Calibri"/>
        </w:rPr>
        <w:t>Contas nominais para o time da V4</w:t>
      </w:r>
      <w:r>
        <w:rPr>
          <w:b/>
          <w:i w:val="0"/>
          <w:color w:val="5E5458"/>
          <w:sz w:val="17"/>
          <w:rFonts w:ascii="Consolas" w:hAnsi="Consolas" w:cs="Consolas"/>
        </w:rPr>
        <w:t xml:space="preserve">   USUÁRIO PADRÃO</w:t>
      </w:r>
    </w:p>
    <w:p>
      <w:pPr>
        <w:spacing w:before="0" w:after="80" w:line="283" w:lineRule="auto"/>
        <w:ind w:left="408"/>
      </w:pPr>
      <w:r>
        <w:rPr>
          <w:b w:val="0"/>
          <w:i w:val="0"/>
          <w:color w:val="8F858A"/>
          <w:sz w:val="17"/>
          <w:rFonts w:ascii="Consolas" w:hAnsi="Consolas" w:cs="Consolas"/>
        </w:rPr>
        <w:t>Mesmo padrão da conta já criada  ·  sem privilégio administrativo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3286"/>
        <w:gridCol w:w="3286"/>
        <w:gridCol w:w="3286"/>
      </w:tblGrid>
      <w:tr>
        <w:tc>
          <w:tcPr>
            <w:tcW w:type="dxa" w:w="260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Calibri" w:hAnsi="Calibri" w:cs="Calibri"/>
              </w:rPr>
              <w:t>PESSOA</w:t>
            </w:r>
          </w:p>
        </w:tc>
        <w:tc>
          <w:tcPr>
            <w:tcW w:type="dxa" w:w="1928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Calibri" w:hAnsi="Calibri" w:cs="Calibri"/>
              </w:rPr>
              <w:t>STATUS</w:t>
            </w:r>
          </w:p>
        </w:tc>
        <w:tc>
          <w:tcPr>
            <w:tcW w:type="dxa" w:w="4876"/>
            <w:shd w:val="clear" w:color="auto" w:fill="F4F0F1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color w:val="8F858A"/>
                <w:sz w:val="16"/>
                <w:rFonts w:ascii="Calibri" w:hAnsi="Calibri" w:cs="Calibri"/>
              </w:rPr>
              <w:t>CONTA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Rafael Corazza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2F6B4F"/>
                <w:sz w:val="18"/>
                <w:rFonts w:ascii="Consolas" w:hAnsi="Consolas" w:cs="Consolas"/>
              </w:rPr>
              <w:t>Concluído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Consolas" w:hAnsi="Consolas" w:cs="Consolas"/>
              </w:rPr>
              <w:t>rafael.corazza-ext@olxbr.com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Anselmo Bueno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Consolas" w:hAnsi="Consolas" w:cs="Consolas"/>
              </w:rPr>
              <w:t>Em andamento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Consolas" w:hAnsi="Consolas" w:cs="Consolas"/>
              </w:rPr>
              <w:t>aguardando criação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Guilherme Monteiro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8A5A00"/>
                <w:sz w:val="18"/>
                <w:rFonts w:ascii="Consolas" w:hAnsi="Consolas" w:cs="Consolas"/>
              </w:rPr>
              <w:t>Em andamento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Consolas" w:hAnsi="Consolas" w:cs="Consolas"/>
              </w:rPr>
              <w:t>aguardando criação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Leonardo Rosa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/>
                <w:i w:val="0"/>
                <w:color w:val="A32218"/>
                <w:sz w:val="18"/>
                <w:rFonts w:ascii="Consolas" w:hAnsi="Consolas" w:cs="Consolas"/>
              </w:rPr>
              <w:t>Pendente</w:t>
            </w:r>
          </w:p>
        </w:tc>
        <w:tc>
          <w:tcPr>
            <w:tcW w:type="dxa" w:w="487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b w:val="0"/>
                <w:i w:val="0"/>
                <w:color w:val="970013"/>
                <w:sz w:val="17"/>
                <w:rFonts w:ascii="Consolas" w:hAnsi="Consolas" w:cs="Consolas"/>
              </w:rPr>
              <w:t>leonardo.rosa@v4company.com</w:t>
            </w:r>
          </w:p>
        </w:tc>
      </w:tr>
    </w:tbl>
    <w:p>
      <w:pPr>
        <w:spacing w:before="0" w:after="40" w:line="283" w:lineRule="auto"/>
      </w:pPr>
    </w:p>
    <w:p>
      <w:pPr>
        <w:spacing w:before="0" w:after="80" w:line="283" w:lineRule="auto"/>
        <w:ind w:left="408"/>
      </w:pPr>
      <w:r>
        <w:rPr>
          <w:b w:val="0"/>
          <w:i w:val="0"/>
          <w:color w:val="5E5458"/>
          <w:sz w:val="19"/>
          <w:rFonts w:ascii="Calibri" w:hAnsi="Calibri" w:cs="Calibri"/>
        </w:rPr>
        <w:t>Enquanto houver um login só, apenas uma pessoa consegue buscar material novo no data room, o que concentra o projeto num ponto. E login compartilhado não deixa registro de quem acessou o quê, que é o rastro que sustenta a obrigação de proteção de dados do contrato.</w:t>
      </w:r>
    </w:p>
    <w:p>
      <w:pPr>
        <w:spacing w:before="400" w:after="80"/>
      </w:pPr>
      <w:r>
        <w:rPr>
          <w:b/>
          <w:i w:val="0"/>
          <w:color w:val="970013"/>
          <w:sz w:val="26"/>
          <w:rFonts w:ascii="Consolas" w:hAnsi="Consolas" w:cs="Consolas"/>
        </w:rPr>
        <w:t xml:space="preserve">03   </w:t>
      </w:r>
      <w:r>
        <w:rPr>
          <w:b/>
          <w:i w:val="0"/>
          <w:color w:val="1A1416"/>
          <w:sz w:val="30"/>
          <w:rFonts w:ascii="Calibri" w:hAnsi="Calibri" w:cs="Calibri"/>
        </w:rPr>
        <w:t>Mídia paga</w:t>
      </w:r>
    </w:p>
    <w:p>
      <w:pPr>
        <w:spacing w:before="40" w:after="200"/>
        <w:pBdr>
          <w:bottom w:val="single" w:sz="8" w:space="1" w:color="CFC6C8"/>
        </w:pBdr>
      </w:pPr>
    </w:p>
    <w:p>
      <w:pPr>
        <w:spacing w:before="0" w:after="40" w:line="283" w:lineRule="auto"/>
      </w:pPr>
      <w:r>
        <w:rPr>
          <w:b w:val="0"/>
          <w:i w:val="0"/>
          <w:color w:val="5E5458"/>
          <w:sz w:val="19"/>
          <w:rFonts w:ascii="Calibri" w:hAnsi="Calibri" w:cs="Calibri"/>
        </w:rPr>
        <w:t>Destrava: (vi) Mídia Paga, (iv) Criativos e (v) Redes Sociais   ·   3 itens</w:t>
      </w:r>
    </w:p>
    <w:p>
      <w:pPr>
        <w:spacing w:before="220" w:after="20"/>
      </w:pPr>
      <w:r>
        <w:rPr>
          <w:b w:val="0"/>
          <w:i w:val="0"/>
          <w:color w:val="1A1416"/>
          <w:sz w:val="24"/>
          <w:rFonts w:ascii="Calibri" w:hAnsi="Calibri" w:cs="Calibri"/>
        </w:rPr>
        <w:t xml:space="preserve">☐  </w:t>
      </w:r>
      <w:r>
        <w:rPr>
          <w:b/>
          <w:i w:val="0"/>
          <w:color w:val="970013"/>
          <w:sz w:val="18"/>
          <w:rFonts w:ascii="Consolas" w:hAnsi="Consolas" w:cs="Consolas"/>
        </w:rPr>
        <w:t xml:space="preserve">3.1   </w:t>
      </w:r>
      <w:r>
        <w:rPr>
          <w:b/>
          <w:i w:val="0"/>
          <w:color w:val="1A1416"/>
          <w:sz w:val="23"/>
          <w:rFonts w:ascii="Calibri" w:hAnsi="Calibri" w:cs="Calibri"/>
        </w:rPr>
        <w:t>Meta Ads, conta VR ZAP+</w:t>
      </w:r>
      <w:r>
        <w:rPr>
          <w:b/>
          <w:i w:val="0"/>
          <w:color w:val="A32218"/>
          <w:sz w:val="17"/>
          <w:rFonts w:ascii="Consolas" w:hAnsi="Consolas" w:cs="Consolas"/>
        </w:rPr>
        <w:t xml:space="preserve">   ADMIN DO BM</w:t>
      </w:r>
    </w:p>
    <w:p>
      <w:pPr>
        <w:spacing w:before="0" w:after="60" w:line="283" w:lineRule="auto"/>
        <w:ind w:left="408"/>
      </w:pPr>
      <w:r>
        <w:rPr>
          <w:b w:val="0"/>
          <w:i w:val="0"/>
          <w:color w:val="8F858A"/>
          <w:sz w:val="17"/>
          <w:rFonts w:ascii="Consolas" w:hAnsi="Consolas" w:cs="Consolas"/>
        </w:rPr>
        <w:t>ID 612188193108418  ·  pendente desde 21/08</w:t>
      </w:r>
    </w:p>
    <w:p>
      <w:pPr>
        <w:spacing w:after="60" w:line="278" w:lineRule="auto"/>
        <w:ind w:left="408"/>
      </w:pPr>
      <w:r>
        <w:rPr>
          <w:b w:val="0"/>
          <w:i w:val="0"/>
          <w:color w:val="5E5458"/>
          <w:sz w:val="19"/>
          <w:rFonts w:ascii="Calibri" w:hAnsi="Calibri" w:cs="Calibri"/>
        </w:rPr>
        <w:t>Nível Admin do Business Manager para conceder acesso de parceiro à V4 e conectar os ativos ao V4MOS. Hoje a integração devolve vazio no lado Meta, então a auditoria de mídia fecha pela metade e o custo de aquisição fica sem a parcela de Meta.</w:t>
      </w:r>
    </w:p>
    <w:p>
      <w:pPr>
        <w:spacing w:before="220" w:after="20"/>
      </w:pPr>
      <w:r>
        <w:rPr>
          <w:b w:val="0"/>
          <w:i w:val="0"/>
          <w:color w:val="1A1416"/>
          <w:sz w:val="24"/>
          <w:rFonts w:ascii="Calibri" w:hAnsi="Calibri" w:cs="Calibri"/>
        </w:rPr>
        <w:t xml:space="preserve">☐  </w:t>
      </w:r>
      <w:r>
        <w:rPr>
          <w:b/>
          <w:i w:val="0"/>
          <w:color w:val="970013"/>
          <w:sz w:val="18"/>
          <w:rFonts w:ascii="Consolas" w:hAnsi="Consolas" w:cs="Consolas"/>
        </w:rPr>
        <w:t xml:space="preserve">3.2   </w:t>
      </w:r>
      <w:r>
        <w:rPr>
          <w:b/>
          <w:i w:val="0"/>
          <w:color w:val="1A1416"/>
          <w:sz w:val="23"/>
          <w:rFonts w:ascii="Calibri" w:hAnsi="Calibri" w:cs="Calibri"/>
        </w:rPr>
        <w:t>Meta Ads, conta OLX Autos B2B</w:t>
      </w:r>
      <w:r>
        <w:rPr>
          <w:b/>
          <w:i w:val="0"/>
          <w:color w:val="A32218"/>
          <w:sz w:val="17"/>
          <w:rFonts w:ascii="Consolas" w:hAnsi="Consolas" w:cs="Consolas"/>
        </w:rPr>
        <w:t xml:space="preserve">   ADMIN DO BM</w:t>
      </w:r>
    </w:p>
    <w:p>
      <w:pPr>
        <w:spacing w:before="0" w:after="60" w:line="283" w:lineRule="auto"/>
        <w:ind w:left="408"/>
      </w:pPr>
      <w:r>
        <w:rPr>
          <w:b w:val="0"/>
          <w:i w:val="0"/>
          <w:color w:val="8F858A"/>
          <w:sz w:val="17"/>
          <w:rFonts w:ascii="Consolas" w:hAnsi="Consolas" w:cs="Consolas"/>
        </w:rPr>
        <w:t>ID 1742214902479721  ·  pendente desde 21/08</w:t>
      </w:r>
    </w:p>
    <w:p>
      <w:pPr>
        <w:spacing w:after="60" w:line="278" w:lineRule="auto"/>
        <w:ind w:left="408"/>
      </w:pPr>
      <w:r>
        <w:rPr>
          <w:b w:val="0"/>
          <w:i w:val="0"/>
          <w:color w:val="5E5458"/>
          <w:sz w:val="19"/>
          <w:rFonts w:ascii="Calibri" w:hAnsi="Calibri" w:cs="Calibri"/>
        </w:rPr>
        <w:t>Mesmo nível e mesma justificativa do item anterior. É, além disso, o único acesso mapeado que cobre a unidade de Autos.</w:t>
      </w:r>
    </w:p>
    <w:p>
      <w:pPr>
        <w:spacing w:before="220" w:after="20"/>
      </w:pPr>
      <w:r>
        <w:rPr>
          <w:b w:val="0"/>
          <w:i w:val="0"/>
          <w:color w:val="1A1416"/>
          <w:sz w:val="24"/>
          <w:rFonts w:ascii="Calibri" w:hAnsi="Calibri" w:cs="Calibri"/>
        </w:rPr>
        <w:t xml:space="preserve">☐  </w:t>
      </w:r>
      <w:r>
        <w:rPr>
          <w:b/>
          <w:i w:val="0"/>
          <w:color w:val="970013"/>
          <w:sz w:val="18"/>
          <w:rFonts w:ascii="Consolas" w:hAnsi="Consolas" w:cs="Consolas"/>
        </w:rPr>
        <w:t xml:space="preserve">3.3   </w:t>
      </w:r>
      <w:r>
        <w:rPr>
          <w:b/>
          <w:i w:val="0"/>
          <w:color w:val="1A1416"/>
          <w:sz w:val="23"/>
          <w:rFonts w:ascii="Calibri" w:hAnsi="Calibri" w:cs="Calibri"/>
        </w:rPr>
        <w:t>Google Ads, captação de anunciantes</w:t>
      </w:r>
      <w:r>
        <w:rPr>
          <w:b/>
          <w:i w:val="0"/>
          <w:color w:val="A32218"/>
          <w:sz w:val="17"/>
          <w:rFonts w:ascii="Consolas" w:hAnsi="Consolas" w:cs="Consolas"/>
        </w:rPr>
        <w:t xml:space="preserve">   ADMINISTRATIVO</w:t>
      </w:r>
    </w:p>
    <w:p>
      <w:pPr>
        <w:spacing w:before="0" w:after="60" w:line="283" w:lineRule="auto"/>
        <w:ind w:left="408"/>
      </w:pPr>
      <w:r>
        <w:rPr>
          <w:b w:val="0"/>
          <w:i w:val="0"/>
          <w:color w:val="8F858A"/>
          <w:sz w:val="17"/>
          <w:rFonts w:ascii="Consolas" w:hAnsi="Consolas" w:cs="Consolas"/>
        </w:rPr>
        <w:t>Conta a identificar  ·  ver item 6.1</w:t>
      </w:r>
    </w:p>
    <w:p>
      <w:pPr>
        <w:spacing w:after="60" w:line="278" w:lineRule="auto"/>
        <w:ind w:left="408"/>
      </w:pPr>
      <w:r>
        <w:rPr>
          <w:b w:val="0"/>
          <w:i w:val="0"/>
          <w:color w:val="5E5458"/>
          <w:sz w:val="19"/>
          <w:rFonts w:ascii="Calibri" w:hAnsi="Calibri" w:cs="Calibri"/>
        </w:rPr>
        <w:t>Nível administrativo para aceitar a integração. Depois de estabelecida a conexão, o acesso pode ser reduzido para leitura.</w:t>
      </w:r>
    </w:p>
    <w:p>
      <w:pPr>
        <w:spacing w:before="400" w:after="80"/>
      </w:pPr>
      <w:r>
        <w:rPr>
          <w:b/>
          <w:i w:val="0"/>
          <w:color w:val="970013"/>
          <w:sz w:val="26"/>
          <w:rFonts w:ascii="Consolas" w:hAnsi="Consolas" w:cs="Consolas"/>
        </w:rPr>
        <w:t xml:space="preserve">04   </w:t>
      </w:r>
      <w:r>
        <w:rPr>
          <w:b/>
          <w:i w:val="0"/>
          <w:color w:val="1A1416"/>
          <w:sz w:val="30"/>
          <w:rFonts w:ascii="Calibri" w:hAnsi="Calibri" w:cs="Calibri"/>
        </w:rPr>
        <w:t>Comercial e CRM</w:t>
      </w:r>
    </w:p>
    <w:p>
      <w:pPr>
        <w:spacing w:before="40" w:after="200"/>
        <w:pBdr>
          <w:bottom w:val="single" w:sz="8" w:space="1" w:color="CFC6C8"/>
        </w:pBdr>
      </w:pPr>
    </w:p>
    <w:p>
      <w:pPr>
        <w:spacing w:before="0" w:after="40" w:line="283" w:lineRule="auto"/>
      </w:pPr>
      <w:r>
        <w:rPr>
          <w:b w:val="0"/>
          <w:i w:val="0"/>
          <w:color w:val="5E5458"/>
          <w:sz w:val="19"/>
          <w:rFonts w:ascii="Calibri" w:hAnsi="Calibri" w:cs="Calibri"/>
        </w:rPr>
        <w:t>Destrava: (ix) Pré-Vendas e (i) CRM Marketing   ·   acesso com permissão de exportar relatórios   ·   3 itens</w:t>
      </w:r>
    </w:p>
    <w:p>
      <w:pPr>
        <w:spacing w:before="220" w:after="20"/>
      </w:pPr>
      <w:r>
        <w:rPr>
          <w:b w:val="0"/>
          <w:i w:val="0"/>
          <w:color w:val="1A1416"/>
          <w:sz w:val="24"/>
          <w:rFonts w:ascii="Calibri" w:hAnsi="Calibri" w:cs="Calibri"/>
        </w:rPr>
        <w:t xml:space="preserve">☐  </w:t>
      </w:r>
      <w:r>
        <w:rPr>
          <w:b/>
          <w:i w:val="0"/>
          <w:color w:val="970013"/>
          <w:sz w:val="18"/>
          <w:rFonts w:ascii="Consolas" w:hAnsi="Consolas" w:cs="Consolas"/>
        </w:rPr>
        <w:t xml:space="preserve">4.1   </w:t>
      </w:r>
      <w:r>
        <w:rPr>
          <w:b/>
          <w:i w:val="0"/>
          <w:color w:val="1A1416"/>
          <w:sz w:val="23"/>
          <w:rFonts w:ascii="Calibri" w:hAnsi="Calibri" w:cs="Calibri"/>
        </w:rPr>
        <w:t>CRM comercial</w:t>
      </w:r>
      <w:r>
        <w:rPr>
          <w:b/>
          <w:i w:val="0"/>
          <w:color w:val="8A5A00"/>
          <w:sz w:val="17"/>
          <w:rFonts w:ascii="Consolas" w:hAnsi="Consolas" w:cs="Consolas"/>
        </w:rPr>
        <w:t xml:space="preserve">   LEITURA E EXPORTAÇÃO</w:t>
      </w:r>
    </w:p>
    <w:p>
      <w:pPr>
        <w:spacing w:before="0" w:after="60" w:line="283" w:lineRule="auto"/>
        <w:ind w:left="408"/>
      </w:pPr>
      <w:r>
        <w:rPr>
          <w:b w:val="0"/>
          <w:i w:val="0"/>
          <w:color w:val="8F858A"/>
          <w:sz w:val="17"/>
          <w:rFonts w:ascii="Consolas" w:hAnsi="Consolas" w:cs="Consolas"/>
        </w:rPr>
        <w:t>Pipeline, estágios e motivos de perda</w:t>
      </w:r>
    </w:p>
    <w:p>
      <w:pPr>
        <w:spacing w:after="60" w:line="278" w:lineRule="auto"/>
        <w:ind w:left="408"/>
      </w:pPr>
      <w:r>
        <w:rPr>
          <w:b w:val="0"/>
          <w:i w:val="0"/>
          <w:color w:val="5E5458"/>
          <w:sz w:val="19"/>
          <w:rFonts w:ascii="Calibri" w:hAnsi="Calibri" w:cs="Calibri"/>
        </w:rPr>
        <w:t>Confirmar também se a ferramenta utilizada é o Salesforce ou outra. É o acesso que valida o funil contra o faturamento declarado.</w:t>
      </w:r>
    </w:p>
    <w:p>
      <w:pPr>
        <w:spacing w:before="220" w:after="20"/>
      </w:pPr>
      <w:r>
        <w:rPr>
          <w:b w:val="0"/>
          <w:i w:val="0"/>
          <w:color w:val="1A1416"/>
          <w:sz w:val="24"/>
          <w:rFonts w:ascii="Calibri" w:hAnsi="Calibri" w:cs="Calibri"/>
        </w:rPr>
        <w:t xml:space="preserve">☐  </w:t>
      </w:r>
      <w:r>
        <w:rPr>
          <w:b/>
          <w:i w:val="0"/>
          <w:color w:val="970013"/>
          <w:sz w:val="18"/>
          <w:rFonts w:ascii="Consolas" w:hAnsi="Consolas" w:cs="Consolas"/>
        </w:rPr>
        <w:t xml:space="preserve">4.2   </w:t>
      </w:r>
      <w:r>
        <w:rPr>
          <w:b/>
          <w:i w:val="0"/>
          <w:color w:val="1A1416"/>
          <w:sz w:val="23"/>
          <w:rFonts w:ascii="Calibri" w:hAnsi="Calibri" w:cs="Calibri"/>
        </w:rPr>
        <w:t>Salesforce Marketing Cloud</w:t>
      </w:r>
      <w:r>
        <w:rPr>
          <w:b/>
          <w:i w:val="0"/>
          <w:color w:val="8A5A00"/>
          <w:sz w:val="17"/>
          <w:rFonts w:ascii="Consolas" w:hAnsi="Consolas" w:cs="Consolas"/>
        </w:rPr>
        <w:t xml:space="preserve">   LEITURA E EXPORTAÇÃO</w:t>
      </w:r>
    </w:p>
    <w:p>
      <w:pPr>
        <w:spacing w:before="0" w:after="60" w:line="283" w:lineRule="auto"/>
        <w:ind w:left="408"/>
      </w:pPr>
      <w:r>
        <w:rPr>
          <w:b w:val="0"/>
          <w:i w:val="0"/>
          <w:color w:val="8F858A"/>
          <w:sz w:val="17"/>
          <w:rFonts w:ascii="Consolas" w:hAnsi="Consolas" w:cs="Consolas"/>
        </w:rPr>
        <w:t>Jornadas, bases e métricas de retenção</w:t>
      </w:r>
    </w:p>
    <w:p>
      <w:pPr>
        <w:spacing w:after="60" w:line="278" w:lineRule="auto"/>
        <w:ind w:left="408"/>
      </w:pPr>
      <w:r>
        <w:rPr>
          <w:b w:val="0"/>
          <w:i w:val="0"/>
          <w:color w:val="5E5458"/>
          <w:sz w:val="19"/>
          <w:rFonts w:ascii="Calibri" w:hAnsi="Calibri" w:cs="Calibri"/>
        </w:rPr>
        <w:t>É a única das nove auditorias contratadas que toca diretamente a camada de retenção.</w:t>
      </w:r>
    </w:p>
    <w:p>
      <w:pPr>
        <w:spacing w:before="220" w:after="20"/>
      </w:pPr>
      <w:r>
        <w:rPr>
          <w:b w:val="0"/>
          <w:i w:val="0"/>
          <w:color w:val="1A1416"/>
          <w:sz w:val="24"/>
          <w:rFonts w:ascii="Calibri" w:hAnsi="Calibri" w:cs="Calibri"/>
        </w:rPr>
        <w:t xml:space="preserve">☐  </w:t>
      </w:r>
      <w:r>
        <w:rPr>
          <w:b/>
          <w:i w:val="0"/>
          <w:color w:val="970013"/>
          <w:sz w:val="18"/>
          <w:rFonts w:ascii="Consolas" w:hAnsi="Consolas" w:cs="Consolas"/>
        </w:rPr>
        <w:t xml:space="preserve">4.3   </w:t>
      </w:r>
      <w:r>
        <w:rPr>
          <w:b/>
          <w:i w:val="0"/>
          <w:color w:val="1A1416"/>
          <w:sz w:val="23"/>
          <w:rFonts w:ascii="Calibri" w:hAnsi="Calibri" w:cs="Calibri"/>
        </w:rPr>
        <w:t>Gravações de calls</w:t>
      </w:r>
      <w:r>
        <w:rPr>
          <w:b/>
          <w:i w:val="0"/>
          <w:color w:val="5E5458"/>
          <w:sz w:val="17"/>
          <w:rFonts w:ascii="Consolas" w:hAnsi="Consolas" w:cs="Consolas"/>
        </w:rPr>
        <w:t xml:space="preserve">   10 A 15 AMOSTRAS</w:t>
      </w:r>
    </w:p>
    <w:p>
      <w:pPr>
        <w:spacing w:before="0" w:after="60" w:line="283" w:lineRule="auto"/>
        <w:ind w:left="408"/>
      </w:pPr>
      <w:r>
        <w:rPr>
          <w:b w:val="0"/>
          <w:i w:val="0"/>
          <w:color w:val="8F858A"/>
          <w:sz w:val="17"/>
          <w:rFonts w:ascii="Consolas" w:hAnsi="Consolas" w:cs="Consolas"/>
        </w:rPr>
        <w:t>Ligações recentes de qualificação</w:t>
      </w:r>
    </w:p>
    <w:p>
      <w:pPr>
        <w:spacing w:after="60" w:line="278" w:lineRule="auto"/>
        <w:ind w:left="408"/>
      </w:pPr>
      <w:r>
        <w:rPr>
          <w:b w:val="0"/>
          <w:i w:val="0"/>
          <w:color w:val="5E5458"/>
          <w:sz w:val="19"/>
          <w:rFonts w:ascii="Calibri" w:hAnsi="Calibri" w:cs="Calibri"/>
        </w:rPr>
        <w:t>Para avaliação da camada experiencial de pré-vendas. Envolve checagem de consentimento, então vale iniciar hoje mesmo que a entrega venha depois: é o item de prazo mais imprevisível da lista.</w:t>
      </w:r>
    </w:p>
    <w:p>
      <w:pPr>
        <w:spacing w:before="400" w:after="80"/>
      </w:pPr>
      <w:r>
        <w:rPr>
          <w:b/>
          <w:i w:val="0"/>
          <w:color w:val="970013"/>
          <w:sz w:val="26"/>
          <w:rFonts w:ascii="Consolas" w:hAnsi="Consolas" w:cs="Consolas"/>
        </w:rPr>
        <w:t xml:space="preserve">05   </w:t>
      </w:r>
      <w:r>
        <w:rPr>
          <w:b/>
          <w:i w:val="0"/>
          <w:color w:val="1A1416"/>
          <w:sz w:val="30"/>
          <w:rFonts w:ascii="Calibri" w:hAnsi="Calibri" w:cs="Calibri"/>
        </w:rPr>
        <w:t>Web e conteúdo</w:t>
      </w:r>
    </w:p>
    <w:p>
      <w:pPr>
        <w:spacing w:before="40" w:after="200"/>
        <w:pBdr>
          <w:bottom w:val="single" w:sz="8" w:space="1" w:color="CFC6C8"/>
        </w:pBdr>
      </w:pPr>
    </w:p>
    <w:p>
      <w:pPr>
        <w:spacing w:before="0" w:after="40" w:line="283" w:lineRule="auto"/>
      </w:pPr>
      <w:r>
        <w:rPr>
          <w:b w:val="0"/>
          <w:i w:val="0"/>
          <w:color w:val="5E5458"/>
          <w:sz w:val="19"/>
          <w:rFonts w:ascii="Calibri" w:hAnsi="Calibri" w:cs="Calibri"/>
        </w:rPr>
        <w:t>Destrava: (ii) CRO e SEO e (viii) Páginas de Captura   ·   2 itens</w:t>
      </w:r>
    </w:p>
    <w:p>
      <w:pPr>
        <w:spacing w:before="220" w:after="20"/>
      </w:pPr>
      <w:r>
        <w:rPr>
          <w:b w:val="0"/>
          <w:i w:val="0"/>
          <w:color w:val="1A1416"/>
          <w:sz w:val="24"/>
          <w:rFonts w:ascii="Calibri" w:hAnsi="Calibri" w:cs="Calibri"/>
        </w:rPr>
        <w:t xml:space="preserve">☐  </w:t>
      </w:r>
      <w:r>
        <w:rPr>
          <w:b/>
          <w:i w:val="0"/>
          <w:color w:val="970013"/>
          <w:sz w:val="18"/>
          <w:rFonts w:ascii="Consolas" w:hAnsi="Consolas" w:cs="Consolas"/>
        </w:rPr>
        <w:t xml:space="preserve">5.1   </w:t>
      </w:r>
      <w:r>
        <w:rPr>
          <w:b/>
          <w:i w:val="0"/>
          <w:color w:val="1A1416"/>
          <w:sz w:val="23"/>
          <w:rFonts w:ascii="Calibri" w:hAnsi="Calibri" w:cs="Calibri"/>
        </w:rPr>
        <w:t>CMS e domínios</w:t>
      </w:r>
      <w:r>
        <w:rPr>
          <w:b/>
          <w:i w:val="0"/>
          <w:color w:val="5E5458"/>
          <w:sz w:val="17"/>
          <w:rFonts w:ascii="Consolas" w:hAnsi="Consolas" w:cs="Consolas"/>
        </w:rPr>
        <w:t xml:space="preserve">   LEITURA</w:t>
      </w:r>
    </w:p>
    <w:p>
      <w:pPr>
        <w:spacing w:before="0" w:after="60" w:line="283" w:lineRule="auto"/>
        <w:ind w:left="408"/>
      </w:pPr>
      <w:r>
        <w:rPr>
          <w:b w:val="0"/>
          <w:i w:val="0"/>
          <w:color w:val="8F858A"/>
          <w:sz w:val="17"/>
          <w:rFonts w:ascii="Consolas" w:hAnsi="Consolas" w:cs="Consolas"/>
        </w:rPr>
        <w:t>Leitura do CMS e relação de domínios e subdomínios B2B</w:t>
      </w:r>
    </w:p>
    <w:p>
      <w:pPr>
        <w:spacing w:after="60" w:line="278" w:lineRule="auto"/>
        <w:ind w:left="408"/>
      </w:pPr>
      <w:r>
        <w:rPr>
          <w:b w:val="0"/>
          <w:i w:val="0"/>
          <w:color w:val="5E5458"/>
          <w:sz w:val="19"/>
          <w:rFonts w:ascii="Calibri" w:hAnsi="Calibri" w:cs="Calibri"/>
        </w:rPr>
        <w:t>Sem o mapeamento dos domínios não conseguimos delimitar o perímetro do diagnóstico de conversão e de busca.</w:t>
      </w:r>
    </w:p>
    <w:p>
      <w:pPr>
        <w:spacing w:before="220" w:after="20"/>
      </w:pPr>
      <w:r>
        <w:rPr>
          <w:b w:val="0"/>
          <w:i w:val="0"/>
          <w:color w:val="1A1416"/>
          <w:sz w:val="24"/>
          <w:rFonts w:ascii="Calibri" w:hAnsi="Calibri" w:cs="Calibri"/>
        </w:rPr>
        <w:t xml:space="preserve">☐  </w:t>
      </w:r>
      <w:r>
        <w:rPr>
          <w:b/>
          <w:i w:val="0"/>
          <w:color w:val="970013"/>
          <w:sz w:val="18"/>
          <w:rFonts w:ascii="Consolas" w:hAnsi="Consolas" w:cs="Consolas"/>
        </w:rPr>
        <w:t xml:space="preserve">5.2   </w:t>
      </w:r>
      <w:r>
        <w:rPr>
          <w:b/>
          <w:i w:val="0"/>
          <w:color w:val="1A1416"/>
          <w:sz w:val="23"/>
          <w:rFonts w:ascii="Calibri" w:hAnsi="Calibri" w:cs="Calibri"/>
        </w:rPr>
        <w:t>Ferramentas de SEO e comportamento</w:t>
      </w:r>
      <w:r>
        <w:rPr>
          <w:b/>
          <w:i w:val="0"/>
          <w:color w:val="5E5458"/>
          <w:sz w:val="17"/>
          <w:rFonts w:ascii="Consolas" w:hAnsi="Consolas" w:cs="Consolas"/>
        </w:rPr>
        <w:t xml:space="preserve">   LEITURA</w:t>
      </w:r>
    </w:p>
    <w:p>
      <w:pPr>
        <w:spacing w:before="0" w:after="60" w:line="283" w:lineRule="auto"/>
        <w:ind w:left="408"/>
      </w:pPr>
      <w:r>
        <w:rPr>
          <w:b w:val="0"/>
          <w:i w:val="0"/>
          <w:color w:val="8F858A"/>
          <w:sz w:val="17"/>
          <w:rFonts w:ascii="Consolas" w:hAnsi="Consolas" w:cs="Consolas"/>
        </w:rPr>
        <w:t>SEMrush ou Ahrefs  ·  Hotjar ou Clarity  ·  caso utilizem</w:t>
      </w:r>
    </w:p>
    <w:p>
      <w:pPr>
        <w:spacing w:after="60" w:line="278" w:lineRule="auto"/>
        <w:ind w:left="408"/>
      </w:pPr>
      <w:r>
        <w:rPr>
          <w:b w:val="0"/>
          <w:i w:val="0"/>
          <w:color w:val="5E5458"/>
          <w:sz w:val="19"/>
          <w:rFonts w:ascii="Calibri" w:hAnsi="Calibri" w:cs="Calibri"/>
        </w:rPr>
        <w:t>Se não existirem, a resposta já é o dado: registramos como linha de base e seguimos, sem pendência aberta.</w:t>
      </w:r>
    </w:p>
    <w:p>
      <w:pPr>
        <w:spacing w:before="400" w:after="80"/>
      </w:pPr>
      <w:r>
        <w:rPr>
          <w:b/>
          <w:i w:val="0"/>
          <w:color w:val="970013"/>
          <w:sz w:val="26"/>
          <w:rFonts w:ascii="Consolas" w:hAnsi="Consolas" w:cs="Consolas"/>
        </w:rPr>
        <w:t xml:space="preserve">06   </w:t>
      </w:r>
      <w:r>
        <w:rPr>
          <w:b/>
          <w:i w:val="0"/>
          <w:color w:val="1A1416"/>
          <w:sz w:val="30"/>
          <w:rFonts w:ascii="Calibri" w:hAnsi="Calibri" w:cs="Calibri"/>
        </w:rPr>
        <w:t>Data room e pontos de atenção</w:t>
      </w:r>
    </w:p>
    <w:p>
      <w:pPr>
        <w:spacing w:before="40" w:after="200"/>
        <w:pBdr>
          <w:bottom w:val="single" w:sz="8" w:space="1" w:color="CFC6C8"/>
        </w:pBdr>
      </w:pPr>
    </w:p>
    <w:p>
      <w:pPr>
        <w:spacing w:before="0" w:after="40" w:line="283" w:lineRule="auto"/>
      </w:pPr>
      <w:r>
        <w:rPr>
          <w:b w:val="0"/>
          <w:i w:val="0"/>
          <w:color w:val="5E5458"/>
          <w:sz w:val="19"/>
          <w:rFonts w:ascii="Calibri" w:hAnsi="Calibri" w:cs="Calibri"/>
        </w:rPr>
        <w:t>Confirmações e materiais. Não são acessos, e alguns podem ter outro dono interno.   ·   5 itens</w:t>
      </w:r>
    </w:p>
    <w:p>
      <w:pPr>
        <w:spacing w:before="220" w:after="20"/>
      </w:pPr>
      <w:r>
        <w:rPr>
          <w:b w:val="0"/>
          <w:i w:val="0"/>
          <w:color w:val="1A1416"/>
          <w:sz w:val="24"/>
          <w:rFonts w:ascii="Calibri" w:hAnsi="Calibri" w:cs="Calibri"/>
        </w:rPr>
        <w:t xml:space="preserve">☐  </w:t>
      </w:r>
      <w:r>
        <w:rPr>
          <w:b/>
          <w:i w:val="0"/>
          <w:color w:val="970013"/>
          <w:sz w:val="18"/>
          <w:rFonts w:ascii="Consolas" w:hAnsi="Consolas" w:cs="Consolas"/>
        </w:rPr>
        <w:t xml:space="preserve">6.1   </w:t>
      </w:r>
      <w:r>
        <w:rPr>
          <w:b/>
          <w:i w:val="0"/>
          <w:color w:val="1A1416"/>
          <w:sz w:val="23"/>
          <w:rFonts w:ascii="Calibri" w:hAnsi="Calibri" w:cs="Calibri"/>
        </w:rPr>
        <w:t>Nomenclatura do Google Ads</w:t>
      </w:r>
      <w:r>
        <w:rPr>
          <w:b/>
          <w:i w:val="0"/>
          <w:color w:val="A32218"/>
          <w:sz w:val="17"/>
          <w:rFonts w:ascii="Consolas" w:hAnsi="Consolas" w:cs="Consolas"/>
        </w:rPr>
        <w:t xml:space="preserve">   CONFIRMAÇÃO</w:t>
      </w:r>
    </w:p>
    <w:p>
      <w:pPr>
        <w:spacing w:before="0" w:after="60" w:line="283" w:lineRule="auto"/>
        <w:ind w:left="408"/>
      </w:pPr>
      <w:r>
        <w:rPr>
          <w:b w:val="0"/>
          <w:i w:val="0"/>
          <w:color w:val="8F858A"/>
          <w:sz w:val="17"/>
          <w:rFonts w:ascii="Consolas" w:hAnsi="Consolas" w:cs="Consolas"/>
        </w:rPr>
        <w:t>MCC VivaReal  ·  526-656-0190</w:t>
      </w:r>
    </w:p>
    <w:p>
      <w:pPr>
        <w:spacing w:after="60" w:line="278" w:lineRule="auto"/>
        <w:ind w:left="408"/>
      </w:pPr>
      <w:r>
        <w:rPr>
          <w:b w:val="0"/>
          <w:i w:val="0"/>
          <w:color w:val="5E5458"/>
          <w:sz w:val="19"/>
          <w:rFonts w:ascii="Calibri" w:hAnsi="Calibri" w:cs="Calibri"/>
        </w:rPr>
        <w:t>A conta exibe 8 campanhas ativas com o sufixo 'pf', que descreve jornada B2C: aluguel, compra e Minha Casa Minha Vida. Esta é a conta correta de captação B2B, ou existe outra estrutura focada em anunciantes? Sem essa confirmação, a auditoria de mídia mediria o funil errado.</w:t>
      </w:r>
    </w:p>
    <w:p>
      <w:pPr>
        <w:spacing w:before="220" w:after="20"/>
      </w:pPr>
      <w:r>
        <w:rPr>
          <w:b w:val="0"/>
          <w:i w:val="0"/>
          <w:color w:val="1A1416"/>
          <w:sz w:val="24"/>
          <w:rFonts w:ascii="Calibri" w:hAnsi="Calibri" w:cs="Calibri"/>
        </w:rPr>
        <w:t xml:space="preserve">☐  </w:t>
      </w:r>
      <w:r>
        <w:rPr>
          <w:b/>
          <w:i w:val="0"/>
          <w:color w:val="970013"/>
          <w:sz w:val="18"/>
          <w:rFonts w:ascii="Consolas" w:hAnsi="Consolas" w:cs="Consolas"/>
        </w:rPr>
        <w:t xml:space="preserve">6.2   </w:t>
      </w:r>
      <w:r>
        <w:rPr>
          <w:b/>
          <w:i w:val="0"/>
          <w:color w:val="1A1416"/>
          <w:sz w:val="23"/>
          <w:rFonts w:ascii="Calibri" w:hAnsi="Calibri" w:cs="Calibri"/>
        </w:rPr>
        <w:t>Janela de dados do Google Ads</w:t>
      </w:r>
      <w:r>
        <w:rPr>
          <w:b/>
          <w:i w:val="0"/>
          <w:color w:val="A32218"/>
          <w:sz w:val="17"/>
          <w:rFonts w:ascii="Consolas" w:hAnsi="Consolas" w:cs="Consolas"/>
        </w:rPr>
        <w:t xml:space="preserve">   CONFIRMAÇÃO</w:t>
      </w:r>
    </w:p>
    <w:p>
      <w:pPr>
        <w:spacing w:before="0" w:after="60" w:line="283" w:lineRule="auto"/>
        <w:ind w:left="408"/>
      </w:pPr>
      <w:r>
        <w:rPr>
          <w:b w:val="0"/>
          <w:i w:val="0"/>
          <w:color w:val="8F858A"/>
          <w:sz w:val="17"/>
          <w:rFonts w:ascii="Consolas" w:hAnsi="Consolas" w:cs="Consolas"/>
        </w:rPr>
        <w:t>Série termina em 22/06/2026</w:t>
      </w:r>
    </w:p>
    <w:p>
      <w:pPr>
        <w:spacing w:after="60" w:line="278" w:lineRule="auto"/>
        <w:ind w:left="408"/>
      </w:pPr>
      <w:r>
        <w:rPr>
          <w:b w:val="0"/>
          <w:i w:val="0"/>
          <w:color w:val="5E5458"/>
          <w:sz w:val="19"/>
          <w:rFonts w:ascii="Calibri" w:hAnsi="Calibri" w:cs="Calibri"/>
        </w:rPr>
        <w:t>Trata-se do limite de ingestão da integração, ou há uma lacuna real nos dados depois dessa data?</w:t>
      </w:r>
    </w:p>
    <w:p>
      <w:pPr>
        <w:spacing w:before="220" w:after="20"/>
      </w:pPr>
      <w:r>
        <w:rPr>
          <w:b w:val="0"/>
          <w:i w:val="0"/>
          <w:color w:val="1A1416"/>
          <w:sz w:val="24"/>
          <w:rFonts w:ascii="Calibri" w:hAnsi="Calibri" w:cs="Calibri"/>
        </w:rPr>
        <w:t xml:space="preserve">☐  </w:t>
      </w:r>
      <w:r>
        <w:rPr>
          <w:b/>
          <w:i w:val="0"/>
          <w:color w:val="970013"/>
          <w:sz w:val="18"/>
          <w:rFonts w:ascii="Consolas" w:hAnsi="Consolas" w:cs="Consolas"/>
        </w:rPr>
        <w:t xml:space="preserve">6.3   </w:t>
      </w:r>
      <w:r>
        <w:rPr>
          <w:b/>
          <w:i w:val="0"/>
          <w:color w:val="1A1416"/>
          <w:sz w:val="23"/>
          <w:rFonts w:ascii="Calibri" w:hAnsi="Calibri" w:cs="Calibri"/>
        </w:rPr>
        <w:t>Arquivos do data room</w:t>
      </w:r>
      <w:r>
        <w:rPr>
          <w:b/>
          <w:i w:val="0"/>
          <w:color w:val="A32218"/>
          <w:sz w:val="17"/>
          <w:rFonts w:ascii="Consolas" w:hAnsi="Consolas" w:cs="Consolas"/>
        </w:rPr>
        <w:t xml:space="preserve">   CONFIRMAÇÃO</w:t>
      </w:r>
    </w:p>
    <w:p>
      <w:pPr>
        <w:spacing w:before="0" w:after="60" w:line="283" w:lineRule="auto"/>
        <w:ind w:left="408"/>
      </w:pPr>
      <w:r>
        <w:rPr>
          <w:b w:val="0"/>
          <w:i w:val="0"/>
          <w:color w:val="8F858A"/>
          <w:sz w:val="17"/>
          <w:rFonts w:ascii="Consolas" w:hAnsi="Consolas" w:cs="Consolas"/>
        </w:rPr>
        <w:t>Primeiro lote baixado: 9 arquivos</w:t>
      </w:r>
    </w:p>
    <w:p>
      <w:pPr>
        <w:spacing w:after="60" w:line="278" w:lineRule="auto"/>
        <w:ind w:left="408"/>
      </w:pPr>
      <w:r>
        <w:rPr>
          <w:b w:val="0"/>
          <w:i w:val="0"/>
          <w:color w:val="5E5458"/>
          <w:sz w:val="19"/>
          <w:rFonts w:ascii="Calibri" w:hAnsi="Calibri" w:cs="Calibri"/>
        </w:rPr>
        <w:t>Este volume encerra os materiais de criativos e de páginas de captura, ou haverá novo envio? Precisamos saber para planejar o que resta pedir.</w:t>
      </w:r>
    </w:p>
    <w:p>
      <w:pPr>
        <w:spacing w:before="220" w:after="20"/>
      </w:pPr>
      <w:r>
        <w:rPr>
          <w:b w:val="0"/>
          <w:i w:val="0"/>
          <w:color w:val="1A1416"/>
          <w:sz w:val="24"/>
          <w:rFonts w:ascii="Calibri" w:hAnsi="Calibri" w:cs="Calibri"/>
        </w:rPr>
        <w:t xml:space="preserve">☐  </w:t>
      </w:r>
      <w:r>
        <w:rPr>
          <w:b/>
          <w:i w:val="0"/>
          <w:color w:val="970013"/>
          <w:sz w:val="18"/>
          <w:rFonts w:ascii="Consolas" w:hAnsi="Consolas" w:cs="Consolas"/>
        </w:rPr>
        <w:t xml:space="preserve">6.4   </w:t>
      </w:r>
      <w:r>
        <w:rPr>
          <w:b/>
          <w:i w:val="0"/>
          <w:color w:val="1A1416"/>
          <w:sz w:val="23"/>
          <w:rFonts w:ascii="Calibri" w:hAnsi="Calibri" w:cs="Calibri"/>
        </w:rPr>
        <w:t>Dados absolutos do teste A/B</w:t>
      </w:r>
      <w:r>
        <w:rPr>
          <w:b/>
          <w:i w:val="0"/>
          <w:color w:val="8A5A00"/>
          <w:sz w:val="17"/>
          <w:rFonts w:ascii="Consolas" w:hAnsi="Consolas" w:cs="Consolas"/>
        </w:rPr>
        <w:t xml:space="preserve">   MATERIAL</w:t>
      </w:r>
    </w:p>
    <w:p>
      <w:pPr>
        <w:spacing w:before="0" w:after="60" w:line="283" w:lineRule="auto"/>
        <w:ind w:left="408"/>
      </w:pPr>
      <w:r>
        <w:rPr>
          <w:b w:val="0"/>
          <w:i w:val="0"/>
          <w:color w:val="8F858A"/>
          <w:sz w:val="17"/>
          <w:rFonts w:ascii="Consolas" w:hAnsi="Consolas" w:cs="Consolas"/>
        </w:rPr>
        <w:t>Página Anuncie ZAP  ·  teste de 17 a 23 de março  ·  auditoria (viii)</w:t>
      </w:r>
    </w:p>
    <w:p>
      <w:pPr>
        <w:spacing w:after="60" w:line="278" w:lineRule="auto"/>
        <w:ind w:left="408"/>
      </w:pPr>
      <w:r>
        <w:rPr>
          <w:b w:val="0"/>
          <w:i w:val="0"/>
          <w:color w:val="5E5458"/>
          <w:sz w:val="19"/>
          <w:rFonts w:ascii="Calibri" w:hAnsi="Calibri" w:cs="Calibri"/>
        </w:rPr>
        <w:t>Precisamos dos totais de visitantes e conversões por variante para recalcular a significância estatística. Recebemos os percentuais; sem o denominador não é possível afirmar se a diferença foi resultado real ou variação normal do período.</w:t>
      </w:r>
    </w:p>
    <w:p>
      <w:pPr>
        <w:spacing w:before="220" w:after="20"/>
      </w:pPr>
      <w:r>
        <w:rPr>
          <w:b w:val="0"/>
          <w:i w:val="0"/>
          <w:color w:val="1A1416"/>
          <w:sz w:val="24"/>
          <w:rFonts w:ascii="Calibri" w:hAnsi="Calibri" w:cs="Calibri"/>
        </w:rPr>
        <w:t xml:space="preserve">☐  </w:t>
      </w:r>
      <w:r>
        <w:rPr>
          <w:b/>
          <w:i w:val="0"/>
          <w:color w:val="970013"/>
          <w:sz w:val="18"/>
          <w:rFonts w:ascii="Consolas" w:hAnsi="Consolas" w:cs="Consolas"/>
        </w:rPr>
        <w:t xml:space="preserve">6.5   </w:t>
      </w:r>
      <w:r>
        <w:rPr>
          <w:b/>
          <w:i w:val="0"/>
          <w:color w:val="1A1416"/>
          <w:sz w:val="23"/>
          <w:rFonts w:ascii="Calibri" w:hAnsi="Calibri" w:cs="Calibri"/>
        </w:rPr>
        <w:t>Biblioteca de criativos e briefings</w:t>
      </w:r>
      <w:r>
        <w:rPr>
          <w:b/>
          <w:i w:val="0"/>
          <w:color w:val="8A5A00"/>
          <w:sz w:val="17"/>
          <w:rFonts w:ascii="Consolas" w:hAnsi="Consolas" w:cs="Consolas"/>
        </w:rPr>
        <w:t xml:space="preserve">   MATERIAL</w:t>
      </w:r>
    </w:p>
    <w:p>
      <w:pPr>
        <w:spacing w:before="0" w:after="60" w:line="283" w:lineRule="auto"/>
        <w:ind w:left="408"/>
      </w:pPr>
      <w:r>
        <w:rPr>
          <w:b w:val="0"/>
          <w:i w:val="0"/>
          <w:color w:val="8F858A"/>
          <w:sz w:val="17"/>
          <w:rFonts w:ascii="Consolas" w:hAnsi="Consolas" w:cs="Consolas"/>
        </w:rPr>
        <w:t>Últimos 6 a 12 meses  ·  auditoria (iv)</w:t>
      </w:r>
    </w:p>
    <w:p>
      <w:pPr>
        <w:spacing w:after="60" w:line="278" w:lineRule="auto"/>
        <w:ind w:left="408"/>
      </w:pPr>
      <w:r>
        <w:rPr>
          <w:b w:val="0"/>
          <w:i w:val="0"/>
          <w:color w:val="5E5458"/>
          <w:sz w:val="19"/>
          <w:rFonts w:ascii="Calibri" w:hAnsi="Calibri" w:cs="Calibri"/>
        </w:rPr>
        <w:t>Amostras do período, incluindo peças de baixa performance, e os briefings das variantes V1, V2 e V3 para análise de hipóteses. Uma campanha só, como a que recebemos, não permite ler diversidade nem fadiga criativa.</w:t>
      </w:r>
    </w:p>
    <w:p>
      <w:pPr>
        <w:spacing w:before="400" w:after="80"/>
      </w:pPr>
      <w:r>
        <w:rPr>
          <w:b/>
          <w:i w:val="0"/>
          <w:color w:val="970013"/>
          <w:sz w:val="26"/>
          <w:rFonts w:ascii="Consolas" w:hAnsi="Consolas" w:cs="Consolas"/>
        </w:rPr>
        <w:t xml:space="preserve">07   </w:t>
      </w:r>
      <w:r>
        <w:rPr>
          <w:b/>
          <w:i w:val="0"/>
          <w:color w:val="1A1416"/>
          <w:sz w:val="30"/>
          <w:rFonts w:ascii="Calibri" w:hAnsi="Calibri" w:cs="Calibri"/>
        </w:rPr>
        <w:t>Duas coisas que facilitam</w:t>
      </w:r>
    </w:p>
    <w:p>
      <w:pPr>
        <w:spacing w:before="40" w:after="200"/>
        <w:pBdr>
          <w:bottom w:val="single" w:sz="8" w:space="1" w:color="CFC6C8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0D2"/>
          <w:left w:val="single" w:sz="4" w:color="D8D0D2"/>
          <w:bottom w:val="single" w:sz="4" w:color="D8D0D2"/>
          <w:right w:val="single" w:sz="4" w:color="D8D0D2"/>
          <w:insideH w:val="single" w:sz="4" w:color="D8D0D2"/>
          <w:insideV w:val="single" w:sz="4" w:color="D8D0D2"/>
        </w:tblBorders>
      </w:tblPr>
      <w:tblGrid>
        <w:gridCol w:w="9858"/>
      </w:tblGrid>
      <w:tr>
        <w:tc>
          <w:tcPr>
            <w:tcW w:type="dxa" w:w="9858"/>
            <w:shd w:val="clear" w:color="auto" w:fill="EBF3EE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i w:val="0"/>
                <w:color w:val="2F6B4F"/>
                <w:sz w:val="16"/>
                <w:rFonts w:ascii="Calibri" w:hAnsi="Calibri" w:cs="Calibri"/>
              </w:rPr>
              <w:t>RESPOSTAS RÁPIDAS VALEM MAIS DO QUE PENDÊNCIAS ABERTAS</w:t>
            </w:r>
          </w:p>
          <w:p>
            <w:pPr>
              <w:spacing w:after="60" w:line="283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“Não existe” é uma resposta completa. Se algum item não existe, não é extraível ou não pode ser compartilhado, basta dizer. Registramos como leitura de maturidade e seguimos em frente.</w:t>
            </w:r>
          </w:p>
          <w:p>
            <w:pPr>
              <w:spacing w:after="0" w:line="283" w:lineRule="auto"/>
            </w:pPr>
            <w:r>
              <w:rPr>
                <w:b w:val="0"/>
                <w:i w:val="0"/>
                <w:color w:val="1A1416"/>
                <w:sz w:val="19"/>
                <w:rFonts w:ascii="Calibri" w:hAnsi="Calibri" w:cs="Calibri"/>
              </w:rPr>
              <w:t>Prazo inviável também é informação útil. Preferimos reorganizar a ordem do diagnóstico com antecedência a descobrir a indisponibilidade na semana do comitê.</w:t>
            </w:r>
          </w:p>
        </w:tc>
      </w:tr>
    </w:tbl>
    <w:p>
      <w:pPr>
        <w:spacing w:before="0" w:after="40" w:line="283" w:lineRule="auto"/>
      </w:pPr>
    </w:p>
    <w:p>
      <w:pPr>
        <w:spacing w:before="40" w:after="200"/>
        <w:pBdr>
          <w:bottom w:val="single" w:sz="8" w:space="1" w:color="CFC6C8"/>
        </w:pBdr>
      </w:pPr>
    </w:p>
    <w:p>
      <w:pPr>
        <w:spacing w:before="120" w:after="80" w:line="283" w:lineRule="auto"/>
      </w:pPr>
      <w:r>
        <w:rPr>
          <w:b/>
          <w:i w:val="0"/>
          <w:color w:val="7A0010"/>
          <w:sz w:val="16"/>
          <w:rFonts w:ascii="Calibri" w:hAnsi="Calibri" w:cs="Calibri"/>
        </w:rPr>
        <w:t>PRIVACIDADE E USO</w:t>
      </w:r>
    </w:p>
    <w:p>
      <w:pPr>
        <w:spacing w:before="0" w:after="100" w:line="283" w:lineRule="auto"/>
      </w:pPr>
      <w:r>
        <w:rPr>
          <w:b w:val="0"/>
          <w:i w:val="0"/>
          <w:color w:val="5E5458"/>
          <w:sz w:val="18"/>
          <w:rFonts w:ascii="Calibri" w:hAnsi="Calibri" w:cs="Calibri"/>
        </w:rPr>
        <w:t>Os acessos solicitados são usados exclusivamente para a finalidade contratual e restritos aos profissionais estritamente necessários, sob compromisso de confidencialidade. Onde o nível administrativo é necessário, ele serve para estabelecer a integração de dados, e nenhuma alteração de configuração, campanha, verba ou publicação acontece sem aprovação prévia e explícita do Grupo OLX. Credenciais ficam em gerenciador de senhas, com troca obrigatória ao término da prestação ou em suspeita de incidente, e armazenamento residual máximo de 30 dias após o encerramento. A OLX pode revogar ou reduzir qualquer permissão a qualquer tempo.</w:t>
      </w:r>
    </w:p>
    <w:p>
      <w:pPr>
        <w:spacing w:before="0" w:after="0" w:line="283" w:lineRule="auto"/>
      </w:pPr>
      <w:r>
        <w:rPr>
          <w:b w:val="0"/>
          <w:i w:val="0"/>
          <w:color w:val="5E5458"/>
          <w:sz w:val="18"/>
          <w:rFonts w:ascii="Calibri" w:hAnsi="Calibri" w:cs="Calibri"/>
        </w:rPr>
        <w:t>Encarregado de proteção de dados da V4: lgpd@v4company.com.br. A justificativa técnica de cada item está no documento Acessos e níveis de dado.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1A1416"/>
      <w:sz w:val="21"/>
      <w:rFonts w:ascii="Calibri" w:hAnsi="Calibri" w:cs="Calibri" w:eastAsia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