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Table 1. Baseline characteristics of the analytic cohort stratified by ISS ≥20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Total</w:t>
              <w:br/>
              <w:t>(N=1,809)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&lt;20</w:t>
              <w:br/>
              <w:t>(n=806)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≥20</w:t>
              <w:br/>
              <w:t>(n=1,003)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Demographics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Age, years,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57 (38–72)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56 (37–70)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58 (38–74)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Male sex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1313 (72.6)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577 (71.6)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736 (73.4)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Injury mechanism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Accident type,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High-energy vehicle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412 (22.8)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177 (22.0)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235 (23.4)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Low-energy vehicle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215 (11.9)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105 (13.0)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110 (11.0)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High-energy fall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395 (21.8)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129 (16.0)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266 (26.5)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Low-energy fall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533 (29.5)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273 (33.9)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260 (25.9)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Penetrating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53 (2.9)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 (2.9)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 (3.0)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Other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192 (10.6)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95 (11.8)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 (9.7)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Cause of injury,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Accident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1669 (92.3)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755 (93.7)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914 (91.1)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Suspected suicide attempt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101 (5.6)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 (4.1)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68 (6.8)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Suspected violent crime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 (1.6)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 (2.0)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 (1.3)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Injury type,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Blunt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1721 (95.1)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766 (95.0)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955 (95.2)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Penetrating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80 (4.4)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37 (4.6)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43 (4.3)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STB mechanism criteria met,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1086 (60.0)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439 (54.5)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647 (64.5)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Comorbidity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CCI weighted score,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 (0–0)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 (0–0)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 (0–0)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Any comorbidity,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321 (17.7)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132 (16.4)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189 (18.8)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Prehospital vitals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Systolic BP, mmHg,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130 (113–150)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133 (118–150)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130 (110–150)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Pulse, bpm,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84 (71–98)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82 (71–95)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85 (71–100)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Oxygen saturation, %,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96 (92–98)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96 (93–98)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95 (90–98)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total,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(11–15)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(13–15)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(7–15)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eye,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(3–4)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(3–4)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(2–4)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verbal,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(3–5)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 (4–5)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(2–5)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motor,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(5–6)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(6–6)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(4–6)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unassessable,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179 (9.9)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100 (12.4)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79 (7.9)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Prehospital context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Notarzt dispatch level,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Level 0 (no Notarzt)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81 (4.5)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48 (6.0)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 (3.3)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Level 1 (EMS, not accompanied)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369 (20.4)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207 (25.7)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162 (16.2)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Level 2 (Notarzt accompanied)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1359 (75.1)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551 (68.4)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808 (80.6)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Helicopter transport,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684 (37.8)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283 (35.1)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401 (40.0)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Prehospital intubation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295 (16.3)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45 (5.6)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250 (24.9)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Prehospital resuscitation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49 (2.7)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 (1.0)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41 (4.1)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Crystalloid administration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1191 (65.8)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500 (62.0)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691 (68.9)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Temporal intervals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Accident-to-alarm, min,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 (6–17)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 (6–16)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10.0 (5.5–18.0)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Alarm-to-EMS, min,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(10–19)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13.5 (10.0–18.0)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(10–20)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Outcomes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Hospital LOS, days, median (IQR)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 (5–15)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 (5–13)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 (5–18)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In-hospital survival,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1570 (86.8)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779 (96.7)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791 (78.9)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ICU admission,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1393 (77.0)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544 (67.5)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849 (84.6)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Mechanical ventilation,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575 (31.8)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120 (14.9)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455 (45.4)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Emergency surgery ≤24h,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617 (34.1)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198 (24.6)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419 (41.8)</w:t>
            </w:r>
          </w:p>
        </w:tc>
      </w:tr>
      <w:tr>
        <w:tc>
          <w:tcPr>
            <w:tcW w:type="dxa" w:w="403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Any complication, n (%)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507 (28.0)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137 (17.0)</w:t>
            </w:r>
          </w:p>
        </w:tc>
        <w:tc>
          <w:tcPr>
            <w:tcW w:type="dxa" w:w="201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370 (36.9)</w:t>
            </w:r>
          </w:p>
        </w:tc>
      </w:tr>
    </w:tbl>
    <w:p>
      <w:pPr>
        <w:spacing w:before="80" w:after="40"/>
      </w:pPr>
      <w:r>
        <w:rPr>
          <w:rFonts w:ascii="Times New Roman" w:hAnsi="Times New Roman"/>
          <w:i/>
          <w:sz w:val="18"/>
        </w:rPr>
        <w:t>Data are median (IQR) for continuous variables and n (%) for categorical variables. No inferential comparisons performed (TRIPOD recommendation for prediction studies).</w:t>
      </w:r>
    </w:p>
    <w:p>
      <w:pPr>
        <w:spacing w:before="80" w:after="40"/>
      </w:pPr>
      <w:r>
        <w:rPr>
          <w:rFonts w:ascii="Times New Roman" w:hAnsi="Times New Roman"/>
          <w:i/>
          <w:sz w:val="18"/>
        </w:rPr>
        <w:t>CCI = Charlson Comorbidity Index; GCS = Glasgow Coma Scale; ISS = Injury Severity Score; LOS = length of stay; ICU = intensive care unit; STB = Swiss Trauma Board.</w:t>
      </w:r>
    </w:p>
    <w:p>
      <w:pPr>
        <w:spacing w:before="80" w:after="40"/>
      </w:pPr>
      <w:r>
        <w:rPr>
          <w:rFonts w:ascii="Times New Roman" w:hAnsi="Times New Roman"/>
          <w:i/>
          <w:sz w:val="18"/>
        </w:rPr>
        <w:t>Prehospital vitals reported for patients with measured values. STB mechanism criteria: partial implementation (mechanism-based criteria only; see Supplementary Table S4). Detailed injury severity, surgical domains, and ED management are reported in Supplementary Table S5.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